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EEE1522" w14:textId="77777777" w:rsidR="00FC1647" w:rsidRDefault="00FC1647" w:rsidP="00FC1647">
      <w:pPr>
        <w:pStyle w:val="NoSpacing"/>
      </w:pPr>
      <w:r>
        <w:t>Student 1</w:t>
      </w:r>
      <w:bookmarkStart w:id="0" w:name="_GoBack"/>
      <w:bookmarkEnd w:id="0"/>
    </w:p>
    <w:p w14:paraId="5EAD6E06" w14:textId="77777777" w:rsidR="00C74A26" w:rsidRDefault="00CC39CA" w:rsidP="00CC39CA">
      <w:pPr>
        <w:pStyle w:val="NoSpacing"/>
        <w:jc w:val="center"/>
      </w:pPr>
      <w:r>
        <w:t>China Mobile</w:t>
      </w:r>
    </w:p>
    <w:p w14:paraId="3E62D09E" w14:textId="77777777" w:rsidR="00CC39CA" w:rsidRDefault="00CC39CA" w:rsidP="00CC39CA">
      <w:pPr>
        <w:pStyle w:val="NoSpacing"/>
      </w:pPr>
    </w:p>
    <w:p w14:paraId="6FEA2193" w14:textId="77777777" w:rsidR="00CC39CA" w:rsidRPr="00B235C2" w:rsidRDefault="00CC39CA">
      <w:pPr>
        <w:rPr>
          <w:b/>
        </w:rPr>
      </w:pPr>
      <w:r w:rsidRPr="00B235C2">
        <w:rPr>
          <w:b/>
        </w:rPr>
        <w:t>Company</w:t>
      </w:r>
      <w:r w:rsidR="00E31887">
        <w:rPr>
          <w:b/>
        </w:rPr>
        <w:t xml:space="preserve"> Profile</w:t>
      </w:r>
    </w:p>
    <w:p w14:paraId="0416FEFD" w14:textId="77777777" w:rsidR="00CC53CA" w:rsidRDefault="00D36090">
      <w:r>
        <w:t xml:space="preserve">China Mobile is the leading provider of mobile </w:t>
      </w:r>
      <w:r w:rsidR="004838AA">
        <w:t xml:space="preserve">telecommunication </w:t>
      </w:r>
      <w:r>
        <w:t xml:space="preserve">services in China </w:t>
      </w:r>
      <w:r w:rsidR="004838AA">
        <w:t>with a 70% share of the domestic market and a subscriber base of over 600</w:t>
      </w:r>
      <w:r>
        <w:t xml:space="preserve"> million</w:t>
      </w:r>
      <w:r w:rsidR="004838AA">
        <w:t xml:space="preserve"> people</w:t>
      </w:r>
      <w:r>
        <w:t xml:space="preserve">. </w:t>
      </w:r>
      <w:r w:rsidR="0068284C">
        <w:t>With a market cap of about $200 billion, it is the largest mobile telecom</w:t>
      </w:r>
      <w:r w:rsidR="0075085A">
        <w:t xml:space="preserve"> company in the world</w:t>
      </w:r>
      <w:r w:rsidR="00516A01">
        <w:t xml:space="preserve">. </w:t>
      </w:r>
      <w:r w:rsidR="004838AA">
        <w:t xml:space="preserve">The </w:t>
      </w:r>
      <w:r w:rsidR="00842EF0">
        <w:t>Chinese government owns 74</w:t>
      </w:r>
      <w:r w:rsidR="004838AA">
        <w:t>% of the company through its ownership of C</w:t>
      </w:r>
      <w:r w:rsidR="00625EF0">
        <w:t>hina Mobile (HK) Gro</w:t>
      </w:r>
      <w:r w:rsidR="00842EF0">
        <w:t>up Limited; the remaining 26</w:t>
      </w:r>
      <w:r w:rsidR="00625EF0">
        <w:t xml:space="preserve">% </w:t>
      </w:r>
      <w:r w:rsidR="00136D62">
        <w:t xml:space="preserve">is </w:t>
      </w:r>
      <w:r w:rsidR="00ED2130">
        <w:t>publicly traded on the NYSE and Hong Kong Stock Exchange</w:t>
      </w:r>
      <w:r w:rsidR="00136D62">
        <w:t xml:space="preserve">. </w:t>
      </w:r>
      <w:r w:rsidR="00A4456F">
        <w:t>The company</w:t>
      </w:r>
      <w:r w:rsidR="00136D62">
        <w:t xml:space="preserve"> has licenses </w:t>
      </w:r>
      <w:r w:rsidR="00B235C2">
        <w:t xml:space="preserve">from the </w:t>
      </w:r>
      <w:r w:rsidR="00A4456F">
        <w:t xml:space="preserve">Chinese </w:t>
      </w:r>
      <w:r w:rsidR="00B235C2">
        <w:t xml:space="preserve">government </w:t>
      </w:r>
      <w:r w:rsidR="00136D62">
        <w:t>to operate nationwide 2G GSM and 3G TD-SCDMA services</w:t>
      </w:r>
      <w:r w:rsidR="00B235C2">
        <w:t xml:space="preserve">. The adoption of the </w:t>
      </w:r>
      <w:r w:rsidR="006251C5">
        <w:t xml:space="preserve">new </w:t>
      </w:r>
      <w:r w:rsidR="00B235C2">
        <w:t xml:space="preserve">TD-SCDMA standard, which is only used in China, was </w:t>
      </w:r>
      <w:r w:rsidR="00C60846">
        <w:t>announced</w:t>
      </w:r>
      <w:r w:rsidR="00B235C2">
        <w:t xml:space="preserve"> by the government </w:t>
      </w:r>
      <w:r w:rsidR="00D064F6">
        <w:t xml:space="preserve">in 2006 </w:t>
      </w:r>
      <w:r w:rsidR="00B235C2">
        <w:t xml:space="preserve">to avoid patent fees for </w:t>
      </w:r>
      <w:r w:rsidR="00A4456F">
        <w:t xml:space="preserve">the use of </w:t>
      </w:r>
      <w:r w:rsidR="00B235C2">
        <w:t xml:space="preserve">3G formats </w:t>
      </w:r>
      <w:r w:rsidR="000A129E">
        <w:t>developed</w:t>
      </w:r>
      <w:r w:rsidR="00B235C2">
        <w:t xml:space="preserve"> by</w:t>
      </w:r>
      <w:r w:rsidR="006251C5">
        <w:t xml:space="preserve"> Western countries; t</w:t>
      </w:r>
      <w:r w:rsidR="00F267B5">
        <w:t xml:space="preserve">he license was </w:t>
      </w:r>
      <w:r w:rsidR="00E97C5B">
        <w:t>assigned</w:t>
      </w:r>
      <w:r w:rsidR="00F267B5">
        <w:t xml:space="preserve"> to China Mobile in 2009.</w:t>
      </w:r>
      <w:r w:rsidR="0033338D">
        <w:t xml:space="preserve"> </w:t>
      </w:r>
      <w:r w:rsidR="006251C5">
        <w:t>The licenses for W-CDMA and CMDA2000</w:t>
      </w:r>
      <w:r w:rsidR="00D45EF9">
        <w:t xml:space="preserve"> EVDO</w:t>
      </w:r>
      <w:r w:rsidR="006251C5">
        <w:t xml:space="preserve"> networks (</w:t>
      </w:r>
      <w:r w:rsidR="00B20383">
        <w:t>Western</w:t>
      </w:r>
      <w:r w:rsidR="006251C5">
        <w:t xml:space="preserve"> 3G standards) were assigned to China Unicom and China Telecom, two s</w:t>
      </w:r>
      <w:r w:rsidR="006D5242">
        <w:t>maller competitors that are also state-owned.</w:t>
      </w:r>
    </w:p>
    <w:p w14:paraId="0140E9AF" w14:textId="77777777" w:rsidR="00CC39CA" w:rsidRPr="00CC53CA" w:rsidRDefault="00CC39CA">
      <w:pPr>
        <w:rPr>
          <w:b/>
        </w:rPr>
      </w:pPr>
      <w:r w:rsidRPr="00CC53CA">
        <w:rPr>
          <w:b/>
        </w:rPr>
        <w:t>Competitive Strengths</w:t>
      </w:r>
    </w:p>
    <w:p w14:paraId="325193C6" w14:textId="77777777" w:rsidR="00823134" w:rsidRDefault="004D03A4" w:rsidP="00556A5F">
      <w:r>
        <w:rPr>
          <w:b/>
          <w:u w:val="single"/>
        </w:rPr>
        <w:t>L</w:t>
      </w:r>
      <w:r w:rsidR="00316AB9" w:rsidRPr="00316AB9">
        <w:rPr>
          <w:b/>
          <w:u w:val="single"/>
        </w:rPr>
        <w:t xml:space="preserve">argest </w:t>
      </w:r>
      <w:r>
        <w:rPr>
          <w:b/>
          <w:u w:val="single"/>
        </w:rPr>
        <w:t xml:space="preserve">mobile </w:t>
      </w:r>
      <w:r w:rsidR="00316AB9" w:rsidRPr="00316AB9">
        <w:rPr>
          <w:b/>
          <w:u w:val="single"/>
        </w:rPr>
        <w:t>network</w:t>
      </w:r>
      <w:r w:rsidR="00316AB9">
        <w:rPr>
          <w:b/>
          <w:u w:val="single"/>
        </w:rPr>
        <w:t xml:space="preserve"> and exclusive </w:t>
      </w:r>
      <w:r w:rsidR="00842633">
        <w:rPr>
          <w:b/>
          <w:u w:val="single"/>
        </w:rPr>
        <w:t>government</w:t>
      </w:r>
      <w:r w:rsidR="00316AB9">
        <w:rPr>
          <w:b/>
          <w:u w:val="single"/>
        </w:rPr>
        <w:t xml:space="preserve"> license</w:t>
      </w:r>
      <w:r w:rsidR="00316AB9">
        <w:t xml:space="preserve"> - </w:t>
      </w:r>
      <w:r w:rsidR="00F267B5">
        <w:t>As a state-owned company with</w:t>
      </w:r>
      <w:r w:rsidR="00316AB9">
        <w:t xml:space="preserve"> an exclusive</w:t>
      </w:r>
      <w:r w:rsidR="00804D9D">
        <w:t xml:space="preserve"> network</w:t>
      </w:r>
      <w:r w:rsidR="00316AB9">
        <w:t xml:space="preserve"> </w:t>
      </w:r>
      <w:r w:rsidR="00804D9D">
        <w:t>that covers 98% of the population</w:t>
      </w:r>
      <w:r w:rsidR="00C555DF">
        <w:t xml:space="preserve"> (TD-SCDMA, </w:t>
      </w:r>
      <w:r w:rsidR="0077092C">
        <w:t>the new standard</w:t>
      </w:r>
      <w:r w:rsidR="00C555DF">
        <w:t xml:space="preserve"> assigned by the Chinese government)</w:t>
      </w:r>
      <w:r w:rsidR="00F267B5">
        <w:t xml:space="preserve">, China Mobile </w:t>
      </w:r>
      <w:r w:rsidR="00804D9D">
        <w:t xml:space="preserve">is the </w:t>
      </w:r>
      <w:r w:rsidR="00823134">
        <w:t>dominant market leader</w:t>
      </w:r>
      <w:r w:rsidR="00842CB0">
        <w:t>. The company has the largest mobile customer base in the world</w:t>
      </w:r>
      <w:r w:rsidR="00BA5988">
        <w:t xml:space="preserve"> and is still adding about 5 million new subscribers each month</w:t>
      </w:r>
      <w:r w:rsidR="00842CB0">
        <w:t xml:space="preserve">. The relatively untapped rural market </w:t>
      </w:r>
      <w:r w:rsidR="00823134">
        <w:t xml:space="preserve">is also dominated by China Mobile and </w:t>
      </w:r>
      <w:r w:rsidR="00842CB0">
        <w:t xml:space="preserve">holds potential for significant </w:t>
      </w:r>
      <w:r w:rsidR="00804D9D">
        <w:t xml:space="preserve">future </w:t>
      </w:r>
      <w:r w:rsidR="00842CB0">
        <w:t>growth.</w:t>
      </w:r>
      <w:r w:rsidR="004F344F">
        <w:t xml:space="preserve"> </w:t>
      </w:r>
      <w:r w:rsidR="009540BD">
        <w:t>Now that 75% of the country’s 1.2 billion phone users are on mobile devices</w:t>
      </w:r>
      <w:r w:rsidR="004F344F">
        <w:t xml:space="preserve">, </w:t>
      </w:r>
      <w:r w:rsidR="00D94C03">
        <w:t xml:space="preserve">we can expect </w:t>
      </w:r>
      <w:r w:rsidR="0053014E">
        <w:t xml:space="preserve">a boost in </w:t>
      </w:r>
      <w:r w:rsidR="009540BD">
        <w:t>wireless data usage to</w:t>
      </w:r>
      <w:r w:rsidR="0053014E">
        <w:t xml:space="preserve"> follow</w:t>
      </w:r>
      <w:r w:rsidR="009540BD">
        <w:t xml:space="preserve">, and </w:t>
      </w:r>
      <w:r w:rsidR="004F344F">
        <w:t xml:space="preserve">China Mobile </w:t>
      </w:r>
      <w:r w:rsidR="00681C3A">
        <w:t>is positioned t</w:t>
      </w:r>
      <w:r w:rsidR="004F344F">
        <w:t>o capture much of that growth.</w:t>
      </w:r>
    </w:p>
    <w:p w14:paraId="7E9EEB6B" w14:textId="77777777" w:rsidR="0075085A" w:rsidRDefault="00B7745E" w:rsidP="00556A5F">
      <w:r>
        <w:rPr>
          <w:b/>
          <w:u w:val="single"/>
        </w:rPr>
        <w:t xml:space="preserve">High-end user retention through superior </w:t>
      </w:r>
      <w:r w:rsidR="00C555DF" w:rsidRPr="00C555DF">
        <w:rPr>
          <w:b/>
          <w:u w:val="single"/>
        </w:rPr>
        <w:t>voice coverage and quality</w:t>
      </w:r>
      <w:r w:rsidR="00C555DF">
        <w:t xml:space="preserve"> - </w:t>
      </w:r>
      <w:r w:rsidR="00FD287C">
        <w:t xml:space="preserve">The </w:t>
      </w:r>
      <w:proofErr w:type="gramStart"/>
      <w:r w:rsidR="00FD287C">
        <w:t>company</w:t>
      </w:r>
      <w:proofErr w:type="gramEnd"/>
      <w:r w:rsidR="00C67C19">
        <w:t xml:space="preserve"> </w:t>
      </w:r>
      <w:r w:rsidR="00FD287C">
        <w:t>has invested in</w:t>
      </w:r>
      <w:r w:rsidR="00C67C19">
        <w:t xml:space="preserve"> </w:t>
      </w:r>
      <w:r w:rsidR="00FD287C">
        <w:t xml:space="preserve">maintaining </w:t>
      </w:r>
      <w:r w:rsidR="00C67C19">
        <w:t>a high quality network with a very low rate of dropped calls, which has allowed</w:t>
      </w:r>
      <w:r w:rsidR="00BA5988">
        <w:t xml:space="preserve"> </w:t>
      </w:r>
      <w:r w:rsidR="00E024E9">
        <w:t xml:space="preserve">them </w:t>
      </w:r>
      <w:r w:rsidR="00C67C19">
        <w:t xml:space="preserve">to capture </w:t>
      </w:r>
      <w:r w:rsidR="00BA5988">
        <w:t xml:space="preserve">an estimated 90% of China’s high-end </w:t>
      </w:r>
      <w:r w:rsidR="00C67C19">
        <w:t xml:space="preserve">mobile </w:t>
      </w:r>
      <w:r w:rsidR="00BA5988">
        <w:t>users</w:t>
      </w:r>
      <w:r w:rsidR="00E024E9">
        <w:t>. This user base is critical since</w:t>
      </w:r>
      <w:r w:rsidR="00487AA1">
        <w:t xml:space="preserve"> future revenue growth</w:t>
      </w:r>
      <w:r w:rsidR="00E024E9">
        <w:t xml:space="preserve"> will largely be driven by mobile data usage on high-end smartphones</w:t>
      </w:r>
      <w:r w:rsidR="00487AA1">
        <w:t>.</w:t>
      </w:r>
      <w:r w:rsidR="00DF3877">
        <w:t xml:space="preserve"> </w:t>
      </w:r>
      <w:r w:rsidR="00503E33">
        <w:t>Though competitors have been able to compete</w:t>
      </w:r>
      <w:r w:rsidR="00673F6C">
        <w:t xml:space="preserve"> on data speed, China Mobile is still the </w:t>
      </w:r>
      <w:r w:rsidR="00721801">
        <w:t xml:space="preserve">undisputed </w:t>
      </w:r>
      <w:r w:rsidR="00673F6C">
        <w:t>leader in voice service and coverage.</w:t>
      </w:r>
    </w:p>
    <w:p w14:paraId="31BA6112" w14:textId="77777777" w:rsidR="00375761" w:rsidRDefault="00C555DF" w:rsidP="00556A5F">
      <w:r w:rsidRPr="00C555DF">
        <w:rPr>
          <w:b/>
          <w:u w:val="single"/>
        </w:rPr>
        <w:t>Record of strong financial performanc</w:t>
      </w:r>
      <w:r w:rsidR="00177FC2">
        <w:rPr>
          <w:b/>
          <w:u w:val="single"/>
        </w:rPr>
        <w:t>e</w:t>
      </w:r>
      <w:r>
        <w:t xml:space="preserve">- </w:t>
      </w:r>
      <w:r w:rsidR="00033851">
        <w:t xml:space="preserve">China Mobile has demonstrated strong financial performance in recent years, earning an ROE of about 20%, compared to about 7% and 3% for China Telecom and China Unicom, respectively. </w:t>
      </w:r>
      <w:r w:rsidR="005D4311">
        <w:t xml:space="preserve">The company has </w:t>
      </w:r>
      <w:r w:rsidR="0075085A">
        <w:t xml:space="preserve">also </w:t>
      </w:r>
      <w:r w:rsidR="005D4311">
        <w:t>been able to reduce average operating expenses and SG&amp;A expenses per user per month as it realizes benefits of scale.</w:t>
      </w:r>
      <w:r w:rsidR="0075085A">
        <w:t xml:space="preserve"> This should continue to benefit the company as it adds new users and expands its network coverage.</w:t>
      </w:r>
    </w:p>
    <w:p w14:paraId="562AAEB4" w14:textId="77777777" w:rsidR="00CC39CA" w:rsidRPr="00CC53CA" w:rsidRDefault="00CC39CA">
      <w:pPr>
        <w:rPr>
          <w:b/>
        </w:rPr>
      </w:pPr>
      <w:r w:rsidRPr="00CC53CA">
        <w:rPr>
          <w:b/>
        </w:rPr>
        <w:t>Weaknesses</w:t>
      </w:r>
    </w:p>
    <w:p w14:paraId="3E7D0DF3" w14:textId="77777777" w:rsidR="00D45EF9" w:rsidRDefault="00B7745E">
      <w:r>
        <w:rPr>
          <w:b/>
          <w:u w:val="single"/>
        </w:rPr>
        <w:t>Inferior 3G Network Compared to Competitors</w:t>
      </w:r>
      <w:r w:rsidR="00842633">
        <w:t xml:space="preserve"> - </w:t>
      </w:r>
      <w:r w:rsidR="00D45EF9">
        <w:t xml:space="preserve">TD-SCDMA is a new standard that is only used in China and </w:t>
      </w:r>
      <w:r w:rsidR="00B05FD5">
        <w:t xml:space="preserve">is </w:t>
      </w:r>
      <w:r w:rsidR="00D45EF9">
        <w:t xml:space="preserve">considered inferior to the 3G standards developed in the US and Europe. </w:t>
      </w:r>
      <w:r w:rsidR="00831896">
        <w:t xml:space="preserve">This has yet to become a significant issue because 70% of the data traffic carried in 2010 was still on the 2G network. </w:t>
      </w:r>
      <w:r w:rsidR="002B6229">
        <w:t xml:space="preserve">However, </w:t>
      </w:r>
      <w:r w:rsidR="002B6229">
        <w:lastRenderedPageBreak/>
        <w:t>the base of 3G users</w:t>
      </w:r>
      <w:r w:rsidR="00E82C13">
        <w:t xml:space="preserve"> in China</w:t>
      </w:r>
      <w:r w:rsidR="002B6229">
        <w:t xml:space="preserve"> is growing rapidly, and</w:t>
      </w:r>
      <w:r w:rsidR="00831896">
        <w:t xml:space="preserve"> </w:t>
      </w:r>
      <w:r w:rsidR="002B6229">
        <w:t>u</w:t>
      </w:r>
      <w:r w:rsidR="00D45EF9">
        <w:t xml:space="preserve">ser complaints about </w:t>
      </w:r>
      <w:r w:rsidR="002B6229">
        <w:t xml:space="preserve">China Mobile’s </w:t>
      </w:r>
      <w:r w:rsidR="00D45EF9">
        <w:t xml:space="preserve">slow download speeds </w:t>
      </w:r>
      <w:r w:rsidR="00EC4FB9">
        <w:t xml:space="preserve">(about </w:t>
      </w:r>
      <w:r w:rsidR="00B05FD5">
        <w:t>3</w:t>
      </w:r>
      <w:r w:rsidR="00EC4FB9">
        <w:t>-10</w:t>
      </w:r>
      <w:r w:rsidR="00D45EF9">
        <w:t xml:space="preserve">x slower than China Unicom’s W-CDMA network) </w:t>
      </w:r>
      <w:r w:rsidR="002B6229">
        <w:t xml:space="preserve">have </w:t>
      </w:r>
      <w:r w:rsidR="00C32AE5">
        <w:t>intensified</w:t>
      </w:r>
      <w:r w:rsidR="002B6229">
        <w:t xml:space="preserve">, threatening </w:t>
      </w:r>
      <w:r w:rsidR="00EC4FB9">
        <w:t>the company’s</w:t>
      </w:r>
      <w:r w:rsidR="002B6229">
        <w:t xml:space="preserve"> future share of the</w:t>
      </w:r>
      <w:r w:rsidR="00D45EF9">
        <w:t xml:space="preserve"> </w:t>
      </w:r>
      <w:r w:rsidR="00132A82">
        <w:t xml:space="preserve">3G </w:t>
      </w:r>
      <w:r w:rsidR="002B6229">
        <w:t>market.</w:t>
      </w:r>
      <w:r w:rsidR="00FF14A7">
        <w:t xml:space="preserve"> Though China Mobile has a 70% share of the overall mobile market, it has only 44% of the 3G market.</w:t>
      </w:r>
    </w:p>
    <w:p w14:paraId="5E8D05F5" w14:textId="77777777" w:rsidR="007E4081" w:rsidRDefault="0015231D" w:rsidP="004F344F">
      <w:r>
        <w:rPr>
          <w:b/>
          <w:u w:val="single"/>
        </w:rPr>
        <w:t>Incompatibility</w:t>
      </w:r>
      <w:r w:rsidR="00842633" w:rsidRPr="00842633">
        <w:rPr>
          <w:b/>
          <w:u w:val="single"/>
        </w:rPr>
        <w:t xml:space="preserve"> with </w:t>
      </w:r>
      <w:r>
        <w:rPr>
          <w:b/>
          <w:u w:val="single"/>
        </w:rPr>
        <w:t xml:space="preserve">Popular </w:t>
      </w:r>
      <w:r w:rsidR="00842633" w:rsidRPr="00842633">
        <w:rPr>
          <w:b/>
          <w:u w:val="single"/>
        </w:rPr>
        <w:t>Hardware Manufacturers</w:t>
      </w:r>
      <w:r w:rsidR="00842633">
        <w:t xml:space="preserve"> - </w:t>
      </w:r>
      <w:r w:rsidR="007E4081">
        <w:t>Another obstacle to high-end user retention is the lack of compatibility betwe</w:t>
      </w:r>
      <w:r w:rsidR="00E700FB">
        <w:t xml:space="preserve">en popular high-end smartphones </w:t>
      </w:r>
      <w:r w:rsidR="007E4081">
        <w:t>and China Mobile’</w:t>
      </w:r>
      <w:r w:rsidR="009A23B3">
        <w:t xml:space="preserve">s </w:t>
      </w:r>
      <w:r w:rsidR="00E700FB">
        <w:t xml:space="preserve">TD-SCDMA </w:t>
      </w:r>
      <w:r w:rsidR="009A23B3">
        <w:t xml:space="preserve">network. </w:t>
      </w:r>
      <w:r w:rsidR="006110B9">
        <w:t xml:space="preserve">China Unicom, </w:t>
      </w:r>
      <w:r w:rsidR="00132A82">
        <w:t>the only carrier in China that of</w:t>
      </w:r>
      <w:r w:rsidR="006110B9">
        <w:t>fers the iPhone with a contract</w:t>
      </w:r>
      <w:r>
        <w:t xml:space="preserve"> (through its more common W-CDMA network)</w:t>
      </w:r>
      <w:r w:rsidR="006110B9">
        <w:t>,</w:t>
      </w:r>
      <w:r w:rsidR="000E25C1">
        <w:t xml:space="preserve"> has been fiercely competing </w:t>
      </w:r>
      <w:r w:rsidR="00730B5A">
        <w:t>to lure high</w:t>
      </w:r>
      <w:r w:rsidR="00D471C2">
        <w:t>-</w:t>
      </w:r>
      <w:r w:rsidR="00730B5A">
        <w:t xml:space="preserve">end users away from </w:t>
      </w:r>
      <w:r w:rsidR="006110B9">
        <w:t>China Mobile</w:t>
      </w:r>
      <w:r w:rsidR="001664E2">
        <w:t>.</w:t>
      </w:r>
      <w:r w:rsidR="00D471C2">
        <w:t xml:space="preserve"> </w:t>
      </w:r>
      <w:r w:rsidR="002D0929">
        <w:t xml:space="preserve">In response, </w:t>
      </w:r>
      <w:r w:rsidR="00D471C2">
        <w:t xml:space="preserve">China Mobile </w:t>
      </w:r>
      <w:r w:rsidR="002D0929">
        <w:t>has</w:t>
      </w:r>
      <w:r w:rsidR="00D471C2">
        <w:t xml:space="preserve"> announced plans to purchase </w:t>
      </w:r>
      <w:r w:rsidR="0001594F">
        <w:t xml:space="preserve">a set of </w:t>
      </w:r>
      <w:r w:rsidR="00D471C2">
        <w:t>new TD-SCDMA-compatible smartphones from international vendors (possibly HTC or Samsung) in the second half of 2011</w:t>
      </w:r>
      <w:r w:rsidR="00DE5481">
        <w:t>, but the new phones may not be enough to compete with the popularity of the iP</w:t>
      </w:r>
      <w:r w:rsidR="00A74D8A">
        <w:t xml:space="preserve">hone and other </w:t>
      </w:r>
      <w:r w:rsidR="00196D2E">
        <w:t>well-known</w:t>
      </w:r>
      <w:r w:rsidR="00A74D8A">
        <w:t xml:space="preserve"> handsets.</w:t>
      </w:r>
    </w:p>
    <w:p w14:paraId="632A6A4F" w14:textId="77777777" w:rsidR="00823134" w:rsidRDefault="003228AC" w:rsidP="00823134">
      <w:r>
        <w:rPr>
          <w:b/>
          <w:u w:val="single"/>
        </w:rPr>
        <w:t>Margins Pressured by Infrastructure Spending</w:t>
      </w:r>
      <w:r w:rsidR="00842633">
        <w:t xml:space="preserve"> - </w:t>
      </w:r>
      <w:r w:rsidR="002A3C8A">
        <w:t xml:space="preserve">EBITDA margins, though strong at </w:t>
      </w:r>
      <w:r w:rsidR="00C31428">
        <w:t>about</w:t>
      </w:r>
      <w:r w:rsidR="00EC6CA2">
        <w:t xml:space="preserve"> 46</w:t>
      </w:r>
      <w:r w:rsidR="002A3C8A">
        <w:t>%, have been on the decline from historical levels of 50% or more. This trend is due to increasing infrastructure costs (leased lines, maintenance, personnel), and given the need for more improvements to the</w:t>
      </w:r>
      <w:r w:rsidR="00895AAB">
        <w:t xml:space="preserve"> company’s young</w:t>
      </w:r>
      <w:r w:rsidR="002A3C8A">
        <w:t xml:space="preserve"> </w:t>
      </w:r>
      <w:r w:rsidR="00C2549C">
        <w:t xml:space="preserve">and problematic </w:t>
      </w:r>
      <w:r w:rsidR="002A3C8A">
        <w:t xml:space="preserve">3G network, we don’t expect margins to improve going forward. </w:t>
      </w:r>
      <w:r w:rsidR="00C20A4A">
        <w:t xml:space="preserve">The increasing </w:t>
      </w:r>
      <w:proofErr w:type="gramStart"/>
      <w:r w:rsidR="00C20A4A">
        <w:t>competition from China Unicom</w:t>
      </w:r>
      <w:r w:rsidR="00490252">
        <w:t>,</w:t>
      </w:r>
      <w:r w:rsidR="00C20A4A">
        <w:t xml:space="preserve"> in particular</w:t>
      </w:r>
      <w:r w:rsidR="00490252">
        <w:t>,</w:t>
      </w:r>
      <w:r w:rsidR="00DB49A4">
        <w:t xml:space="preserve"> </w:t>
      </w:r>
      <w:r w:rsidR="00C20A4A">
        <w:t>will</w:t>
      </w:r>
      <w:proofErr w:type="gramEnd"/>
      <w:r w:rsidR="00C20A4A">
        <w:t xml:space="preserve"> also likely pressure margins.</w:t>
      </w:r>
      <w:r w:rsidR="001E7F0B">
        <w:t xml:space="preserve"> We have already seen average revenue per user </w:t>
      </w:r>
      <w:r w:rsidR="00D24AE4">
        <w:t xml:space="preserve">(ARPU) </w:t>
      </w:r>
      <w:r w:rsidR="001E7F0B">
        <w:t>decline from last year.</w:t>
      </w:r>
    </w:p>
    <w:p w14:paraId="6D3D3E86" w14:textId="77777777" w:rsidR="00CC39CA" w:rsidRPr="004F344F" w:rsidRDefault="00CC39CA">
      <w:pPr>
        <w:rPr>
          <w:b/>
        </w:rPr>
      </w:pPr>
      <w:r w:rsidRPr="004F344F">
        <w:rPr>
          <w:b/>
        </w:rPr>
        <w:t>Revenue and Earnings Growth over 3 Years</w:t>
      </w:r>
    </w:p>
    <w:p w14:paraId="6194951C" w14:textId="77777777" w:rsidR="00375761" w:rsidRDefault="006B7C22" w:rsidP="00103719">
      <w:r>
        <w:t>Analyst estimates are pricing in</w:t>
      </w:r>
      <w:r w:rsidR="00103719">
        <w:t xml:space="preserve"> revenue growth of about 7-8% over the next 3 years and e</w:t>
      </w:r>
      <w:r>
        <w:t>arnings growth of 3</w:t>
      </w:r>
      <w:r w:rsidR="00032912">
        <w:t>-5</w:t>
      </w:r>
      <w:r w:rsidR="00103719">
        <w:t>%.</w:t>
      </w:r>
      <w:r>
        <w:t xml:space="preserve"> </w:t>
      </w:r>
      <w:r w:rsidR="00032912">
        <w:t xml:space="preserve">Due to the problems with China Mobile’s </w:t>
      </w:r>
      <w:r w:rsidR="00F92518">
        <w:t xml:space="preserve">immature </w:t>
      </w:r>
      <w:r w:rsidR="00032912">
        <w:t xml:space="preserve">TD-SCDMA network, its </w:t>
      </w:r>
      <w:r w:rsidR="00F92518">
        <w:t>dependence on 2G</w:t>
      </w:r>
      <w:r w:rsidR="00032912">
        <w:t xml:space="preserve"> for revenues, and the lack of </w:t>
      </w:r>
      <w:r w:rsidR="00F92518">
        <w:t xml:space="preserve">near-term </w:t>
      </w:r>
      <w:r w:rsidR="00032912">
        <w:t>growth drivers</w:t>
      </w:r>
      <w:r w:rsidR="00F92518">
        <w:t xml:space="preserve"> in the face of growing competition, we expect revenue and earnings growth </w:t>
      </w:r>
      <w:r w:rsidR="00936A13">
        <w:t xml:space="preserve">to be </w:t>
      </w:r>
      <w:r w:rsidR="00F92518">
        <w:t xml:space="preserve">on the lower side of </w:t>
      </w:r>
      <w:r w:rsidR="00CC0DB5">
        <w:t>those</w:t>
      </w:r>
      <w:r w:rsidR="00F92518">
        <w:t xml:space="preserve"> range</w:t>
      </w:r>
      <w:r w:rsidR="00CC0DB5">
        <w:t>s</w:t>
      </w:r>
      <w:r w:rsidR="00F92518">
        <w:t>.</w:t>
      </w:r>
      <w:r w:rsidR="002E1971">
        <w:t xml:space="preserve"> </w:t>
      </w:r>
      <w:r w:rsidR="004700D4">
        <w:t>The company is a telecom giant that</w:t>
      </w:r>
      <w:r w:rsidR="003647FD">
        <w:t xml:space="preserve"> requires large capital investments in infrastructure in order to </w:t>
      </w:r>
      <w:r w:rsidR="00341A49">
        <w:t>drive</w:t>
      </w:r>
      <w:r w:rsidR="00170D75">
        <w:t xml:space="preserve"> </w:t>
      </w:r>
      <w:r w:rsidR="004700D4">
        <w:t xml:space="preserve">growth, but it will take at least 3 years for the more promising investments (4G networks) to </w:t>
      </w:r>
      <w:r w:rsidR="006C55BC">
        <w:t>pay off.</w:t>
      </w:r>
    </w:p>
    <w:p w14:paraId="1C294BE2" w14:textId="77777777" w:rsidR="00CC39CA" w:rsidRPr="00DA5CE4" w:rsidRDefault="00CC39CA">
      <w:pPr>
        <w:rPr>
          <w:b/>
        </w:rPr>
      </w:pPr>
      <w:r w:rsidRPr="00DA5CE4">
        <w:rPr>
          <w:b/>
        </w:rPr>
        <w:t>Valuation</w:t>
      </w:r>
      <w:r w:rsidR="003E1226">
        <w:rPr>
          <w:b/>
        </w:rPr>
        <w:t xml:space="preserve"> – Hold</w:t>
      </w:r>
    </w:p>
    <w:p w14:paraId="7750E87A" w14:textId="77777777" w:rsidR="00CF68CE" w:rsidRDefault="008F7F13">
      <w:r>
        <w:t xml:space="preserve">China Mobile is </w:t>
      </w:r>
      <w:r w:rsidR="008C4129">
        <w:t>not a growth company</w:t>
      </w:r>
      <w:r w:rsidR="000827AD">
        <w:t xml:space="preserve"> despite the rapidly growing market that it serves</w:t>
      </w:r>
      <w:r w:rsidR="008C4129">
        <w:t xml:space="preserve">. It is </w:t>
      </w:r>
      <w:r>
        <w:t xml:space="preserve">a </w:t>
      </w:r>
      <w:r w:rsidR="00FE3D76">
        <w:t xml:space="preserve">mature, </w:t>
      </w:r>
      <w:r>
        <w:t>defensive mega-</w:t>
      </w:r>
      <w:r w:rsidR="00A42F1A">
        <w:t xml:space="preserve">cap </w:t>
      </w:r>
      <w:r>
        <w:t xml:space="preserve">name </w:t>
      </w:r>
      <w:r w:rsidR="002D5C8A">
        <w:t>that ha</w:t>
      </w:r>
      <w:r w:rsidR="008C4129">
        <w:t xml:space="preserve">s traded in a predictably steady </w:t>
      </w:r>
      <w:r>
        <w:t>range over the past 3 years.</w:t>
      </w:r>
      <w:r w:rsidR="00E37839">
        <w:t xml:space="preserve"> </w:t>
      </w:r>
      <w:r w:rsidR="003C3163">
        <w:t xml:space="preserve">Like any large company, </w:t>
      </w:r>
      <w:r w:rsidR="00936A13">
        <w:t>it is c</w:t>
      </w:r>
      <w:r w:rsidR="00346E1E">
        <w:t xml:space="preserve">losely </w:t>
      </w:r>
      <w:r w:rsidR="00936A13">
        <w:t xml:space="preserve">followed </w:t>
      </w:r>
      <w:r w:rsidR="00346E1E">
        <w:t xml:space="preserve">by </w:t>
      </w:r>
      <w:r w:rsidR="00936A13">
        <w:t>a large number of</w:t>
      </w:r>
      <w:r w:rsidR="00346E1E">
        <w:t xml:space="preserve"> analysts, and there have been no significant </w:t>
      </w:r>
      <w:r w:rsidR="00936A13">
        <w:t xml:space="preserve">price catalysts in recent years. </w:t>
      </w:r>
    </w:p>
    <w:p w14:paraId="75F3862E" w14:textId="77777777" w:rsidR="000827AD" w:rsidRDefault="00E72150">
      <w:r>
        <w:t>We believe the stock is priced slightly below fair value. It</w:t>
      </w:r>
      <w:r w:rsidR="000827AD">
        <w:t xml:space="preserve"> </w:t>
      </w:r>
      <w:r w:rsidR="001B5A2B">
        <w:t>trades at about</w:t>
      </w:r>
      <w:r w:rsidR="002D1125">
        <w:t xml:space="preserve"> 9x</w:t>
      </w:r>
      <w:r w:rsidR="001B5A2B">
        <w:t xml:space="preserve"> </w:t>
      </w:r>
      <w:r w:rsidR="000827AD">
        <w:t xml:space="preserve">forward </w:t>
      </w:r>
      <w:r w:rsidR="001B5A2B">
        <w:t xml:space="preserve">earnings, which </w:t>
      </w:r>
      <w:r w:rsidR="000827AD">
        <w:t>is low compared to China Telecom (17x) and China Unicom (50x</w:t>
      </w:r>
      <w:r w:rsidR="00CF68CE">
        <w:t>) but reflects expectations of mat</w:t>
      </w:r>
      <w:r w:rsidR="00864383">
        <w:t>ure growth rates and slightly declining EBITDA margins going forward.</w:t>
      </w:r>
    </w:p>
    <w:p w14:paraId="1A6F8847" w14:textId="77777777" w:rsidR="00A42F1A" w:rsidRDefault="003E1226">
      <w:r>
        <w:t>W</w:t>
      </w:r>
      <w:r w:rsidR="00070498">
        <w:t>e recommend a</w:t>
      </w:r>
      <w:r w:rsidR="00CD5694">
        <w:t xml:space="preserve"> HOLD on the stock. </w:t>
      </w:r>
      <w:r w:rsidR="006847E4">
        <w:t>In addition to the hefty dividend yield of 4-5%, w</w:t>
      </w:r>
      <w:r w:rsidR="00CD5694">
        <w:t>e</w:t>
      </w:r>
      <w:r w:rsidR="00CC3EE8">
        <w:t xml:space="preserve"> see</w:t>
      </w:r>
      <w:r w:rsidR="00070498">
        <w:t xml:space="preserve"> limited downside risk</w:t>
      </w:r>
      <w:r w:rsidR="00CC3EE8">
        <w:t xml:space="preserve"> from the current price</w:t>
      </w:r>
      <w:r w:rsidR="006847E4">
        <w:t xml:space="preserve"> and</w:t>
      </w:r>
      <w:r w:rsidR="00070498">
        <w:t xml:space="preserve"> potential upside if competition</w:t>
      </w:r>
      <w:r w:rsidR="00976FED">
        <w:t xml:space="preserve"> from China Unicom</w:t>
      </w:r>
      <w:r w:rsidR="00070498">
        <w:t xml:space="preserve"> is weaker than expect</w:t>
      </w:r>
      <w:r w:rsidR="006847E4">
        <w:t>ed</w:t>
      </w:r>
      <w:r w:rsidR="00976FED">
        <w:t xml:space="preserve"> or 3G adoption is slower than expected.</w:t>
      </w:r>
    </w:p>
    <w:p w14:paraId="43CBBF1E" w14:textId="77777777" w:rsidR="00433CA9" w:rsidRDefault="006D0F60" w:rsidP="006D0F60">
      <w:pPr>
        <w:pStyle w:val="NoSpacing"/>
      </w:pPr>
      <w:r w:rsidRPr="006D0F60">
        <w:rPr>
          <w:b/>
        </w:rPr>
        <w:lastRenderedPageBreak/>
        <w:t>Figure 1</w:t>
      </w:r>
      <w:r>
        <w:t xml:space="preserve">. </w:t>
      </w:r>
      <w:r w:rsidR="00D55771">
        <w:t xml:space="preserve">CHL has significantly underperformed the Chinese index. </w:t>
      </w:r>
      <w:r w:rsidR="00BA61DC">
        <w:t>The stock</w:t>
      </w:r>
      <w:r w:rsidR="00F80105">
        <w:t xml:space="preserve"> </w:t>
      </w:r>
      <w:r w:rsidR="00BA61DC">
        <w:t>has only rebounded</w:t>
      </w:r>
      <w:r w:rsidR="00F80105">
        <w:t xml:space="preserve"> 27% </w:t>
      </w:r>
      <w:r w:rsidR="00D55771">
        <w:t>from</w:t>
      </w:r>
      <w:r w:rsidR="00F80105">
        <w:t xml:space="preserve"> its October 2008 low during the crisis and remains 54% below its 2007 highs. The MSCI China Index</w:t>
      </w:r>
      <w:r w:rsidR="009F53AC">
        <w:t>, in contrast,</w:t>
      </w:r>
      <w:r w:rsidR="00F80105">
        <w:t xml:space="preserve"> is up 123% from its October 2008 low (and remains 24% below its 2007 high).</w:t>
      </w:r>
    </w:p>
    <w:p w14:paraId="7A6FCBFE" w14:textId="77777777" w:rsidR="00A42F1A" w:rsidRDefault="00FC1647">
      <w:r>
        <w:rPr>
          <w:noProof/>
        </w:rPr>
        <w:pict w14:anchorId="69AEA696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281.25pt;margin-top:30.1pt;width:87.75pt;height:24.75pt;z-index:251658240" stroked="f">
            <v:fill opacity="0"/>
            <v:textbox>
              <w:txbxContent>
                <w:p w14:paraId="6B25D448" w14:textId="77777777" w:rsidR="00433CA9" w:rsidRPr="00433CA9" w:rsidRDefault="00433CA9">
                  <w:pPr>
                    <w:rPr>
                      <w:sz w:val="20"/>
                      <w:szCs w:val="20"/>
                    </w:rPr>
                  </w:pPr>
                  <w:r w:rsidRPr="00433CA9">
                    <w:rPr>
                      <w:sz w:val="20"/>
                      <w:szCs w:val="20"/>
                    </w:rPr>
                    <w:t>MSCI China Index</w:t>
                  </w:r>
                </w:p>
              </w:txbxContent>
            </v:textbox>
          </v:shape>
        </w:pict>
      </w:r>
      <w:r>
        <w:rPr>
          <w:noProof/>
        </w:rPr>
        <w:pict w14:anchorId="6C39BE21">
          <v:shape id="_x0000_s1027" type="#_x0000_t202" style="position:absolute;margin-left:315.75pt;margin-top:98.35pt;width:96.75pt;height:24.75pt;z-index:251659264" stroked="f">
            <v:fill opacity="0"/>
            <v:textbox>
              <w:txbxContent>
                <w:p w14:paraId="30D0A0C3" w14:textId="77777777" w:rsidR="00433CA9" w:rsidRPr="00433CA9" w:rsidRDefault="00E15B79" w:rsidP="00433CA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China Mobile</w:t>
                  </w:r>
                </w:p>
              </w:txbxContent>
            </v:textbox>
          </v:shape>
        </w:pict>
      </w:r>
      <w:r w:rsidR="00A42F1A">
        <w:rPr>
          <w:noProof/>
        </w:rPr>
        <w:drawing>
          <wp:inline distT="0" distB="0" distL="0" distR="0" wp14:anchorId="7E3FD891" wp14:editId="7264381F">
            <wp:extent cx="5991225" cy="3327462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763" t="37764" r="13569" b="7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2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1D745" w14:textId="77777777" w:rsidR="00BA61DC" w:rsidRDefault="006D0F60" w:rsidP="006D0F60">
      <w:pPr>
        <w:pStyle w:val="NoSpacing"/>
      </w:pPr>
      <w:r w:rsidRPr="006D0F60">
        <w:rPr>
          <w:b/>
        </w:rPr>
        <w:t>Figure 2.</w:t>
      </w:r>
      <w:r>
        <w:t xml:space="preserve"> </w:t>
      </w:r>
      <w:r w:rsidR="00BA61DC">
        <w:t xml:space="preserve">CHL has traded in a </w:t>
      </w:r>
      <w:r w:rsidR="006D3258">
        <w:t xml:space="preserve">relatively </w:t>
      </w:r>
      <w:r w:rsidR="00BA61DC">
        <w:t xml:space="preserve">narrow range </w:t>
      </w:r>
      <w:r w:rsidR="006D3258">
        <w:t>over</w:t>
      </w:r>
      <w:r w:rsidR="00BA61DC">
        <w:t xml:space="preserve"> the past 3 years and is currently only 27% </w:t>
      </w:r>
      <w:r w:rsidR="008B3114">
        <w:t>off of</w:t>
      </w:r>
      <w:r w:rsidR="00BA61DC">
        <w:t xml:space="preserve"> its financial crisis low</w:t>
      </w:r>
      <w:r>
        <w:t>s.</w:t>
      </w:r>
    </w:p>
    <w:p w14:paraId="31DC3F9E" w14:textId="77777777" w:rsidR="00BA61DC" w:rsidRDefault="00FC1647" w:rsidP="00BA61DC">
      <w:r>
        <w:rPr>
          <w:noProof/>
        </w:rPr>
        <w:pict w14:anchorId="09C9EA70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30" type="#_x0000_t32" style="position:absolute;margin-left:96pt;margin-top:94.6pt;width:396pt;height:0;z-index:251661312" o:connectortype="straight" strokeweight="1pt">
            <v:stroke dashstyle="dash"/>
          </v:shape>
        </w:pict>
      </w:r>
      <w:r>
        <w:rPr>
          <w:noProof/>
        </w:rPr>
        <w:pict w14:anchorId="223370D4">
          <v:shape id="_x0000_s1031" type="#_x0000_t32" style="position:absolute;margin-left:98.25pt;margin-top:134.35pt;width:393.75pt;height:0;z-index:251662336" o:connectortype="straight" strokeweight="1pt">
            <v:stroke dashstyle="dash"/>
          </v:shape>
        </w:pict>
      </w:r>
      <w:r w:rsidR="00BA61DC">
        <w:rPr>
          <w:noProof/>
        </w:rPr>
        <w:drawing>
          <wp:inline distT="0" distB="0" distL="0" distR="0" wp14:anchorId="2A7C39F4" wp14:editId="7AC7FD4F">
            <wp:extent cx="6096000" cy="3403062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804" t="27756" r="15000" b="18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0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16A29" w14:textId="77777777" w:rsidR="00D55771" w:rsidRDefault="00D55771"/>
    <w:p w14:paraId="24D297F7" w14:textId="77777777" w:rsidR="006D0F60" w:rsidRPr="006D0F60" w:rsidRDefault="006D0F60">
      <w:pPr>
        <w:rPr>
          <w:b/>
        </w:rPr>
      </w:pPr>
      <w:r w:rsidRPr="006D0F60">
        <w:rPr>
          <w:b/>
        </w:rPr>
        <w:lastRenderedPageBreak/>
        <w:t>Figure 3.</w:t>
      </w:r>
      <w:r w:rsidRPr="006D0F60">
        <w:t xml:space="preserve"> </w:t>
      </w:r>
      <w:r>
        <w:t>Competitor multiples and dividend yield</w:t>
      </w:r>
    </w:p>
    <w:p w14:paraId="3E1C95E1" w14:textId="77777777" w:rsidR="00D55771" w:rsidRDefault="00D55771">
      <w:r>
        <w:rPr>
          <w:noProof/>
        </w:rPr>
        <w:drawing>
          <wp:inline distT="0" distB="0" distL="0" distR="0" wp14:anchorId="654DBE53" wp14:editId="728B7574">
            <wp:extent cx="6076950" cy="11122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87" cy="111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5771" w:rsidSect="00CF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C39CA"/>
    <w:rsid w:val="000102B6"/>
    <w:rsid w:val="0001594F"/>
    <w:rsid w:val="00032912"/>
    <w:rsid w:val="00033851"/>
    <w:rsid w:val="00044BCE"/>
    <w:rsid w:val="0006429F"/>
    <w:rsid w:val="0007041B"/>
    <w:rsid w:val="00070498"/>
    <w:rsid w:val="00082763"/>
    <w:rsid w:val="000827AD"/>
    <w:rsid w:val="000A129E"/>
    <w:rsid w:val="000E0A81"/>
    <w:rsid w:val="000E25C1"/>
    <w:rsid w:val="000E3454"/>
    <w:rsid w:val="00103719"/>
    <w:rsid w:val="00132A82"/>
    <w:rsid w:val="001352D2"/>
    <w:rsid w:val="00136D62"/>
    <w:rsid w:val="00144791"/>
    <w:rsid w:val="0015231D"/>
    <w:rsid w:val="0015450D"/>
    <w:rsid w:val="001664E2"/>
    <w:rsid w:val="00170D75"/>
    <w:rsid w:val="00177FC2"/>
    <w:rsid w:val="00196D2E"/>
    <w:rsid w:val="001B5A2B"/>
    <w:rsid w:val="001E7F0B"/>
    <w:rsid w:val="001F1452"/>
    <w:rsid w:val="00225B31"/>
    <w:rsid w:val="0024582C"/>
    <w:rsid w:val="00293C2A"/>
    <w:rsid w:val="002A3C8A"/>
    <w:rsid w:val="002B55E2"/>
    <w:rsid w:val="002B6229"/>
    <w:rsid w:val="002D0929"/>
    <w:rsid w:val="002D1125"/>
    <w:rsid w:val="002D5C8A"/>
    <w:rsid w:val="002E1971"/>
    <w:rsid w:val="002F5C9D"/>
    <w:rsid w:val="00316AB9"/>
    <w:rsid w:val="003228AC"/>
    <w:rsid w:val="0033338D"/>
    <w:rsid w:val="00341A49"/>
    <w:rsid w:val="00346E1E"/>
    <w:rsid w:val="003647FD"/>
    <w:rsid w:val="00375761"/>
    <w:rsid w:val="00383B64"/>
    <w:rsid w:val="003C3163"/>
    <w:rsid w:val="003C3C34"/>
    <w:rsid w:val="003E1226"/>
    <w:rsid w:val="004036C7"/>
    <w:rsid w:val="00404D7B"/>
    <w:rsid w:val="0041776C"/>
    <w:rsid w:val="00420570"/>
    <w:rsid w:val="00433CA9"/>
    <w:rsid w:val="00443FE6"/>
    <w:rsid w:val="004700D4"/>
    <w:rsid w:val="004838AA"/>
    <w:rsid w:val="00487AA1"/>
    <w:rsid w:val="00490252"/>
    <w:rsid w:val="00495CA7"/>
    <w:rsid w:val="004A380B"/>
    <w:rsid w:val="004D03A4"/>
    <w:rsid w:val="004E760E"/>
    <w:rsid w:val="004F344F"/>
    <w:rsid w:val="00503E33"/>
    <w:rsid w:val="00516A01"/>
    <w:rsid w:val="005230B1"/>
    <w:rsid w:val="0053014E"/>
    <w:rsid w:val="0053773B"/>
    <w:rsid w:val="00556A5F"/>
    <w:rsid w:val="00571466"/>
    <w:rsid w:val="00581434"/>
    <w:rsid w:val="005A3379"/>
    <w:rsid w:val="005D4311"/>
    <w:rsid w:val="005E4D97"/>
    <w:rsid w:val="006025CE"/>
    <w:rsid w:val="006110B9"/>
    <w:rsid w:val="006251C5"/>
    <w:rsid w:val="00625EF0"/>
    <w:rsid w:val="006505FF"/>
    <w:rsid w:val="00660E9D"/>
    <w:rsid w:val="0066291E"/>
    <w:rsid w:val="0066729C"/>
    <w:rsid w:val="00673F6C"/>
    <w:rsid w:val="00681C3A"/>
    <w:rsid w:val="0068284C"/>
    <w:rsid w:val="006847E4"/>
    <w:rsid w:val="006B7C22"/>
    <w:rsid w:val="006C55BC"/>
    <w:rsid w:val="006D0F60"/>
    <w:rsid w:val="006D3258"/>
    <w:rsid w:val="006D5242"/>
    <w:rsid w:val="006E06AC"/>
    <w:rsid w:val="006E77DC"/>
    <w:rsid w:val="00701C29"/>
    <w:rsid w:val="007103D2"/>
    <w:rsid w:val="00721801"/>
    <w:rsid w:val="0072683F"/>
    <w:rsid w:val="00730B5A"/>
    <w:rsid w:val="00740934"/>
    <w:rsid w:val="00747498"/>
    <w:rsid w:val="0075085A"/>
    <w:rsid w:val="0077092C"/>
    <w:rsid w:val="0077293B"/>
    <w:rsid w:val="007C1500"/>
    <w:rsid w:val="007E4081"/>
    <w:rsid w:val="00804D9D"/>
    <w:rsid w:val="00807001"/>
    <w:rsid w:val="00823134"/>
    <w:rsid w:val="00831896"/>
    <w:rsid w:val="00833866"/>
    <w:rsid w:val="00842633"/>
    <w:rsid w:val="00842CB0"/>
    <w:rsid w:val="00842EF0"/>
    <w:rsid w:val="00864383"/>
    <w:rsid w:val="00895AAB"/>
    <w:rsid w:val="008A7232"/>
    <w:rsid w:val="008B3114"/>
    <w:rsid w:val="008C4129"/>
    <w:rsid w:val="008F3171"/>
    <w:rsid w:val="008F7F13"/>
    <w:rsid w:val="00913F60"/>
    <w:rsid w:val="00936A13"/>
    <w:rsid w:val="009540BD"/>
    <w:rsid w:val="009712E3"/>
    <w:rsid w:val="00976FED"/>
    <w:rsid w:val="009A23B3"/>
    <w:rsid w:val="009B3F1A"/>
    <w:rsid w:val="009C120F"/>
    <w:rsid w:val="009D7849"/>
    <w:rsid w:val="009E1FE1"/>
    <w:rsid w:val="009F53AC"/>
    <w:rsid w:val="00A1457B"/>
    <w:rsid w:val="00A35981"/>
    <w:rsid w:val="00A42F1A"/>
    <w:rsid w:val="00A4456F"/>
    <w:rsid w:val="00A74D8A"/>
    <w:rsid w:val="00B05FD5"/>
    <w:rsid w:val="00B20383"/>
    <w:rsid w:val="00B235C2"/>
    <w:rsid w:val="00B727F3"/>
    <w:rsid w:val="00B7745E"/>
    <w:rsid w:val="00BA2587"/>
    <w:rsid w:val="00BA5988"/>
    <w:rsid w:val="00BA61DC"/>
    <w:rsid w:val="00BC59A4"/>
    <w:rsid w:val="00BD7750"/>
    <w:rsid w:val="00BE6E05"/>
    <w:rsid w:val="00C20A4A"/>
    <w:rsid w:val="00C2549C"/>
    <w:rsid w:val="00C31212"/>
    <w:rsid w:val="00C31428"/>
    <w:rsid w:val="00C32AE5"/>
    <w:rsid w:val="00C555DF"/>
    <w:rsid w:val="00C60846"/>
    <w:rsid w:val="00C67C19"/>
    <w:rsid w:val="00C74A26"/>
    <w:rsid w:val="00CC0DB5"/>
    <w:rsid w:val="00CC39CA"/>
    <w:rsid w:val="00CC3EE8"/>
    <w:rsid w:val="00CC53CA"/>
    <w:rsid w:val="00CD5694"/>
    <w:rsid w:val="00CF68CE"/>
    <w:rsid w:val="00CF711A"/>
    <w:rsid w:val="00D064F6"/>
    <w:rsid w:val="00D24AE4"/>
    <w:rsid w:val="00D34203"/>
    <w:rsid w:val="00D36090"/>
    <w:rsid w:val="00D37BC1"/>
    <w:rsid w:val="00D45EF9"/>
    <w:rsid w:val="00D471C2"/>
    <w:rsid w:val="00D55771"/>
    <w:rsid w:val="00D94C03"/>
    <w:rsid w:val="00DA5CE4"/>
    <w:rsid w:val="00DB49A4"/>
    <w:rsid w:val="00DE5481"/>
    <w:rsid w:val="00DF3877"/>
    <w:rsid w:val="00E024E9"/>
    <w:rsid w:val="00E15B79"/>
    <w:rsid w:val="00E31887"/>
    <w:rsid w:val="00E37839"/>
    <w:rsid w:val="00E700FB"/>
    <w:rsid w:val="00E72150"/>
    <w:rsid w:val="00E82C13"/>
    <w:rsid w:val="00E96474"/>
    <w:rsid w:val="00E97C5B"/>
    <w:rsid w:val="00EC4FB9"/>
    <w:rsid w:val="00EC6CA2"/>
    <w:rsid w:val="00ED2130"/>
    <w:rsid w:val="00EF70F2"/>
    <w:rsid w:val="00F06B92"/>
    <w:rsid w:val="00F11D09"/>
    <w:rsid w:val="00F24250"/>
    <w:rsid w:val="00F267B5"/>
    <w:rsid w:val="00F80105"/>
    <w:rsid w:val="00F83FF1"/>
    <w:rsid w:val="00F92518"/>
    <w:rsid w:val="00FC1647"/>
    <w:rsid w:val="00FD287C"/>
    <w:rsid w:val="00FD311F"/>
    <w:rsid w:val="00FD5CBE"/>
    <w:rsid w:val="00FE3D76"/>
    <w:rsid w:val="00FF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  <w14:docId w14:val="1C1839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39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F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4</Pages>
  <Words>988</Words>
  <Characters>5635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6610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JungEun Lee</cp:lastModifiedBy>
  <cp:revision>212</cp:revision>
  <dcterms:created xsi:type="dcterms:W3CDTF">2011-04-25T02:32:00Z</dcterms:created>
  <dcterms:modified xsi:type="dcterms:W3CDTF">2012-04-11T20:12:00Z</dcterms:modified>
</cp:coreProperties>
</file>