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788"/>
          <w:sz w:val="36"/>
          <w:szCs w:val="36"/>
        </w:rPr>
        <w:t xml:space="preserve">AEROJET AVIATION TRAINING ACADEMY</w:t>
      </w:r>
    </w:p>
    <w:p>
      <w:pPr>
        <w:spacing w:after="60"/>
        <w:jc w:val="center"/>
      </w:pPr>
      <w:r>
        <w:rPr>
          <w:b/>
          <w:bCs/>
          <w:sz w:val="28"/>
          <w:szCs w:val="28"/>
        </w:rPr>
        <w:t xml:space="preserve">EXAM DELIVERY PRICE LIST &amp; BOOKING CONDITIONS</w:t>
      </w:r>
    </w:p>
    <w:p>
      <w:pPr>
        <w:spacing w:after="120"/>
        <w:jc w:val="center"/>
      </w:pPr>
      <w:r>
        <w:rPr>
          <w:i/>
          <w:iCs/>
          <w:sz w:val="22"/>
          <w:szCs w:val="22"/>
        </w:rPr>
        <w:t xml:space="preserve">EASA Part-66 Examinations (Exam Only Model)</w:t>
      </w:r>
    </w:p>
    <w:p>
      <w:pPr>
        <w:spacing w:after="480"/>
        <w:jc w:val="center"/>
      </w:pPr>
      <w:r>
        <w:rPr>
          <w:color w:val="666666"/>
          <w:sz w:val="20"/>
          <w:szCs w:val="20"/>
        </w:rPr>
        <w:t xml:space="preserve">Effective: February 2026</w:t>
      </w:r>
    </w:p>
    <w:p>
      <w:pPr>
        <w:spacing w:before="240" w:after="180"/>
      </w:pPr>
      <w:r>
        <w:rPr>
          <w:b/>
          <w:bCs/>
          <w:sz w:val="24"/>
          <w:szCs w:val="24"/>
        </w:rPr>
        <w:t xml:space="preserve">IMPORTANT NOTICE</w:t>
      </w:r>
    </w:p>
    <w:p>
      <w:pPr>
        <w:spacing w:after="360"/>
      </w:pPr>
      <w:r>
        <w:rPr>
          <w:sz w:val="22"/>
          <w:szCs w:val="22"/>
        </w:rPr>
        <w:t xml:space="preserve">Exam events only run when minimum confirmed bookings are met. All bookings are subject to the Go/No-Go decision at T-21 (21 days before exam event). Confirmed paid bookings that do not meet threshold will automatically roll to the next available event window at no additional cost.</w:t>
      </w:r>
    </w:p>
    <w:p>
      <w:pPr>
        <w:pStyle w:val="Heading1"/>
      </w:pPr>
      <w:r>
        <w:t xml:space="preserve">1. HOW EXAM EVENTS WORK</w:t>
      </w:r>
    </w:p>
    <w:p>
      <w:pPr>
        <w:spacing w:after="180"/>
      </w:pPr>
      <w:r>
        <w:rPr>
          <w:sz w:val="22"/>
          <w:szCs w:val="22"/>
        </w:rPr>
        <w:t xml:space="preserve">Our partner examiner travels to deliver EASA Part-66 module examinations when we reach minimum viable booking thresholds. Each exam event is scheduled approximately every 3 months and runs over 2-3 days to accommodate multiple exam pools (sittings).</w:t>
      </w:r>
    </w:p>
    <w:p>
      <w:pPr>
        <w:pStyle w:val="Heading2"/>
      </w:pPr>
      <w:r>
        <w:t xml:space="preserve">What is an Exam Pool?</w:t>
      </w:r>
    </w:p>
    <w:p>
      <w:pPr>
        <w:spacing w:after="120"/>
      </w:pPr>
      <w:r>
        <w:rPr>
          <w:sz w:val="22"/>
          <w:szCs w:val="22"/>
        </w:rPr>
        <w:t xml:space="preserve">An exam pool is a single exam sitting that brings together candidates who may not know each other. Each pool:</w:t>
      </w:r>
    </w:p>
    <w:p>
      <w:pPr>
        <w:spacing w:after="60"/>
      </w:pPr>
      <w:r>
        <w:rPr>
          <w:sz w:val="22"/>
          <w:szCs w:val="22"/>
        </w:rPr>
        <w:t xml:space="preserve">• </w:t>
      </w:r>
      <w:r>
        <w:rPr>
          <w:sz w:val="22"/>
          <w:szCs w:val="22"/>
        </w:rPr>
        <w:t xml:space="preserve">Accommodates 25-28 candidates</w:t>
      </w:r>
    </w:p>
    <w:p>
      <w:pPr>
        <w:spacing w:after="60"/>
      </w:pPr>
      <w:r>
        <w:rPr>
          <w:sz w:val="22"/>
          <w:szCs w:val="22"/>
        </w:rPr>
        <w:t xml:space="preserve">• </w:t>
      </w:r>
      <w:r>
        <w:rPr>
          <w:b/>
          <w:bCs/>
          <w:sz w:val="22"/>
          <w:szCs w:val="22"/>
        </w:rPr>
        <w:t xml:space="preserve">Each candidate takes ONE module per pool</w:t>
      </w:r>
    </w:p>
    <w:p>
      <w:pPr>
        <w:spacing w:after="60"/>
      </w:pPr>
      <w:r>
        <w:rPr>
          <w:sz w:val="22"/>
          <w:szCs w:val="22"/>
        </w:rPr>
        <w:t xml:space="preserve">• </w:t>
      </w:r>
      <w:r>
        <w:rPr>
          <w:sz w:val="22"/>
          <w:szCs w:val="22"/>
        </w:rPr>
        <w:t xml:space="preserve">Supports up to 4 different module codes within the same sitting</w:t>
      </w:r>
    </w:p>
    <w:p>
      <w:pPr>
        <w:spacing w:after="240"/>
      </w:pPr>
      <w:r>
        <w:rPr>
          <w:sz w:val="22"/>
          <w:szCs w:val="22"/>
        </w:rPr>
        <w:t xml:space="preserve">• </w:t>
      </w:r>
      <w:r>
        <w:rPr>
          <w:sz w:val="22"/>
          <w:szCs w:val="22"/>
        </w:rPr>
        <w:t xml:space="preserve">Confirms automatically when 25 candidates have reserved and paid</w:t>
      </w:r>
    </w:p>
    <w:p>
      <w:pPr>
        <w:spacing w:after="360"/>
      </w:pPr>
      <w:r>
        <w:rPr>
          <w:i/>
          <w:iCs/>
          <w:color w:val="555555"/>
          <w:sz w:val="22"/>
          <w:szCs w:val="22"/>
        </w:rPr>
        <w:t xml:space="preserve">Example: Pool A might have 7 candidates taking M1, 8 taking M7, 6 taking M8, and 5 taking M15 - all in the same exam session.</w:t>
      </w:r>
    </w:p>
    <w:p>
      <w:pPr>
        <w:pStyle w:val="Heading1"/>
      </w:pPr>
      <w:r>
        <w:t xml:space="preserve">2. EXAM PRICING (EUR)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333333" w:sz="2"/>
              <w:left w:val="single" w:color="333333" w:sz="2"/>
              <w:bottom w:val="single" w:color="333333" w:sz="2"/>
              <w:right w:val="single" w:color="333333" w:sz="2"/>
            </w:tcBorders>
            <w:shd w:fill="1F4788" w:val="clear"/>
            <w:tcMar>
              <w:top w:type="dxa" w:w="120"/>
              <w:left w:type="dxa" w:w="150"/>
              <w:bottom w:type="dxa" w:w="120"/>
              <w:right w:type="dxa" w:w="150"/>
            </w:tcMar>
          </w:tcPr>
          <w:p>
            <w:pPr>
              <w:jc w:val="center"/>
            </w:pPr>
            <w:r>
              <w:rPr>
                <w:b/>
                <w:bCs/>
                <w:color w:val="FFFFFF"/>
                <w:sz w:val="24"/>
                <w:szCs w:val="24"/>
              </w:rPr>
              <w:t xml:space="preserve">Booking Type</w:t>
            </w:r>
          </w:p>
        </w:tc>
        <w:tc>
          <w:tcPr>
            <w:tcW w:type="dxa" w:w="1500"/>
            <w:tcBorders>
              <w:top w:val="single" w:color="333333" w:sz="2"/>
              <w:left w:val="single" w:color="333333" w:sz="2"/>
              <w:bottom w:val="single" w:color="333333" w:sz="2"/>
              <w:right w:val="single" w:color="333333" w:sz="2"/>
            </w:tcBorders>
            <w:shd w:fill="1F4788" w:val="clear"/>
            <w:tcMar>
              <w:top w:type="dxa" w:w="120"/>
              <w:left w:type="dxa" w:w="150"/>
              <w:bottom w:type="dxa" w:w="120"/>
              <w:right w:type="dxa" w:w="150"/>
            </w:tcMar>
          </w:tcPr>
          <w:p>
            <w:pPr>
              <w:jc w:val="center"/>
            </w:pPr>
            <w:r>
              <w:rPr>
                <w:b/>
                <w:bCs/>
                <w:color w:val="FFFFFF"/>
                <w:sz w:val="24"/>
                <w:szCs w:val="24"/>
              </w:rPr>
              <w:t xml:space="preserve">Price</w:t>
            </w:r>
          </w:p>
        </w:tc>
        <w:tc>
          <w:tcPr>
            <w:tcW w:type="dxa" w:w="4360"/>
            <w:tcBorders>
              <w:top w:val="single" w:color="333333" w:sz="2"/>
              <w:left w:val="single" w:color="333333" w:sz="2"/>
              <w:bottom w:val="single" w:color="333333" w:sz="2"/>
              <w:right w:val="single" w:color="333333" w:sz="2"/>
            </w:tcBorders>
            <w:shd w:fill="1F4788" w:val="clear"/>
            <w:tcMar>
              <w:top w:type="dxa" w:w="120"/>
              <w:left w:type="dxa" w:w="150"/>
              <w:bottom w:type="dxa" w:w="120"/>
              <w:right w:type="dxa" w:w="150"/>
            </w:tcMar>
          </w:tcPr>
          <w:p>
            <w:pPr>
              <w:jc w:val="center"/>
            </w:pPr>
            <w:r>
              <w:rPr>
                <w:b/>
                <w:bCs/>
                <w:color w:val="FFFFFF"/>
                <w:sz w:val="24"/>
                <w:szCs w:val="24"/>
              </w:rPr>
              <w:t xml:space="preserve">Notes / Inclusions</w:t>
            </w:r>
          </w:p>
        </w:tc>
      </w:tr>
      <w:tr>
        <w:tc>
          <w:tcPr>
            <w:tcW w:type="dxa" w:w="3500"/>
            <w:tcBorders>
              <w:top w:val="single" w:color="CCCCCC" w:sz="1"/>
              <w:left w:val="single" w:color="CCCCCC" w:sz="1"/>
              <w:bottom w:val="single" w:color="CCCCCC" w:sz="1"/>
              <w:right w:val="single" w:color="CCCCCC" w:sz="1"/>
            </w:tcBorders>
            <w:shd w:fill="E8F4EA" w:val="clear"/>
            <w:tcMar>
              <w:top w:type="dxa" w:w="120"/>
              <w:left w:type="dxa" w:w="150"/>
              <w:bottom w:type="dxa" w:w="120"/>
              <w:right w:type="dxa" w:w="150"/>
            </w:tcMar>
          </w:tcPr>
          <w:p>
            <w:r>
              <w:rPr>
                <w:b/>
                <w:bCs/>
                <w:sz w:val="24"/>
                <w:szCs w:val="24"/>
              </w:rPr>
              <w:t xml:space="preserve">Pool Seat</w:t>
            </w:r>
            <w:r>
              <w:rPr>
                <w:sz w:val="20"/>
                <w:szCs w:val="20"/>
              </w:rPr>
              <w:t xml:space="preserve">
</w:t>
            </w:r>
            <w:r>
              <w:rPr>
                <w:i/>
                <w:iCs/>
                <w:color w:val="0D7D2D"/>
                <w:sz w:val="18"/>
                <w:szCs w:val="18"/>
              </w:rPr>
              <w:t xml:space="preserve">(Most Popular)</w:t>
            </w:r>
          </w:p>
        </w:tc>
        <w:tc>
          <w:tcPr>
            <w:tcW w:type="dxa" w:w="1500"/>
            <w:tcBorders>
              <w:top w:val="single" w:color="CCCCCC" w:sz="1"/>
              <w:left w:val="single" w:color="CCCCCC" w:sz="1"/>
              <w:bottom w:val="single" w:color="CCCCCC" w:sz="1"/>
              <w:right w:val="single" w:color="CCCCCC" w:sz="1"/>
            </w:tcBorders>
            <w:shd w:fill="E8F4EA" w:val="clear"/>
            <w:tcMar>
              <w:top w:type="dxa" w:w="120"/>
              <w:left w:type="dxa" w:w="150"/>
              <w:bottom w:type="dxa" w:w="120"/>
              <w:right w:type="dxa" w:w="150"/>
            </w:tcMar>
          </w:tcPr>
          <w:p>
            <w:pPr>
              <w:jc w:val="center"/>
            </w:pPr>
            <w:r>
              <w:rPr>
                <w:b/>
                <w:bCs/>
                <w:color w:val="0D7D2D"/>
                <w:sz w:val="26"/>
                <w:szCs w:val="26"/>
              </w:rPr>
              <w:t xml:space="preserve">€300</w:t>
            </w:r>
          </w:p>
        </w:tc>
        <w:tc>
          <w:tcPr>
            <w:tcW w:type="dxa" w:w="4360"/>
            <w:tcBorders>
              <w:top w:val="single" w:color="CCCCCC" w:sz="1"/>
              <w:left w:val="single" w:color="CCCCCC" w:sz="1"/>
              <w:bottom w:val="single" w:color="CCCCCC" w:sz="1"/>
              <w:right w:val="single" w:color="CCCCCC" w:sz="1"/>
            </w:tcBorders>
            <w:shd w:fill="E8F4EA" w:val="clear"/>
            <w:tcMar>
              <w:top w:type="dxa" w:w="120"/>
              <w:left w:type="dxa" w:w="150"/>
              <w:bottom w:type="dxa" w:w="120"/>
              <w:right w:type="dxa" w:w="150"/>
            </w:tcMar>
          </w:tcPr>
          <w:p>
            <w:r>
              <w:rPr>
                <w:sz w:val="22"/>
                <w:szCs w:val="22"/>
              </w:rPr>
              <w:t xml:space="preserve">One module exam seat. Join via Portal. Pool confirms when 25+ candidates book. Includes pre-exam clinic where scheduled. Save €220 vs individual booking!</w:t>
            </w:r>
          </w:p>
        </w:tc>
      </w:tr>
      <w:tr>
        <w:tc>
          <w:tcPr>
            <w:tcW w:type="dxa" w:w="350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sz w:val="22"/>
                <w:szCs w:val="22"/>
              </w:rPr>
              <w:t xml:space="preserve">Individual Exam Seat</w:t>
            </w:r>
          </w:p>
        </w:tc>
        <w:tc>
          <w:tcPr>
            <w:tcW w:type="dxa" w:w="150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sz w:val="24"/>
                <w:szCs w:val="24"/>
              </w:rPr>
              <w:t xml:space="preserve">€520</w:t>
            </w:r>
          </w:p>
        </w:tc>
        <w:tc>
          <w:tcPr>
            <w:tcW w:type="dxa" w:w="43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sz w:val="22"/>
                <w:szCs w:val="22"/>
              </w:rPr>
              <w:t xml:space="preserve">Guaranteed slot (first-come, first-served). One module exam seat + pre-exam group clinic where scheduled. Premium pricing for flexibility.</w:t>
            </w:r>
          </w:p>
        </w:tc>
      </w:tr>
      <w:tr>
        <w:tc>
          <w:tcPr>
            <w:tcW w:type="dxa" w:w="350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sz w:val="22"/>
                <w:szCs w:val="22"/>
              </w:rPr>
              <w:t xml:space="preserve">2-Seat Bundle</w:t>
            </w:r>
          </w:p>
        </w:tc>
        <w:tc>
          <w:tcPr>
            <w:tcW w:type="dxa" w:w="150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sz w:val="24"/>
                <w:szCs w:val="24"/>
              </w:rPr>
              <w:t xml:space="preserve">€980</w:t>
            </w:r>
          </w:p>
        </w:tc>
        <w:tc>
          <w:tcPr>
            <w:tcW w:type="dxa" w:w="43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t>Two exam seats (€490/seat). Any modules. Valid 12 months. Includes 1 free module change if requested by T-21.</w:t>
            </w:r>
          </w:p>
        </w:tc>
      </w:tr>
      <w:tr>
        <w:tc>
          <w:tcPr>
            <w:tcW w:type="dxa" w:w="350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sz w:val="22"/>
                <w:szCs w:val="22"/>
              </w:rPr>
              <w:t xml:space="preserve">4-Seat Bundle</w:t>
            </w:r>
          </w:p>
        </w:tc>
        <w:tc>
          <w:tcPr>
            <w:tcW w:type="dxa" w:w="150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sz w:val="24"/>
                <w:szCs w:val="24"/>
              </w:rPr>
              <w:t xml:space="preserve">€1,900</w:t>
            </w:r>
          </w:p>
        </w:tc>
        <w:tc>
          <w:tcPr>
            <w:tcW w:type="dxa" w:w="43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t>Four exam seats (€475/seat). Any modules. Valid 12 months. Includes 2 free module changes if requested by T-21.</w:t>
            </w:r>
          </w:p>
        </w:tc>
      </w:tr>
      <w:tr>
        <w:tc>
          <w:tcPr>
            <w:tcW w:type="dxa" w:w="350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sz w:val="22"/>
                <w:szCs w:val="22"/>
              </w:rPr>
              <w:t xml:space="preserve">Resit (outside of bundle)</w:t>
            </w:r>
          </w:p>
        </w:tc>
        <w:tc>
          <w:tcPr>
            <w:tcW w:type="dxa" w:w="150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sz w:val="24"/>
                <w:szCs w:val="24"/>
              </w:rPr>
              <w:t xml:space="preserve">€480</w:t>
            </w:r>
          </w:p>
        </w:tc>
        <w:tc>
          <w:tcPr>
            <w:tcW w:type="dxa" w:w="43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sz w:val="22"/>
                <w:szCs w:val="22"/>
              </w:rPr>
              <w:t xml:space="preserve">Subject to availability in upcoming exam windows.</w:t>
            </w:r>
          </w:p>
        </w:tc>
      </w:tr>
      <w:tr>
        <w:tc>
          <w:tcPr>
            <w:tcW w:type="dxa" w:w="3500"/>
            <w:tcBorders>
              <w:top w:val="single" w:color="CCCCCC" w:sz="1"/>
              <w:left w:val="single" w:color="CCCCCC" w:sz="1"/>
              <w:bottom w:val="single" w:color="CCCCCC" w:sz="1"/>
              <w:right w:val="single" w:color="CCCCCC" w:sz="1"/>
            </w:tcBorders>
            <w:shd w:fill="FFF4E6" w:val="clear"/>
            <w:tcMar>
              <w:top w:type="dxa" w:w="120"/>
              <w:left w:type="dxa" w:w="150"/>
              <w:bottom w:type="dxa" w:w="120"/>
              <w:right w:type="dxa" w:w="150"/>
            </w:tcMar>
          </w:tcPr>
          <w:p>
            <w:r>
              <w:rPr>
                <w:b/>
                <w:bCs/>
                <w:sz w:val="22"/>
                <w:szCs w:val="22"/>
              </w:rPr>
              <w:t xml:space="preserve">Organization/Military Group Charter</w:t>
            </w:r>
            <w:r>
              <w:rPr>
                <w:sz w:val="18"/>
                <w:szCs w:val="18"/>
              </w:rPr>
              <w:t xml:space="preserve">
</w:t>
            </w:r>
            <w:r>
              <w:rPr>
                <w:i/>
                <w:iCs/>
                <w:sz w:val="18"/>
                <w:szCs w:val="18"/>
              </w:rPr>
              <w:t xml:space="preserve">(per sitting, up to 28 seats)</w:t>
            </w:r>
          </w:p>
        </w:tc>
        <w:tc>
          <w:tcPr>
            <w:tcW w:type="dxa" w:w="1500"/>
            <w:tcBorders>
              <w:top w:val="single" w:color="CCCCCC" w:sz="1"/>
              <w:left w:val="single" w:color="CCCCCC" w:sz="1"/>
              <w:bottom w:val="single" w:color="CCCCCC" w:sz="1"/>
              <w:right w:val="single" w:color="CCCCCC" w:sz="1"/>
            </w:tcBorders>
            <w:shd w:fill="FFF4E6" w:val="clear"/>
            <w:tcMar>
              <w:top w:type="dxa" w:w="120"/>
              <w:left w:type="dxa" w:w="150"/>
              <w:bottom w:type="dxa" w:w="120"/>
              <w:right w:type="dxa" w:w="150"/>
            </w:tcMar>
          </w:tcPr>
          <w:p>
            <w:pPr>
              <w:jc w:val="center"/>
            </w:pPr>
            <w:r>
              <w:rPr>
                <w:b/>
                <w:bCs/>
                <w:sz w:val="24"/>
                <w:szCs w:val="24"/>
              </w:rPr>
              <w:t xml:space="preserve">€7,500</w:t>
            </w:r>
          </w:p>
        </w:tc>
        <w:tc>
          <w:tcPr>
            <w:tcW w:type="dxa" w:w="4360"/>
            <w:tcBorders>
              <w:top w:val="single" w:color="CCCCCC" w:sz="1"/>
              <w:left w:val="single" w:color="CCCCCC" w:sz="1"/>
              <w:bottom w:val="single" w:color="CCCCCC" w:sz="1"/>
              <w:right w:val="single" w:color="CCCCCC" w:sz="1"/>
            </w:tcBorders>
            <w:shd w:fill="FFF4E6" w:val="clear"/>
            <w:tcMar>
              <w:top w:type="dxa" w:w="120"/>
              <w:left w:type="dxa" w:w="150"/>
              <w:bottom w:type="dxa" w:w="120"/>
              <w:right w:type="dxa" w:w="150"/>
            </w:tcMar>
          </w:tcPr>
          <w:p>
            <w:r>
              <w:t>Up to 28 candidates from your organization. Mix up to 4 modules within the sitting.</w:t>
            </w:r>
          </w:p>
        </w:tc>
      </w:tr>
    </w:tbl>
    <w:p>
      <w:pPr>
        <w:spacing w:after="360"/>
      </w:pPr>
    </w:p>
    <w:p>
      <w:pPr>
        <w:pStyle w:val="Heading2"/>
      </w:pPr>
      <w:r>
        <w:t xml:space="preserve">Special Pricing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333333" w:sz="2"/>
              <w:left w:val="single" w:color="333333" w:sz="2"/>
              <w:bottom w:val="single" w:color="333333" w:sz="2"/>
              <w:right w:val="single" w:color="333333" w:sz="2"/>
            </w:tcBorders>
            <w:shd w:fill="8B4513" w:val="clear"/>
            <w:tcMar>
              <w:top w:type="dxa" w:w="120"/>
              <w:left w:type="dxa" w:w="150"/>
              <w:bottom w:type="dxa" w:w="120"/>
              <w:right w:type="dxa" w:w="150"/>
            </w:tcMar>
          </w:tcPr>
          <w:p>
            <w:pPr>
              <w:jc w:val="center"/>
            </w:pPr>
            <w:r>
              <w:rPr>
                <w:b/>
                <w:bCs/>
                <w:color w:val="FFFFFF"/>
                <w:sz w:val="24"/>
                <w:szCs w:val="24"/>
              </w:rPr>
              <w:t xml:space="preserve">Incentive Type</w:t>
            </w:r>
          </w:p>
        </w:tc>
        <w:tc>
          <w:tcPr>
            <w:tcW w:type="dxa" w:w="1500"/>
            <w:tcBorders>
              <w:top w:val="single" w:color="333333" w:sz="2"/>
              <w:left w:val="single" w:color="333333" w:sz="2"/>
              <w:bottom w:val="single" w:color="333333" w:sz="2"/>
              <w:right w:val="single" w:color="333333" w:sz="2"/>
            </w:tcBorders>
            <w:shd w:fill="8B4513" w:val="clear"/>
            <w:tcMar>
              <w:top w:type="dxa" w:w="120"/>
              <w:left w:type="dxa" w:w="150"/>
              <w:bottom w:type="dxa" w:w="120"/>
              <w:right w:type="dxa" w:w="150"/>
            </w:tcMar>
          </w:tcPr>
          <w:p>
            <w:pPr>
              <w:jc w:val="center"/>
            </w:pPr>
            <w:r>
              <w:rPr>
                <w:b/>
                <w:bCs/>
                <w:color w:val="FFFFFF"/>
                <w:sz w:val="24"/>
                <w:szCs w:val="24"/>
              </w:rPr>
              <w:t xml:space="preserve">Price</w:t>
            </w:r>
          </w:p>
        </w:tc>
        <w:tc>
          <w:tcPr>
            <w:tcW w:type="dxa" w:w="4360"/>
            <w:tcBorders>
              <w:top w:val="single" w:color="333333" w:sz="2"/>
              <w:left w:val="single" w:color="333333" w:sz="2"/>
              <w:bottom w:val="single" w:color="333333" w:sz="2"/>
              <w:right w:val="single" w:color="333333" w:sz="2"/>
            </w:tcBorders>
            <w:shd w:fill="8B4513" w:val="clear"/>
            <w:tcMar>
              <w:top w:type="dxa" w:w="120"/>
              <w:left w:type="dxa" w:w="150"/>
              <w:bottom w:type="dxa" w:w="120"/>
              <w:right w:type="dxa" w:w="150"/>
            </w:tcMar>
          </w:tcPr>
          <w:p>
            <w:pPr>
              <w:jc w:val="center"/>
            </w:pPr>
            <w:r>
              <w:rPr>
                <w:b/>
                <w:bCs/>
                <w:color w:val="FFFFFF"/>
                <w:sz w:val="24"/>
                <w:szCs w:val="24"/>
              </w:rPr>
              <w:t xml:space="preserve">Qualification Requirements</w:t>
            </w:r>
          </w:p>
        </w:tc>
      </w:tr>
      <w:tr>
        <w:tc>
          <w:tcPr>
            <w:tcW w:type="dxa" w:w="3500"/>
            <w:tcBorders>
              <w:top w:val="single" w:color="CCCCCC" w:sz="1"/>
              <w:left w:val="single" w:color="CCCCCC" w:sz="1"/>
              <w:bottom w:val="single" w:color="CCCCCC" w:sz="1"/>
              <w:right w:val="single" w:color="CCCCCC" w:sz="1"/>
            </w:tcBorders>
            <w:shd w:fill="FFF9E6" w:val="clear"/>
            <w:tcMar>
              <w:top w:type="dxa" w:w="120"/>
              <w:left w:type="dxa" w:w="150"/>
              <w:bottom w:type="dxa" w:w="120"/>
              <w:right w:type="dxa" w:w="150"/>
            </w:tcMar>
          </w:tcPr>
          <w:p>
            <w:r>
              <w:rPr>
                <w:b/>
                <w:bCs/>
                <w:sz w:val="24"/>
                <w:szCs w:val="24"/>
              </w:rPr>
              <w:t xml:space="preserve">Multi-Pool Discount</w:t>
            </w:r>
            <w:r>
              <w:rPr>
                <w:sz w:val="18"/>
                <w:szCs w:val="18"/>
              </w:rPr>
              <w:t xml:space="preserve">
</w:t>
            </w:r>
            <w:r>
              <w:rPr>
                <w:i/>
                <w:iCs/>
                <w:sz w:val="18"/>
                <w:szCs w:val="18"/>
              </w:rPr>
              <w:t xml:space="preserve">(Accelerated Learning)</w:t>
            </w:r>
          </w:p>
        </w:tc>
        <w:tc>
          <w:tcPr>
            <w:tcW w:type="dxa" w:w="1500"/>
            <w:tcBorders>
              <w:top w:val="single" w:color="CCCCCC" w:sz="1"/>
              <w:left w:val="single" w:color="CCCCCC" w:sz="1"/>
              <w:bottom w:val="single" w:color="CCCCCC" w:sz="1"/>
              <w:right w:val="single" w:color="CCCCCC" w:sz="1"/>
            </w:tcBorders>
            <w:shd w:fill="FFF9E6" w:val="clear"/>
            <w:tcMar>
              <w:top w:type="dxa" w:w="120"/>
              <w:left w:type="dxa" w:w="150"/>
              <w:bottom w:type="dxa" w:w="120"/>
              <w:right w:type="dxa" w:w="150"/>
            </w:tcMar>
          </w:tcPr>
          <w:p>
            <w:pPr>
              <w:jc w:val="center"/>
            </w:pPr>
            <w:r>
              <w:rPr>
                <w:b/>
                <w:bCs/>
                <w:color w:val="B8860B"/>
                <w:sz w:val="26"/>
                <w:szCs w:val="26"/>
              </w:rPr>
              <w:t xml:space="preserve">€270/seat</w:t>
            </w:r>
          </w:p>
        </w:tc>
        <w:tc>
          <w:tcPr>
            <w:tcW w:type="dxa" w:w="4360"/>
            <w:tcBorders>
              <w:top w:val="single" w:color="CCCCCC" w:sz="1"/>
              <w:left w:val="single" w:color="CCCCCC" w:sz="1"/>
              <w:bottom w:val="single" w:color="CCCCCC" w:sz="1"/>
              <w:right w:val="single" w:color="CCCCCC" w:sz="1"/>
            </w:tcBorders>
            <w:shd w:fill="FFF9E6" w:val="clear"/>
            <w:tcMar>
              <w:top w:type="dxa" w:w="120"/>
              <w:left w:type="dxa" w:w="150"/>
              <w:bottom w:type="dxa" w:w="120"/>
              <w:right w:type="dxa" w:w="150"/>
            </w:tcMar>
          </w:tcPr>
          <w:p>
            <w:r>
              <w:rPr>
                <w:sz w:val="22"/>
                <w:szCs w:val="22"/>
              </w:rPr>
              <w:t xml:space="preserve">Book and confirm 3 or more pool seats in the same exam event (e.g., Pool A Monday AM, Pool B Monday PM, Pool C Tuesday AM). Automatically applied at checkout. Save €90 vs standard pool pricing!</w:t>
            </w:r>
          </w:p>
        </w:tc>
      </w:tr>
      <w:tr>
        <w:tc>
          <w:tcPr>
            <w:tcW w:type="dxa" w:w="3500"/>
            <w:tcBorders>
              <w:top w:val="single" w:color="CCCCCC" w:sz="1"/>
              <w:left w:val="single" w:color="CCCCCC" w:sz="1"/>
              <w:bottom w:val="single" w:color="CCCCCC" w:sz="1"/>
              <w:right w:val="single" w:color="CCCCCC" w:sz="1"/>
            </w:tcBorders>
            <w:shd w:fill="F0F8FF" w:val="clear"/>
            <w:tcMar>
              <w:top w:type="dxa" w:w="120"/>
              <w:left w:type="dxa" w:w="150"/>
              <w:bottom w:type="dxa" w:w="120"/>
              <w:right w:type="dxa" w:w="150"/>
            </w:tcMar>
          </w:tcPr>
          <w:p>
            <w:r>
              <w:t>Successfully refer 10+ candidates who complete pool bookings. Ambassadors receive €270/seat pricing for life on all future pool bookings + €100 wallet credit upon reaching 10 confirmed referrals. Share your unique referral link via Portal.</w:t>
            </w:r>
          </w:p>
        </w:tc>
        <w:tc>
          <w:tcPr>
            <w:tcW w:type="dxa" w:w="1500"/>
            <w:tcBorders>
              <w:top w:val="single" w:color="CCCCCC" w:sz="1"/>
              <w:left w:val="single" w:color="CCCCCC" w:sz="1"/>
              <w:bottom w:val="single" w:color="CCCCCC" w:sz="1"/>
              <w:right w:val="single" w:color="CCCCCC" w:sz="1"/>
            </w:tcBorders>
            <w:shd w:fill="F0F8FF" w:val="clear"/>
            <w:tcMar>
              <w:top w:type="dxa" w:w="120"/>
              <w:left w:type="dxa" w:w="150"/>
              <w:bottom w:type="dxa" w:w="120"/>
              <w:right w:type="dxa" w:w="150"/>
            </w:tcMar>
          </w:tcPr>
          <w:p>
            <w:pPr>
              <w:jc w:val="center"/>
            </w:pPr>
            <w:r>
              <w:rPr>
                <w:b/>
                <w:bCs/>
                <w:color w:val="4169E1"/>
                <w:sz w:val="26"/>
                <w:szCs w:val="26"/>
              </w:rPr>
              <w:t xml:space="preserve">€270/seat</w:t>
            </w:r>
          </w:p>
        </w:tc>
        <w:tc>
          <w:tcPr>
            <w:tcW w:type="dxa" w:w="4360"/>
            <w:tcBorders>
              <w:top w:val="single" w:color="CCCCCC" w:sz="1"/>
              <w:left w:val="single" w:color="CCCCCC" w:sz="1"/>
              <w:bottom w:val="single" w:color="CCCCCC" w:sz="1"/>
              <w:right w:val="single" w:color="CCCCCC" w:sz="1"/>
            </w:tcBorders>
            <w:shd w:fill="F0F8FF" w:val="clear"/>
            <w:tcMar>
              <w:top w:type="dxa" w:w="120"/>
              <w:left w:type="dxa" w:w="150"/>
              <w:bottom w:type="dxa" w:w="120"/>
              <w:right w:type="dxa" w:w="150"/>
            </w:tcMar>
          </w:tcPr>
          <w:p>
            <w:r>
              <w:t>Successfully refer 10+ candidates who complete pool bookings. Ambassadors receive €270/seat pricing for life on all future pool bookings + €100 wallet credit upon reaching 10 confirmed referrals. Share your unique referral link via Portal.</w:t>
            </w:r>
          </w:p>
        </w:tc>
      </w:tr>
    </w:tbl>
    <w:p>
      <w:pPr>
        <w:spacing w:after="480"/>
      </w:pPr>
    </w:p>
    <w:p>
      <w:pPr>
        <w:pStyle w:val="Heading1"/>
      </w:pPr>
      <w:r>
        <w:t xml:space="preserve">3. BOOKING CONDITIONS</w:t>
      </w:r>
    </w:p>
    <w:p>
      <w:pPr>
        <w:pStyle w:val="Heading2"/>
      </w:pPr>
      <w:r>
        <w:t xml:space="preserve">Event Confirmation (Go/No-Go Decision)</w:t>
      </w:r>
    </w:p>
    <w:p>
      <w:pPr>
        <w:spacing w:after="180"/>
      </w:pPr>
      <w:r>
        <w:rPr>
          <w:b/>
          <w:bCs/>
          <w:sz w:val="22"/>
          <w:szCs w:val="22"/>
        </w:rPr>
        <w:t xml:space="preserve">Go/No-Go Threshold (T-21): </w:t>
      </w:r>
      <w:r>
        <w:rPr>
          <w:sz w:val="22"/>
          <w:szCs w:val="22"/>
        </w:rPr>
        <w:t xml:space="preserve">An exam event confirms and proceeds when </w:t>
      </w:r>
      <w:r>
        <w:rPr>
          <w:b/>
          <w:bCs/>
          <w:sz w:val="22"/>
          <w:szCs w:val="22"/>
        </w:rPr>
        <w:t xml:space="preserve">ANY</w:t>
      </w:r>
      <w:r>
        <w:rPr>
          <w:sz w:val="22"/>
          <w:szCs w:val="22"/>
        </w:rPr>
        <w:t xml:space="preserve"> of the following thresholds are met 21 days before the event start date:</w:t>
      </w:r>
    </w:p>
    <w:p>
      <w:pPr>
        <w:spacing w:after="60"/>
      </w:pPr>
      <w:r>
        <w:rPr>
          <w:sz w:val="22"/>
          <w:szCs w:val="22"/>
        </w:rPr>
        <w:t xml:space="preserve">• </w:t>
      </w:r>
      <w:r>
        <w:rPr>
          <w:b/>
          <w:bCs/>
          <w:sz w:val="22"/>
          <w:szCs w:val="22"/>
        </w:rPr>
        <w:t xml:space="preserve">3 exam pools have reached 25+ confirmed candidates each</w:t>
      </w:r>
      <w:r>
        <w:rPr>
          <w:sz w:val="22"/>
          <w:szCs w:val="22"/>
        </w:rPr>
        <w:t xml:space="preserve"> (€30,000 revenue), OR</w:t>
      </w:r>
    </w:p>
    <w:p>
      <w:pPr>
        <w:spacing w:after="60"/>
      </w:pPr>
      <w:r>
        <w:rPr>
          <w:sz w:val="22"/>
          <w:szCs w:val="22"/>
        </w:rPr>
        <w:t xml:space="preserve">• </w:t>
      </w:r>
      <w:r>
        <w:rPr>
          <w:b/>
          <w:bCs/>
          <w:sz w:val="22"/>
          <w:szCs w:val="22"/>
        </w:rPr>
        <w:t xml:space="preserve">2 confirmed pools (25+ each) + 15 individual/bundle seats</w:t>
      </w:r>
      <w:r>
        <w:rPr>
          <w:sz w:val="22"/>
          <w:szCs w:val="22"/>
        </w:rPr>
        <w:t xml:space="preserve"> (€27,800+ revenue), OR</w:t>
      </w:r>
    </w:p>
    <w:p>
      <w:pPr>
        <w:spacing w:after="240"/>
      </w:pPr>
      <w:r>
        <w:rPr>
          <w:sz w:val="22"/>
          <w:szCs w:val="22"/>
        </w:rPr>
        <w:t xml:space="preserve">• </w:t>
      </w:r>
      <w:r>
        <w:rPr>
          <w:b/>
          <w:bCs/>
          <w:sz w:val="22"/>
          <w:szCs w:val="22"/>
        </w:rPr>
        <w:t xml:space="preserve">60 total confirmed paid seats across all booking types</w:t>
      </w:r>
      <w:r>
        <w:rPr>
          <w:sz w:val="22"/>
          <w:szCs w:val="22"/>
        </w:rPr>
        <w:t xml:space="preserve"> (€25,200+ revenue)</w:t>
      </w:r>
    </w:p>
    <w:p>
      <w:pPr>
        <w:spacing w:after="360"/>
      </w:pPr>
      <w:r>
        <w:rPr>
          <w:b/>
          <w:bCs/>
          <w:sz w:val="22"/>
          <w:szCs w:val="22"/>
        </w:rPr>
        <w:t xml:space="preserve">Event Postponement: </w:t>
      </w:r>
      <w:r>
        <w:rPr>
          <w:sz w:val="22"/>
          <w:szCs w:val="22"/>
        </w:rPr>
        <w:t xml:space="preserve">If minimum numbers are not met by the payment deadline (T-21), the exam event is moved to the next available window. All confirmed bookings automatically roll forward at no extra cost.</w:t>
      </w:r>
    </w:p>
    <w:p>
      <w:pPr>
        <w:pStyle w:val="Heading2"/>
      </w:pPr>
      <w:r>
        <w:t xml:space="preserve">Pool-Specific Rules</w:t>
      </w:r>
    </w:p>
    <w:p>
      <w:pPr>
        <w:spacing w:after="120"/>
      </w:pPr>
      <w:r>
        <w:rPr>
          <w:b/>
          <w:bCs/>
          <w:sz w:val="22"/>
          <w:szCs w:val="22"/>
        </w:rPr>
        <w:t xml:space="preserve">Pool Confirmation: </w:t>
      </w:r>
      <w:r>
        <w:rPr>
          <w:sz w:val="22"/>
          <w:szCs w:val="22"/>
        </w:rPr>
        <w:t xml:space="preserve">Each pool automatically confirms when 25 candidates have reserved and paid. Pool status is visible in real-time via the Portal.</w:t>
      </w:r>
    </w:p>
    <w:p>
      <w:pPr>
        <w:spacing w:after="120"/>
      </w:pPr>
      <w:r>
        <w:rPr>
          <w:b/>
          <w:bCs/>
          <w:sz w:val="22"/>
          <w:szCs w:val="22"/>
        </w:rPr>
        <w:t xml:space="preserve">Pool Capacity: </w:t>
      </w:r>
      <w:r>
        <w:rPr>
          <w:sz w:val="22"/>
          <w:szCs w:val="22"/>
        </w:rPr>
        <w:t xml:space="preserve">Minimum 25 candidates, maximum 28 candidates per pool. First-come, first-served once you complete payment/reservation.</w:t>
      </w:r>
    </w:p>
    <w:p>
      <w:pPr>
        <w:spacing w:after="120"/>
      </w:pPr>
      <w:r>
        <w:rPr>
          <w:b/>
          <w:bCs/>
          <w:sz w:val="22"/>
          <w:szCs w:val="22"/>
        </w:rPr>
        <w:t xml:space="preserve">Module Diversity: </w:t>
      </w:r>
      <w:r>
        <w:rPr>
          <w:sz w:val="22"/>
          <w:szCs w:val="22"/>
        </w:rPr>
        <w:t xml:space="preserve">Each pool supports up to 4 different module codes. Once a pool reaches 4 distinct modules, new joiners may only select from those existing modules.</w:t>
      </w:r>
    </w:p>
    <w:p>
      <w:pPr>
        <w:spacing w:after="120"/>
      </w:pPr>
      <w:r>
        <w:rPr>
          <w:b/>
          <w:bCs/>
          <w:sz w:val="22"/>
          <w:szCs w:val="22"/>
        </w:rPr>
        <w:t xml:space="preserve">Pool Failure: </w:t>
      </w:r>
      <w:r>
        <w:rPr>
          <w:sz w:val="22"/>
          <w:szCs w:val="22"/>
        </w:rPr>
        <w:t xml:space="preserve">If a pool does not reach 25 confirmed candidates by T-21, it will not run. Candidates receive:</w:t>
      </w:r>
    </w:p>
    <w:p>
      <w:pPr>
        <w:spacing w:after="60"/>
      </w:pPr>
      <w:r>
        <w:t xml:space="preserve">  • Full wallet credit release</w:t>
      </w:r>
    </w:p>
    <w:p>
      <w:pPr>
        <w:spacing w:after="60"/>
      </w:pPr>
      <w:r>
        <w:rPr>
          <w:sz w:val="22"/>
          <w:szCs w:val="22"/>
        </w:rPr>
        <w:t xml:space="preserve">  • Option to join another pool in same event (if available)</w:t>
      </w:r>
    </w:p>
    <w:p>
      <w:pPr>
        <w:spacing w:after="60"/>
      </w:pPr>
      <w:r>
        <w:rPr>
          <w:sz w:val="22"/>
          <w:szCs w:val="22"/>
        </w:rPr>
        <w:t xml:space="preserve">  • Auto-roll to next event pool at no cost</w:t>
      </w:r>
    </w:p>
    <w:p>
      <w:pPr>
        <w:spacing w:after="240"/>
      </w:pPr>
      <w:r>
        <w:rPr>
          <w:sz w:val="22"/>
          <w:szCs w:val="22"/>
        </w:rPr>
        <w:t xml:space="preserve">  • Upgrade to individual seat (+€220 top-up)</w:t>
      </w:r>
    </w:p>
    <w:p>
      <w:pPr>
        <w:spacing w:after="360"/>
      </w:pPr>
      <w:r>
        <w:rPr>
          <w:b/>
          <w:bCs/>
          <w:sz w:val="22"/>
          <w:szCs w:val="22"/>
        </w:rPr>
        <w:t xml:space="preserve">Seat Reservation: </w:t>
      </w:r>
      <w:r>
        <w:rPr>
          <w:sz w:val="22"/>
          <w:szCs w:val="22"/>
        </w:rPr>
        <w:t xml:space="preserve">Pool seats are allocated on a first-reserved, first-confirmed basis once payment clears. Each pool has a hard cap of 28 candidates.</w:t>
      </w:r>
    </w:p>
    <w:p>
      <w:pPr>
        <w:pStyle w:val="Heading2"/>
      </w:pPr>
      <w:r>
        <w:t xml:space="preserve">General Booking Rules</w:t>
      </w:r>
    </w:p>
    <w:p>
      <w:pPr>
        <w:spacing w:after="120"/>
      </w:pPr>
      <w:r>
        <w:rPr>
          <w:b/>
          <w:bCs/>
          <w:sz w:val="22"/>
          <w:szCs w:val="22"/>
        </w:rPr>
        <w:t xml:space="preserve">Late Booking Surcharge: </w:t>
      </w:r>
      <w:r>
        <w:rPr>
          <w:sz w:val="22"/>
          <w:szCs w:val="22"/>
        </w:rPr>
        <w:t xml:space="preserve">Bookings made within 14 days of the exam event incur a €50 surcharge per seat (only if space remains). Does not apply to pool seats.</w:t>
      </w:r>
    </w:p>
    <w:p>
      <w:pPr>
        <w:spacing w:after="120"/>
      </w:pPr>
      <w:r>
        <w:t>Module Changes: Module change or sitting move after schedule publication is subject to availability and a €50 admin fee. For bundle holders, this admin fee is waived for the included free changes if requested by T-21: 2-seat bundle includes 1 free module change; 4-seat bundle includes 2 free module changes. Pool seats cannot change modules after pool confirmation.</w:t>
      </w:r>
    </w:p>
    <w:p>
      <w:pPr>
        <w:spacing w:after="360"/>
      </w:pPr>
      <w:r>
        <w:t>No-Show Policy: No-shows forfeit the seat, as examiner resources are committed once schedules are locked. No refunds for no-shows except where a confirmed medical reason is provided, verified, and accepted by Aerojet; in such cases, Aerojet may issue a wallet credit to the student cash account for future exam use.</w:t>
      </w:r>
    </w:p>
    <w:p>
      <w:pPr>
        <w:pStyle w:val="Heading1"/>
      </w:pPr>
      <w:r>
        <w:t xml:space="preserve">4. PAYMENT TERMS</w:t>
      </w:r>
    </w:p>
    <w:p>
      <w:pPr>
        <w:spacing w:after="120"/>
      </w:pPr>
      <w:r>
        <w:rPr>
          <w:b/>
          <w:bCs/>
          <w:sz w:val="22"/>
          <w:szCs w:val="22"/>
        </w:rPr>
        <w:t xml:space="preserve">Pool Seats: </w:t>
      </w:r>
      <w:r>
        <w:rPr>
          <w:sz w:val="22"/>
          <w:szCs w:val="22"/>
        </w:rPr>
        <w:t xml:space="preserve">Full payment (€300) required to reserve pool slot. Funds held in wallet until pool confirms. Automatically captured upon pool confirmation. Released if pool fails.</w:t>
      </w:r>
    </w:p>
    <w:p>
      <w:pPr>
        <w:spacing w:after="120"/>
      </w:pPr>
      <w:r>
        <w:t>Individual Seats: 50% deposit to reserve seat. Balance due by T-21 (21 days before the event window). If the balance is not paid by T-21, the 50% deposit is forfeited as an exam deposit, as Aerojet has already locked in exam arrangements as confirmed.</w:t>
      </w:r>
    </w:p>
    <w:p>
      <w:pPr>
        <w:spacing w:after="120"/>
      </w:pPr>
      <w:r>
        <w:rPr>
          <w:b/>
          <w:bCs/>
          <w:sz w:val="22"/>
          <w:szCs w:val="22"/>
        </w:rPr>
        <w:t xml:space="preserve">Bundles (2-seat, 4-seat): </w:t>
      </w:r>
      <w:r>
        <w:rPr>
          <w:sz w:val="22"/>
          <w:szCs w:val="22"/>
        </w:rPr>
        <w:t xml:space="preserve">Paid in full to activate, unless an agreed installment plan is issued in writing by Aerojet admin.</w:t>
      </w:r>
    </w:p>
    <w:p>
      <w:pPr>
        <w:spacing w:after="360"/>
      </w:pPr>
      <w:r>
        <w:t>Up to 28 candidates from your organization. Mix up to 4 modules within the sitting.</w:t>
      </w:r>
    </w:p>
    <w:p>
      <w:pPr>
        <w:pStyle w:val="Heading1"/>
      </w:pPr>
      <w:r>
        <w:t>5. CHANGES, POSTPONEMENTS &amp; CREDITS (NO CASH REFUNDS)</w:t>
      </w:r>
    </w:p>
    <w:p>
      <w:pPr>
        <w:spacing w:after="120"/>
      </w:pPr>
      <w:r>
        <w:t>Aerojet-Initiated Postponement: If Aerojet postpones an event (minimum numbers not met), all confirmed bookings automatically roll forward as wallet credit to the student cash account for the next available exam window at no additional cost. No cash refunds are provided once a candidate has committed to any exam booking.</w:t>
      </w:r>
    </w:p>
    <w:p>
      <w:pPr>
        <w:spacing w:after="120"/>
      </w:pPr>
      <w:r>
        <w:rPr>
          <w:b/>
          <w:bCs/>
          <w:sz w:val="22"/>
          <w:szCs w:val="22"/>
        </w:rPr>
        <w:t xml:space="preserve">Candidate-Initiated Changes: </w:t>
      </w:r>
      <w:r>
        <w:rPr>
          <w:sz w:val="22"/>
          <w:szCs w:val="22"/>
        </w:rPr>
        <w:t xml:space="preserve">See Module Changes section above. €50 admin fee applies except where waived for bundle holders.</w:t>
      </w:r>
    </w:p>
    <w:p>
      <w:pPr>
        <w:spacing w:after="480"/>
      </w:pPr>
      <w:r>
        <w:t>Cancellation by Candidate: Cancellations made more than 21 days before the event: eligible for wallet credit only (credited to the student cash account) at Aerojet’s discretion. Cancellations within 21 days: no credit (examiner commitment locked). Pool seat cancellations: wallet credit retained until pool confirms or fails.</w:t>
      </w:r>
    </w:p>
    <w:p>
      <w:pPr>
        <w:spacing w:before="360" w:after="180"/>
        <w:jc w:val="center"/>
      </w:pPr>
      <w:r>
        <w:rPr>
          <w:b/>
          <w:bCs/>
          <w:color w:val="1F4788"/>
          <w:sz w:val="26"/>
          <w:szCs w:val="26"/>
        </w:rPr>
        <w:t xml:space="preserve">CONTACT &amp; BOOKINGS</w:t>
      </w:r>
    </w:p>
    <w:p>
      <w:pPr>
        <w:spacing w:after="60"/>
        <w:jc w:val="center"/>
      </w:pPr>
      <w:r>
        <w:rPr>
          <w:sz w:val="22"/>
          <w:szCs w:val="22"/>
        </w:rPr>
        <w:t xml:space="preserve">Aerojet Academy Admin Office (Exam Bookings)</w:t>
      </w:r>
    </w:p>
    <w:p>
      <w:pPr>
        <w:spacing w:after="60"/>
        <w:jc w:val="center"/>
      </w:pPr>
      <w:r>
        <w:rPr>
          <w:b/>
          <w:bCs/>
          <w:sz w:val="22"/>
          <w:szCs w:val="22"/>
        </w:rPr>
        <w:t xml:space="preserve">Email: </w:t>
      </w:r>
      <w:r>
        <w:rPr>
          <w:sz w:val="22"/>
          <w:szCs w:val="22"/>
        </w:rPr>
        <w:t xml:space="preserve">trainingprograms@aerojet-academy.com | training@aerojet-aviation.com</w:t>
      </w:r>
    </w:p>
    <w:p>
      <w:pPr>
        <w:spacing w:after="60"/>
        <w:jc w:val="center"/>
      </w:pPr>
      <w:r>
        <w:rPr>
          <w:b/>
          <w:bCs/>
          <w:sz w:val="22"/>
          <w:szCs w:val="22"/>
        </w:rPr>
        <w:t xml:space="preserve">Phone/WhatsApp: </w:t>
      </w:r>
      <w:r>
        <w:rPr>
          <w:sz w:val="22"/>
          <w:szCs w:val="22"/>
        </w:rPr>
        <w:t xml:space="preserve">+233 209 848 423</w:t>
      </w:r>
    </w:p>
    <w:p>
      <w:pPr>
        <w:spacing w:after="240"/>
        <w:jc w:val="center"/>
      </w:pPr>
      <w:r>
        <w:rPr>
          <w:b/>
          <w:bCs/>
          <w:sz w:val="22"/>
          <w:szCs w:val="22"/>
        </w:rPr>
        <w:t xml:space="preserve">Portal: </w:t>
      </w:r>
      <w:r>
        <w:rPr>
          <w:i/>
          <w:iCs/>
          <w:sz w:val="22"/>
          <w:szCs w:val="22"/>
        </w:rPr>
        <w:t xml:space="preserve">www.aerojet-academy.com/exam-portal</w:t>
      </w:r>
    </w:p>
    <w:p>
      <w:pPr>
        <w:jc w:val="center"/>
      </w:pPr>
      <w:r>
        <w:rPr>
          <w:i/>
          <w:iCs/>
          <w:color w:val="666666"/>
          <w:sz w:val="18"/>
          <w:szCs w:val="18"/>
        </w:rPr>
        <w:t xml:space="preserve">All prices are in EUR and exclusive of any applicable taxes. Terms subject to change with 30 days notice.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1F4788"/>
      <w:sz w:val="26"/>
      <w:szCs w:val="26"/>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2026-02-06T18:21:05.993Z</dcterms:created>
  <dcterms:modified xsi:type="dcterms:W3CDTF">2026-02-06T18:21:05.993Z</dcterms:modified>
</cp:coreProperties>
</file>

<file path=docProps/custom.xml><?xml version="1.0" encoding="utf-8"?>
<Properties xmlns="http://schemas.openxmlformats.org/officeDocument/2006/custom-properties" xmlns:vt="http://schemas.openxmlformats.org/officeDocument/2006/docPropsVTypes"/>
</file>