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D33D3E3" Type="http://schemas.openxmlformats.org/officeDocument/2006/relationships/officeDocument" Target="/word/document.xml" /><Relationship Id="coreR1D33D3E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b w:val="1"/>
          <w:sz w:val="32"/>
          <w:lang w:val="fr-FR"/>
        </w:rPr>
      </w:pPr>
      <w:r>
        <w:rPr>
          <w:b w:val="1"/>
          <w:sz w:val="32"/>
          <w:lang w:val="fr-FR"/>
        </w:rPr>
        <w:t>RAPPORT D’INSPECT</w:t>
      </w:r>
      <w:r>
        <w:rPr>
          <w:b w:val="1"/>
          <w:sz w:val="32"/>
          <w:lang w:val="fr-FR"/>
        </w:rPr>
        <w:t>ION PAR L’ACHETEUR D’UNE PROPRIÉTÉ</w:t>
      </w:r>
    </w:p>
    <w:p>
      <w:pPr>
        <w:rPr>
          <w:b w:val="1"/>
          <w:lang w:val="fr-FR"/>
        </w:rPr>
      </w:pPr>
    </w:p>
    <w:tbl>
      <w:tblPr>
        <w:tblStyle w:val="T2"/>
        <w:tblW w:w="9360" w:type="dxa"/>
        <w:tblInd w:w="108" w:type="dxa"/>
        <w:tblBorders>
          <w:top w:val="single" w:sz="18" w:space="0" w:shadow="0" w:frame="0" w:color="auto"/>
          <w:left w:val="single" w:sz="18" w:space="0" w:shadow="0" w:frame="0" w:color="auto"/>
          <w:bottom w:val="single" w:sz="18" w:space="0" w:shadow="0" w:frame="0" w:color="auto"/>
          <w:right w:val="single" w:sz="18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autofit"/>
      </w:tblPr>
      <w:tblGrid/>
      <w:tr>
        <w:trPr>
          <w:wAfter w:w="0" w:type="dxa"/>
          <w:trHeight w:hRule="atLeast" w:val="340"/>
        </w:trPr>
        <w:tc>
          <w:tcPr>
            <w:tcW w:w="4206" w:type="dxa"/>
            <w:tcBorders>
              <w:top w:val="single" w:sz="18" w:space="0" w:shadow="0" w:frame="0"/>
              <w:bottom w:val="single" w:sz="4" w:space="0" w:shadow="0" w:frame="0"/>
            </w:tcBorders>
            <w:shd w:val="clear" w:color="auto" w:fill="333399"/>
          </w:tcPr>
          <w:p>
            <w:pPr>
              <w:rPr>
                <w:b w:val="1"/>
                <w:color w:val="FFFFFF"/>
                <w:lang w:val="fr-FR"/>
              </w:rPr>
            </w:pPr>
          </w:p>
        </w:tc>
        <w:tc>
          <w:tcPr>
            <w:tcW w:w="1747" w:type="dxa"/>
            <w:tcBorders>
              <w:top w:val="single" w:sz="18" w:space="0" w:shadow="0" w:frame="0"/>
              <w:bottom w:val="single" w:sz="4" w:space="0" w:shadow="0" w:frame="0"/>
            </w:tcBorders>
            <w:shd w:val="clear" w:color="auto" w:fill="333399"/>
            <w:vAlign w:val="center"/>
          </w:tcPr>
          <w:p>
            <w:pPr>
              <w:jc w:val="center"/>
              <w:rPr>
                <w:b w:val="1"/>
                <w:color w:val="FFFFFF"/>
                <w:lang w:val="fr-FR"/>
              </w:rPr>
            </w:pPr>
            <w:r>
              <w:rPr>
                <w:b w:val="1"/>
                <w:color w:val="FFFFFF"/>
                <w:lang w:val="fr-FR"/>
              </w:rPr>
              <w:t>Satisfaisant</w:t>
            </w:r>
          </w:p>
        </w:tc>
        <w:tc>
          <w:tcPr>
            <w:tcW w:w="1687" w:type="dxa"/>
            <w:tcBorders>
              <w:top w:val="single" w:sz="18" w:space="0" w:shadow="0" w:frame="0"/>
              <w:bottom w:val="single" w:sz="4" w:space="0" w:shadow="0" w:frame="0"/>
            </w:tcBorders>
            <w:shd w:val="clear" w:color="auto" w:fill="333399"/>
            <w:vAlign w:val="center"/>
          </w:tcPr>
          <w:p>
            <w:pPr>
              <w:jc w:val="center"/>
              <w:rPr>
                <w:b w:val="1"/>
                <w:color w:val="FFFFFF"/>
                <w:lang w:val="fr-FR"/>
              </w:rPr>
            </w:pPr>
            <w:r>
              <w:rPr>
                <w:b w:val="1"/>
                <w:color w:val="FFFFFF"/>
                <w:lang w:val="fr-FR"/>
              </w:rPr>
              <w:t>À</w:t>
            </w:r>
            <w:r>
              <w:rPr>
                <w:b w:val="1"/>
                <w:color w:val="FFFFFF"/>
                <w:lang w:val="fr-FR"/>
              </w:rPr>
              <w:t xml:space="preserve"> changer</w:t>
            </w:r>
          </w:p>
        </w:tc>
        <w:tc>
          <w:tcPr>
            <w:tcW w:w="1720" w:type="dxa"/>
            <w:tcBorders>
              <w:top w:val="single" w:sz="18" w:space="0" w:shadow="0" w:frame="0"/>
              <w:bottom w:val="single" w:sz="4" w:space="0" w:shadow="0" w:frame="0"/>
            </w:tcBorders>
            <w:shd w:val="clear" w:color="auto" w:fill="333399"/>
            <w:vAlign w:val="center"/>
          </w:tcPr>
          <w:p>
            <w:pPr>
              <w:jc w:val="center"/>
              <w:rPr>
                <w:b w:val="1"/>
                <w:color w:val="FFFFFF"/>
                <w:lang w:val="fr-FR"/>
              </w:rPr>
            </w:pPr>
            <w:r>
              <w:rPr>
                <w:b w:val="1"/>
                <w:color w:val="FFFFFF"/>
                <w:lang w:val="fr-FR"/>
              </w:rPr>
              <w:t xml:space="preserve">Coûts </w:t>
            </w:r>
            <w:r>
              <w:rPr>
                <w:b w:val="1"/>
                <w:color w:val="FFFFFF"/>
                <w:lang w:val="fr-FR"/>
              </w:rPr>
              <w:t>estimés</w:t>
            </w: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tcBorders>
              <w:top w:val="single" w:sz="4" w:space="0" w:shadow="0" w:frame="0"/>
            </w:tcBorders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  <w:r>
              <w:rPr>
                <w:b w:val="1"/>
                <w:lang w:val="fr-FR"/>
              </w:rPr>
              <w:t xml:space="preserve">Terrain </w:t>
            </w:r>
          </w:p>
        </w:tc>
        <w:tc>
          <w:tcPr>
            <w:tcW w:w="1747" w:type="dxa"/>
            <w:tcBorders>
              <w:top w:val="single" w:sz="4" w:space="0" w:shadow="0" w:frame="0"/>
            </w:tcBorders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tcBorders>
              <w:top w:val="single" w:sz="4" w:space="0" w:shadow="0" w:frame="0"/>
            </w:tcBorders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tcBorders>
              <w:top w:val="single" w:sz="4" w:space="0" w:shadow="0" w:frame="0"/>
            </w:tcBorders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Alentours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Égouts et fosses sceptiques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b w:val="1"/>
                <w:lang w:val="fr-FR"/>
              </w:rPr>
            </w:pPr>
            <w:r>
              <w:rPr>
                <w:lang w:val="fr-FR"/>
              </w:rPr>
              <w:t>Arroseurs automatiques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b w:val="1"/>
                <w:lang w:val="fr-FR"/>
              </w:rPr>
            </w:pPr>
            <w:r>
              <w:rPr>
                <w:lang w:val="fr-FR"/>
              </w:rPr>
              <w:t>Autres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  <w:r>
              <w:rPr>
                <w:b w:val="1"/>
                <w:lang w:val="fr-FR"/>
              </w:rPr>
              <w:t>B</w:t>
            </w:r>
            <w:r>
              <w:rPr>
                <w:b w:val="1"/>
                <w:lang w:val="fr-FR"/>
              </w:rPr>
              <w:t>âtiment</w:t>
            </w:r>
            <w:r>
              <w:rPr>
                <w:b w:val="1"/>
                <w:lang w:val="fr-FR"/>
              </w:rPr>
              <w:t xml:space="preserve"> </w:t>
            </w:r>
          </w:p>
        </w:tc>
        <w:tc>
          <w:tcPr>
            <w:tcW w:w="1747" w:type="dxa"/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 xml:space="preserve">Le toit 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La cheminée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b w:val="1"/>
                <w:lang w:val="fr-FR"/>
              </w:rPr>
            </w:pPr>
            <w:r>
              <w:rPr>
                <w:lang w:val="fr-FR"/>
              </w:rPr>
              <w:t xml:space="preserve">La fondation 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b w:val="1"/>
                <w:lang w:val="fr-FR"/>
              </w:rPr>
            </w:pPr>
            <w:r>
              <w:rPr>
                <w:lang w:val="fr-FR"/>
              </w:rPr>
              <w:t>Charpente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b w:val="1"/>
                <w:lang w:val="fr-FR"/>
              </w:rPr>
            </w:pPr>
            <w:r>
              <w:rPr>
                <w:lang w:val="fr-FR"/>
              </w:rPr>
              <w:t xml:space="preserve">Autres 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  <w:r>
              <w:rPr>
                <w:b w:val="1"/>
                <w:lang w:val="fr-FR"/>
              </w:rPr>
              <w:t>C</w:t>
            </w:r>
            <w:r>
              <w:rPr>
                <w:b w:val="1"/>
                <w:lang w:val="fr-FR"/>
              </w:rPr>
              <w:t>hauffage</w:t>
            </w:r>
            <w:r>
              <w:rPr>
                <w:b w:val="1"/>
                <w:lang w:val="fr-FR"/>
              </w:rPr>
              <w:t xml:space="preserve"> </w:t>
            </w:r>
            <w:r>
              <w:rPr>
                <w:b w:val="1"/>
                <w:lang w:val="fr-FR"/>
              </w:rPr>
              <w:t>et climatisation</w:t>
            </w:r>
          </w:p>
        </w:tc>
        <w:tc>
          <w:tcPr>
            <w:tcW w:w="1747" w:type="dxa"/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b w:val="1"/>
                <w:lang w:val="fr-FR"/>
              </w:rPr>
            </w:pPr>
            <w:r>
              <w:rPr>
                <w:lang w:val="fr-FR"/>
              </w:rPr>
              <w:t>Fourneau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b w:val="1"/>
                <w:lang w:val="fr-FR"/>
              </w:rPr>
            </w:pPr>
            <w:r>
              <w:rPr>
                <w:lang w:val="fr-FR"/>
              </w:rPr>
              <w:t>Climatisation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b w:val="1"/>
                <w:lang w:val="fr-FR"/>
              </w:rPr>
            </w:pPr>
            <w:r>
              <w:rPr>
                <w:lang w:val="fr-FR"/>
              </w:rPr>
              <w:t xml:space="preserve">Chauffe-eau 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b w:val="1"/>
                <w:lang w:val="fr-FR"/>
              </w:rPr>
            </w:pPr>
            <w:r>
              <w:rPr>
                <w:lang w:val="fr-FR"/>
              </w:rPr>
              <w:t>Autres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  <w:r>
              <w:rPr>
                <w:b w:val="1"/>
                <w:lang w:val="fr-FR"/>
              </w:rPr>
              <w:t>É</w:t>
            </w:r>
            <w:r>
              <w:rPr>
                <w:b w:val="1"/>
                <w:lang w:val="fr-FR"/>
              </w:rPr>
              <w:t>quipement</w:t>
            </w:r>
          </w:p>
        </w:tc>
        <w:tc>
          <w:tcPr>
            <w:tcW w:w="1747" w:type="dxa"/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Système d’alarme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b w:val="1"/>
                <w:lang w:val="fr-FR"/>
              </w:rPr>
            </w:pPr>
            <w:r>
              <w:rPr>
                <w:lang w:val="fr-FR"/>
              </w:rPr>
              <w:t xml:space="preserve">Four 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b w:val="1"/>
                <w:lang w:val="fr-FR"/>
              </w:rPr>
            </w:pPr>
            <w:r>
              <w:rPr>
                <w:lang w:val="fr-FR"/>
              </w:rPr>
              <w:t>Bec de gaz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b w:val="1"/>
                <w:lang w:val="fr-FR"/>
              </w:rPr>
            </w:pPr>
            <w:r>
              <w:rPr>
                <w:lang w:val="fr-FR"/>
              </w:rPr>
              <w:t>Secours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Extincteurs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b w:val="1"/>
                <w:lang w:val="fr-FR"/>
              </w:rPr>
            </w:pPr>
            <w:r>
              <w:rPr>
                <w:lang w:val="fr-FR"/>
              </w:rPr>
              <w:t>Interphone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b w:val="1"/>
                <w:lang w:val="fr-FR"/>
              </w:rPr>
            </w:pPr>
            <w:r>
              <w:rPr>
                <w:lang w:val="fr-FR"/>
              </w:rPr>
              <w:t>Câblages et fils téléphoniques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Autres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  <w:r>
              <w:rPr>
                <w:b w:val="1"/>
                <w:lang w:val="fr-FR"/>
              </w:rPr>
              <w:t>Système électrique</w:t>
            </w:r>
          </w:p>
        </w:tc>
        <w:tc>
          <w:tcPr>
            <w:tcW w:w="1747" w:type="dxa"/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b w:val="1"/>
                <w:lang w:val="fr-FR"/>
              </w:rPr>
            </w:pPr>
            <w:r>
              <w:rPr>
                <w:lang w:val="fr-FR"/>
              </w:rPr>
              <w:t xml:space="preserve">Éclairage intérieur 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b w:val="1"/>
                <w:lang w:val="fr-FR"/>
              </w:rPr>
            </w:pPr>
            <w:r>
              <w:rPr>
                <w:lang w:val="fr-FR"/>
              </w:rPr>
              <w:t>Éclairage extérieur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 xml:space="preserve">Autres 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  <w:r>
              <w:rPr>
                <w:b w:val="1"/>
                <w:lang w:val="fr-FR"/>
              </w:rPr>
              <w:t>Pl</w:t>
            </w:r>
            <w:r>
              <w:rPr>
                <w:b w:val="1"/>
                <w:lang w:val="fr-FR"/>
              </w:rPr>
              <w:t>omberie</w:t>
            </w:r>
          </w:p>
        </w:tc>
        <w:tc>
          <w:tcPr>
            <w:tcW w:w="1747" w:type="dxa"/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Salles de bain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b w:val="1"/>
                <w:lang w:val="fr-FR"/>
              </w:rPr>
            </w:pPr>
            <w:r>
              <w:rPr>
                <w:lang w:val="fr-FR"/>
              </w:rPr>
              <w:t>Cuisines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b w:val="1"/>
                <w:lang w:val="fr-FR"/>
              </w:rPr>
            </w:pPr>
            <w:r>
              <w:rPr>
                <w:lang w:val="fr-FR"/>
              </w:rPr>
              <w:t>Blanchisserie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 xml:space="preserve">Autres 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  <w:r>
              <w:rPr>
                <w:b w:val="1"/>
                <w:lang w:val="fr-FR"/>
              </w:rPr>
              <w:t>Vitr</w:t>
            </w:r>
            <w:r>
              <w:rPr>
                <w:b w:val="1"/>
                <w:lang w:val="fr-FR"/>
              </w:rPr>
              <w:t>age</w:t>
            </w:r>
          </w:p>
        </w:tc>
        <w:tc>
          <w:tcPr>
            <w:tcW w:w="1747" w:type="dxa"/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 xml:space="preserve">Fenêtre 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b w:val="1"/>
                <w:lang w:val="fr-FR"/>
              </w:rPr>
            </w:pPr>
            <w:r>
              <w:rPr>
                <w:lang w:val="fr-FR"/>
              </w:rPr>
              <w:t xml:space="preserve">Vitrage des portes 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vAlign w:val="center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Autres</w:t>
            </w:r>
          </w:p>
        </w:tc>
        <w:tc>
          <w:tcPr>
            <w:tcW w:w="174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  <w:tr>
        <w:trPr>
          <w:wAfter w:w="0" w:type="dxa"/>
          <w:trHeight w:hRule="atLeast" w:val="284"/>
        </w:trPr>
        <w:tc>
          <w:tcPr>
            <w:tcW w:w="4206" w:type="dxa"/>
            <w:tcBorders>
              <w:bottom w:val="single" w:sz="18" w:space="0" w:shadow="0" w:frame="0"/>
            </w:tcBorders>
            <w:shd w:val="clear" w:color="auto" w:fill="E0E0E0"/>
            <w:vAlign w:val="center"/>
          </w:tcPr>
          <w:p>
            <w:pPr>
              <w:jc w:val="right"/>
              <w:rPr>
                <w:b w:val="1"/>
                <w:lang w:val="fr-FR"/>
              </w:rPr>
            </w:pPr>
            <w:r>
              <w:rPr>
                <w:b w:val="1"/>
                <w:lang w:val="fr-FR"/>
              </w:rPr>
              <w:t>TOTAL</w:t>
            </w:r>
          </w:p>
        </w:tc>
        <w:tc>
          <w:tcPr>
            <w:tcW w:w="1747" w:type="dxa"/>
            <w:tcBorders>
              <w:bottom w:val="single" w:sz="18" w:space="0" w:shadow="0" w:frame="0"/>
            </w:tcBorders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687" w:type="dxa"/>
            <w:tcBorders>
              <w:bottom w:val="single" w:sz="18" w:space="0" w:shadow="0" w:frame="0"/>
            </w:tcBorders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</w:p>
        </w:tc>
        <w:tc>
          <w:tcPr>
            <w:tcW w:w="1720" w:type="dxa"/>
            <w:tcBorders>
              <w:bottom w:val="single" w:sz="18" w:space="0" w:shadow="0" w:frame="0"/>
            </w:tcBorders>
            <w:shd w:val="clear" w:color="auto" w:fill="E0E0E0"/>
            <w:vAlign w:val="center"/>
          </w:tcPr>
          <w:p>
            <w:pPr>
              <w:rPr>
                <w:b w:val="1"/>
                <w:lang w:val="fr-FR"/>
              </w:rPr>
            </w:pPr>
          </w:p>
        </w:tc>
      </w:tr>
    </w:tbl>
    <w:p>
      <w:pPr>
        <w:rPr>
          <w:lang w:val="fr-FR"/>
        </w:rPr>
      </w:pPr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footerReference xmlns:r="http://schemas.openxmlformats.org/officeDocument/2006/relationships" w:type="even" r:id="RelFtr3"/>
      <w:type w:val="continuous"/>
      <w:pgMar w:left="1440" w:right="1440" w:top="1417" w:bottom="1304" w:header="720" w:footer="720" w:gutter="0"/>
      <w:cols w:equalWidth="1" w:space="72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footer3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rPr>
        <w:color w:val="FFFFFF"/>
        <w:sz w:val="13"/>
      </w:rPr>
    </w:pPr>
  </w:p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rFonts w:ascii="Arial" w:hAnsi="Arial"/>
      <w:sz w:val="20"/>
      <w:lang w:val="en-US"/>
    </w:rPr>
  </w:style>
  <w:style w:type="paragraph" w:styleId="P1">
    <w:name w:val="Header"/>
    <w:basedOn w:val="P0"/>
    <w:next w:val="P1"/>
    <w:link w:val="C3"/>
    <w:pPr>
      <w:tabs>
        <w:tab w:val="center" w:pos="4320" w:leader="none"/>
        <w:tab w:val="right" w:pos="8640" w:leader="none"/>
      </w:tabs>
    </w:pPr>
    <w:rPr/>
  </w:style>
  <w:style w:type="paragraph" w:styleId="P2">
    <w:name w:val="Footer"/>
    <w:basedOn w:val="P0"/>
    <w:next w:val="P2"/>
    <w:link w:val="C4"/>
    <w:pPr>
      <w:tabs>
        <w:tab w:val="center" w:pos="4320" w:leader="none"/>
        <w:tab w:val="right" w:pos="8640" w:leader="none"/>
      </w:tabs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link w:val="P1"/>
    <w:rPr/>
  </w:style>
  <w:style w:type="character" w:styleId="C4">
    <w:name w:val="Footer Char"/>
    <w:link w:val="P2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tr3" Type="http://schemas.openxmlformats.org/officeDocument/2006/relationships/footer" Target="footer3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Envision SBS</dc:creator>
  <dcterms:created xsi:type="dcterms:W3CDTF">2007-05-16T20:01:00Z</dcterms:created>
  <cp:lastModifiedBy>INTERMARK BUSINESS</cp:lastModifiedBy>
  <dcterms:modified xsi:type="dcterms:W3CDTF">2019-01-08T23:44:14Z</dcterms:modified>
  <cp:revision>7</cp:revision>
</cp:coreProperties>
</file>