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5871" w14:textId="77777777" w:rsidR="00B47A56" w:rsidRDefault="00000000">
      <w:pPr>
        <w:spacing w:after="120"/>
      </w:pPr>
      <w:r>
        <w:rPr>
          <w:b/>
          <w:bCs/>
          <w:sz w:val="28"/>
          <w:szCs w:val="28"/>
        </w:rPr>
        <w:t>Website Research Section: Draft Copy for Implementation</w:t>
      </w:r>
    </w:p>
    <w:p w14:paraId="241CBA4C" w14:textId="77777777" w:rsidR="00B47A56" w:rsidRDefault="00000000">
      <w:pPr>
        <w:spacing w:after="120"/>
      </w:pPr>
      <w:r>
        <w:t>This document contains draft copy for two pages of the redesigned research section on pelegkremer.com. The intent is to replace the current grant-organized research page with a question-led, theme-organized structure that holds steady across funding cycles. Pass this to Claude Code to translate into Quarto markdown pages.</w:t>
      </w:r>
    </w:p>
    <w:p w14:paraId="7D23C7E1" w14:textId="77777777" w:rsidR="00B47A56" w:rsidRDefault="00000000">
      <w:pPr>
        <w:spacing w:after="120"/>
      </w:pPr>
      <w:r>
        <w:t>Contents: (1) New research landing page; (2) Sample thematic page for Theme 2, Living with Water. The other three thematic pages (Three-Dimensional City, Land in Common, Who Gets the Park) follow the same template, which is described at the end.</w:t>
      </w:r>
    </w:p>
    <w:p w14:paraId="60B7ED82" w14:textId="77777777" w:rsidR="00B47A56" w:rsidRDefault="00000000">
      <w:pPr>
        <w:spacing w:before="240" w:after="120"/>
      </w:pPr>
      <w:r>
        <w:rPr>
          <w:b/>
          <w:bCs/>
          <w:sz w:val="28"/>
          <w:szCs w:val="28"/>
        </w:rPr>
        <w:t>Part 1: Research landing page (research.html)</w:t>
      </w:r>
    </w:p>
    <w:p w14:paraId="0B1F8E4A" w14:textId="77777777" w:rsidR="00B47A56" w:rsidRDefault="00000000">
      <w:pPr>
        <w:spacing w:after="120"/>
      </w:pPr>
      <w:r>
        <w:t>Title: Research</w:t>
      </w:r>
    </w:p>
    <w:p w14:paraId="54A25C3D" w14:textId="77777777" w:rsidR="00B47A56" w:rsidRDefault="00000000">
      <w:pPr>
        <w:spacing w:after="120"/>
      </w:pPr>
      <w:r>
        <w:t>Subtitle / lead paragraph:</w:t>
      </w:r>
    </w:p>
    <w:p w14:paraId="73B96234" w14:textId="77777777" w:rsidR="00B47A56" w:rsidRDefault="00000000">
      <w:pPr>
        <w:spacing w:after="120"/>
      </w:pPr>
      <w:r>
        <w:t>My lab investigates how the structure, function, and governance of urban social-ecological systems shape the distribution of environmental benefits and risks across cities. We use spatial analysis, GIS, remote sensing, and increasingly machine learning to ask how cities can become more sustainable, just, and resilient in the face of climate change, rapid urban growth, and persistent social inequity. Most of our fieldwork is in Philadelphia, with comparative and global work in collaboration with partners across the United States, Europe, and Asia.</w:t>
      </w:r>
    </w:p>
    <w:p w14:paraId="29F96120" w14:textId="77777777" w:rsidR="00B47A56" w:rsidRDefault="00000000">
      <w:pPr>
        <w:spacing w:after="120"/>
      </w:pPr>
      <w:r>
        <w:t>Below the lead paragraph, four thematic tiles, followed by a cross-cutting tile, followed by a Partners block.</w:t>
      </w:r>
    </w:p>
    <w:p w14:paraId="5F0FC265" w14:textId="77777777" w:rsidR="00B47A56" w:rsidRDefault="00000000">
      <w:pPr>
        <w:spacing w:before="240" w:after="120"/>
      </w:pPr>
      <w:r>
        <w:rPr>
          <w:b/>
          <w:bCs/>
        </w:rPr>
        <w:t>Theme 1 tile: Urban Structure and the Environment</w:t>
      </w:r>
    </w:p>
    <w:p w14:paraId="7AA17840" w14:textId="77777777" w:rsidR="00B47A56" w:rsidRDefault="00000000">
      <w:pPr>
        <w:spacing w:after="120"/>
      </w:pPr>
      <w:r>
        <w:t>Tagline: Urban form, heat, and air quality</w:t>
      </w:r>
    </w:p>
    <w:p w14:paraId="1F8F2E1B" w14:textId="77777777" w:rsidR="00B47A56" w:rsidRDefault="00000000">
      <w:pPr>
        <w:spacing w:after="120"/>
      </w:pPr>
      <w:r>
        <w:t xml:space="preserve">How </w:t>
      </w:r>
      <w:proofErr w:type="gramStart"/>
      <w:r>
        <w:t>does the way</w:t>
      </w:r>
      <w:proofErr w:type="gramEnd"/>
      <w:r>
        <w:t xml:space="preserve"> buildings, vegetation, and pavement combine at the block scale shape what residents breathe and the heat they experience? Most analyses of urban environments rely on flat, two-dimensional land cover and miss the vertical dimension entirely. With colleagues in Berlin, Leipzig, and Philadelphia, we developed the Structure of Urban Landscapes (STURLA) classification to capture three-dimensional urban </w:t>
      </w:r>
      <w:proofErr w:type="gramStart"/>
      <w:r>
        <w:t>form, and</w:t>
      </w:r>
      <w:proofErr w:type="gramEnd"/>
      <w:r>
        <w:t xml:space="preserve"> now use it across cities to ask how composition shapes temperature, air quality, and ecological function.</w:t>
      </w:r>
    </w:p>
    <w:p w14:paraId="52E88937" w14:textId="77777777" w:rsidR="00B47A56" w:rsidRDefault="00000000">
      <w:pPr>
        <w:spacing w:after="120"/>
      </w:pPr>
      <w:r>
        <w:t>Link: Read more about this theme</w:t>
      </w:r>
    </w:p>
    <w:p w14:paraId="3DE4E0CB" w14:textId="77777777" w:rsidR="00B47A56" w:rsidRDefault="00000000">
      <w:pPr>
        <w:spacing w:before="240" w:after="120"/>
      </w:pPr>
      <w:r>
        <w:rPr>
          <w:b/>
          <w:bCs/>
        </w:rPr>
        <w:t>Theme 2 tile: Urban Flooding and Green Infrastructure</w:t>
      </w:r>
    </w:p>
    <w:p w14:paraId="10908F1C" w14:textId="77777777" w:rsidR="00B47A56" w:rsidRDefault="00000000">
      <w:pPr>
        <w:spacing w:after="120"/>
      </w:pPr>
      <w:r>
        <w:t>Tagline: Spatial data, AI, and community knowledge for equitable adaptation</w:t>
      </w:r>
    </w:p>
    <w:p w14:paraId="14CEE3F7" w14:textId="77777777" w:rsidR="00B47A56" w:rsidRDefault="00000000">
      <w:pPr>
        <w:spacing w:after="120"/>
      </w:pPr>
      <w:r>
        <w:t>Urban flooding is becoming more frequent and severe under climate change, with disproportionate consequences for socially vulnerable communities. With civil engineering colleagues at Villanova and transportation researchers across the country, we ask how cities can use spatial data, community knowledge, and AI to plan stormwater and adaptation strategies that are both effective and equitable. This is our largest-funded and fastest-growing research area, supported by four NSF awards totaling more than $3.9 million.</w:t>
      </w:r>
    </w:p>
    <w:p w14:paraId="600C3672" w14:textId="77777777" w:rsidR="00B47A56" w:rsidRDefault="00000000">
      <w:pPr>
        <w:spacing w:after="120"/>
      </w:pPr>
      <w:r>
        <w:lastRenderedPageBreak/>
        <w:t>Link: Read more about this theme</w:t>
      </w:r>
    </w:p>
    <w:p w14:paraId="4F91AAB3" w14:textId="77777777" w:rsidR="00B47A56" w:rsidRDefault="00000000">
      <w:pPr>
        <w:spacing w:before="240" w:after="120"/>
      </w:pPr>
      <w:r>
        <w:rPr>
          <w:b/>
          <w:bCs/>
        </w:rPr>
        <w:t>Theme 3 tile: Land in Common</w:t>
      </w:r>
    </w:p>
    <w:p w14:paraId="224E7576" w14:textId="77777777" w:rsidR="00B47A56" w:rsidRDefault="00000000">
      <w:pPr>
        <w:spacing w:after="120"/>
      </w:pPr>
      <w:r>
        <w:t>Tagline: Community gardens, vacancy, and the right to urban space</w:t>
      </w:r>
    </w:p>
    <w:p w14:paraId="36FD00F1" w14:textId="77777777" w:rsidR="00B47A56" w:rsidRDefault="00000000">
      <w:pPr>
        <w:spacing w:after="120"/>
      </w:pPr>
      <w:r>
        <w:t>Vacant land is a persistent structural feature of US cities, often comprising 12 to 15 percent of land area. Rather than treating vacancy as failure, we conceptualize urban vacant land as a generative space in which communities exercise creative rights, most visibly through community gardens and urban agriculture. As founding member and technical lead of the Philadelphia Garden Data Collaborative, my lab builds and maintains the only authoritative GIS dataset of active community gardens in Philadelphia and uses it to inform policy and protect gardens at risk of loss.</w:t>
      </w:r>
    </w:p>
    <w:p w14:paraId="2319E58F" w14:textId="77777777" w:rsidR="00B47A56" w:rsidRDefault="00000000">
      <w:pPr>
        <w:spacing w:after="120"/>
      </w:pPr>
      <w:r>
        <w:t>Link: Read more about this theme</w:t>
      </w:r>
    </w:p>
    <w:p w14:paraId="338867C8" w14:textId="77777777" w:rsidR="00B47A56" w:rsidRDefault="00000000">
      <w:pPr>
        <w:spacing w:before="240" w:after="120"/>
      </w:pPr>
      <w:r>
        <w:rPr>
          <w:b/>
          <w:bCs/>
        </w:rPr>
        <w:t>Theme 4 tile: Environmental Justice and Green Space</w:t>
      </w:r>
    </w:p>
    <w:p w14:paraId="13022C6A" w14:textId="77777777" w:rsidR="00B47A56" w:rsidRDefault="00000000">
      <w:pPr>
        <w:spacing w:after="120"/>
      </w:pPr>
      <w:r>
        <w:t>Tagline: Unequal access to urban nature, and what spatial analysis can change about it</w:t>
      </w:r>
    </w:p>
    <w:p w14:paraId="556EA04B" w14:textId="77777777" w:rsidR="00B47A56" w:rsidRDefault="00000000">
      <w:pPr>
        <w:spacing w:after="120"/>
      </w:pPr>
      <w:r>
        <w:t>Urban green spaces, parks, and environmental amenities are unequally distributed within and across US cities, often along lines of race, income, and historical disinvestment. Through the SESYNC Parks for People working group and local work in Philadelphia, we ask why access to nature in the city remains so unequal, and what fine-scale spatial analysis can change about that. Equity is also the connective tissue across the rest of the program: it shapes the flooding, garden, and urban form work in equal measure.</w:t>
      </w:r>
    </w:p>
    <w:p w14:paraId="10084985" w14:textId="77777777" w:rsidR="00B47A56" w:rsidRDefault="00000000">
      <w:pPr>
        <w:spacing w:after="120"/>
      </w:pPr>
      <w:r>
        <w:t>Link: Read more about this theme</w:t>
      </w:r>
    </w:p>
    <w:p w14:paraId="28F938DA" w14:textId="77777777" w:rsidR="00B47A56" w:rsidRDefault="00000000">
      <w:pPr>
        <w:spacing w:before="240" w:after="120"/>
      </w:pPr>
      <w:r>
        <w:rPr>
          <w:b/>
          <w:bCs/>
        </w:rPr>
        <w:t>Cross-cutting tile: Methods and Tools</w:t>
      </w:r>
    </w:p>
    <w:p w14:paraId="7C06CC3F" w14:textId="77777777" w:rsidR="00B47A56" w:rsidRDefault="00000000">
      <w:pPr>
        <w:spacing w:after="120"/>
      </w:pPr>
      <w:r>
        <w:t>Tagline: Spatial infrastructure for urban research</w:t>
      </w:r>
    </w:p>
    <w:p w14:paraId="2BD690E9" w14:textId="77777777" w:rsidR="00B47A56" w:rsidRDefault="00000000">
      <w:pPr>
        <w:spacing w:after="120"/>
      </w:pPr>
      <w:r>
        <w:t xml:space="preserve">Our research generates methods, datasets, and platforms that outlast individual projects. These include the STURLA classification for three-dimensional urban form, a mobile platform for fine-scale air pollution monitoring in Philadelphia developed with Dr. </w:t>
      </w:r>
      <w:proofErr w:type="spellStart"/>
      <w:r>
        <w:t>Kabindra</w:t>
      </w:r>
      <w:proofErr w:type="spellEnd"/>
      <w:r>
        <w:t xml:space="preserve"> Shakya, the Philadelphia Garden Data Collaborative platform, and contributions to the SESYNC Parks for People dataset. We make tools and data available to collaborators and partners where licensing and ethics allow.</w:t>
      </w:r>
    </w:p>
    <w:p w14:paraId="61821694" w14:textId="77777777" w:rsidR="00B47A56" w:rsidRDefault="00000000">
      <w:pPr>
        <w:spacing w:after="120"/>
      </w:pPr>
      <w:r>
        <w:t>Link: Methods, datasets, and tools</w:t>
      </w:r>
    </w:p>
    <w:p w14:paraId="56A92719" w14:textId="77777777" w:rsidR="00B47A56" w:rsidRDefault="00000000">
      <w:pPr>
        <w:spacing w:before="240" w:after="120"/>
      </w:pPr>
      <w:r>
        <w:rPr>
          <w:b/>
          <w:bCs/>
        </w:rPr>
        <w:t>Partners block (bottom of page)</w:t>
      </w:r>
    </w:p>
    <w:p w14:paraId="324DC32C" w14:textId="77777777" w:rsidR="00B47A56" w:rsidRDefault="00000000">
      <w:pPr>
        <w:spacing w:after="120"/>
      </w:pPr>
      <w:r>
        <w:t>A short paragraph or logo strip listing key institutional and community partners: Public Interest Law Center of Philadelphia, Pennsylvania Horticultural Society, Neighborhood Gardens Trust, Villanova Center for Resilient Water Systems, SESYNC Parks for People working group, Leibniz Institute of Ecological Urban and Regional Development (IOER) Leipzig, and others.</w:t>
      </w:r>
    </w:p>
    <w:p w14:paraId="6C4547B2" w14:textId="77777777" w:rsidR="00B47A56" w:rsidRDefault="00000000">
      <w:pPr>
        <w:spacing w:before="240" w:after="120"/>
      </w:pPr>
      <w:r>
        <w:rPr>
          <w:b/>
          <w:bCs/>
          <w:sz w:val="28"/>
          <w:szCs w:val="28"/>
        </w:rPr>
        <w:lastRenderedPageBreak/>
        <w:t>Part 2: Sample thematic page, Theme 2 (Urban Flooding and Green Infrastructure)</w:t>
      </w:r>
    </w:p>
    <w:p w14:paraId="38DC7A44" w14:textId="77777777" w:rsidR="00B47A56" w:rsidRDefault="00000000">
      <w:pPr>
        <w:spacing w:after="120"/>
      </w:pPr>
      <w:r>
        <w:t>This is the most complex theme in the program, with four NSF awards, two engineering and one transportation collaborator group, and a recent series of high-impact papers that reconceptualize how the field thinks about urban flood modeling. It is the best template for the other three thematic pages because it shows how to handle multiple grants without letting the page become a grant list.</w:t>
      </w:r>
    </w:p>
    <w:p w14:paraId="7D4B4D41" w14:textId="77777777" w:rsidR="00B47A56" w:rsidRDefault="00000000">
      <w:pPr>
        <w:spacing w:after="120"/>
      </w:pPr>
      <w:r>
        <w:t>URL: projects/urban-flooding.html (or research/flooding.html)</w:t>
      </w:r>
    </w:p>
    <w:p w14:paraId="4CDFAC8D" w14:textId="77777777" w:rsidR="00B47A56" w:rsidRDefault="00000000">
      <w:pPr>
        <w:spacing w:before="240" w:after="120"/>
      </w:pPr>
      <w:r>
        <w:rPr>
          <w:b/>
          <w:bCs/>
        </w:rPr>
        <w:t>Page title and lead</w:t>
      </w:r>
    </w:p>
    <w:p w14:paraId="3BEB7377" w14:textId="77777777" w:rsidR="00B47A56" w:rsidRDefault="00000000">
      <w:pPr>
        <w:spacing w:after="120"/>
      </w:pPr>
      <w:r>
        <w:t>Title: Urban Flooding and Green Infrastructure</w:t>
      </w:r>
    </w:p>
    <w:p w14:paraId="52B978B1" w14:textId="77777777" w:rsidR="00B47A56" w:rsidRDefault="00000000">
      <w:pPr>
        <w:spacing w:after="120"/>
      </w:pPr>
      <w:r>
        <w:t>Subtitle: Spatial data, AI, and community knowledge for equitable adaptation</w:t>
      </w:r>
    </w:p>
    <w:p w14:paraId="3057FDB0" w14:textId="77777777" w:rsidR="00B47A56" w:rsidRDefault="00000000">
      <w:pPr>
        <w:spacing w:after="120"/>
      </w:pPr>
      <w:r>
        <w:t>Lead paragraph:</w:t>
      </w:r>
    </w:p>
    <w:p w14:paraId="3AAC052E" w14:textId="77777777" w:rsidR="00B47A56" w:rsidRDefault="00000000">
      <w:pPr>
        <w:spacing w:after="120"/>
      </w:pPr>
      <w:r>
        <w:t>Urban flooding is becoming more frequent and severe under climate change. Its consequences are borne unevenly: low-lying, historically disinvested neighborhoods are flooded more often, recover more slowly, and have less voice in the planning systems that decide where stormwater infrastructure goes. My lab works with civil engineering colleagues at Villanova and transportation researchers at the University of Minnesota and elsewhere to ask how cities can use spatial data, community knowledge, and AI to plan flood mitigation, green stormwater infrastructure (GSI), and adaptation strategies that are both effective and equitable.</w:t>
      </w:r>
    </w:p>
    <w:p w14:paraId="744F910C" w14:textId="77777777" w:rsidR="00B47A56" w:rsidRDefault="00000000">
      <w:pPr>
        <w:spacing w:before="240" w:after="120"/>
      </w:pPr>
      <w:r>
        <w:rPr>
          <w:b/>
          <w:bCs/>
        </w:rPr>
        <w:t>What we do (sub-section)</w:t>
      </w:r>
    </w:p>
    <w:p w14:paraId="2B7C634F" w14:textId="77777777" w:rsidR="00B47A56" w:rsidRDefault="00000000">
      <w:pPr>
        <w:spacing w:after="120"/>
      </w:pPr>
      <w:r>
        <w:t>Three interconnected lines of work:</w:t>
      </w:r>
    </w:p>
    <w:p w14:paraId="5DFAA18B" w14:textId="77777777" w:rsidR="00B47A56" w:rsidRDefault="00000000">
      <w:pPr>
        <w:pStyle w:val="ListParagraph"/>
        <w:numPr>
          <w:ilvl w:val="0"/>
          <w:numId w:val="2"/>
        </w:numPr>
        <w:spacing w:after="80"/>
      </w:pPr>
      <w:r>
        <w:t>Equitable GSI planning and performance: where rain gardens, bioswales, and green roofs should go, why they often underperform once installed, and how performance varies with maintenance, site conditions, and the social context they sit in.</w:t>
      </w:r>
    </w:p>
    <w:p w14:paraId="73143526" w14:textId="77777777" w:rsidR="00B47A56" w:rsidRDefault="00000000">
      <w:pPr>
        <w:pStyle w:val="ListParagraph"/>
        <w:numPr>
          <w:ilvl w:val="0"/>
          <w:numId w:val="2"/>
        </w:numPr>
        <w:spacing w:after="80"/>
      </w:pPr>
      <w:r>
        <w:t>Community-informed flood modeling: who counts as flood-prone depends on how you measure flooding. Incorporating lived experience and community stormwater knowledge changes which neighborhoods get identified as at-risk, and it changes the maps planners use.</w:t>
      </w:r>
    </w:p>
    <w:p w14:paraId="6947E2F8" w14:textId="77777777" w:rsidR="00B47A56" w:rsidRDefault="00000000">
      <w:pPr>
        <w:pStyle w:val="ListParagraph"/>
        <w:numPr>
          <w:ilvl w:val="0"/>
          <w:numId w:val="2"/>
        </w:numPr>
        <w:spacing w:after="80"/>
      </w:pPr>
      <w:r>
        <w:t>Flooding, mobility, and access to opportunity: chronic, low-grade nuisance flooding restructures how people move through cities and reach jobs, care, and services. We are modeling those disruptions and the equity gaps they produce.</w:t>
      </w:r>
    </w:p>
    <w:p w14:paraId="05DB4127" w14:textId="77777777" w:rsidR="00B47A56" w:rsidRDefault="00000000">
      <w:pPr>
        <w:spacing w:before="240" w:after="120"/>
      </w:pPr>
      <w:r>
        <w:rPr>
          <w:b/>
          <w:bCs/>
        </w:rPr>
        <w:t>Active funded projects</w:t>
      </w:r>
    </w:p>
    <w:p w14:paraId="475F2EB6" w14:textId="77777777" w:rsidR="00B47A56" w:rsidRDefault="00000000">
      <w:pPr>
        <w:spacing w:after="120"/>
      </w:pPr>
      <w:r>
        <w:rPr>
          <w:b/>
          <w:bCs/>
        </w:rPr>
        <w:t>NSF SCC-IRG Track 1: Integrating Community Dynamics, Environmental Data, and AI to Advance Green Stormwater Infrastructure Sustainability</w:t>
      </w:r>
    </w:p>
    <w:p w14:paraId="298FE924" w14:textId="77777777" w:rsidR="00B47A56" w:rsidRDefault="00000000">
      <w:pPr>
        <w:spacing w:after="120"/>
      </w:pPr>
      <w:r>
        <w:lastRenderedPageBreak/>
        <w:t xml:space="preserve">Co-PI with Smith (PI, Villanova Civil and Environmental Engineering), Jiao, and </w:t>
      </w:r>
      <w:proofErr w:type="spellStart"/>
      <w:r>
        <w:t>Wadzuk</w:t>
      </w:r>
      <w:proofErr w:type="spellEnd"/>
      <w:r>
        <w:t>. $1.5 million, 2024 to 2028. Builds an AI-supported decision framework for GSI siting, maintenance, and performance that integrates engineering, environmental, and community data.</w:t>
      </w:r>
    </w:p>
    <w:p w14:paraId="10EFC892" w14:textId="77777777" w:rsidR="00B47A56" w:rsidRDefault="00000000">
      <w:pPr>
        <w:spacing w:after="120"/>
      </w:pPr>
      <w:r>
        <w:rPr>
          <w:b/>
          <w:bCs/>
        </w:rPr>
        <w:t>NSF DISES: Abating Mobility Equity Gaps Induced by Nuisance Flooding in Underserved Communities</w:t>
      </w:r>
    </w:p>
    <w:p w14:paraId="59EE4F3F" w14:textId="77777777" w:rsidR="00B47A56" w:rsidRDefault="00000000">
      <w:pPr>
        <w:spacing w:after="120"/>
      </w:pPr>
      <w:r>
        <w:t xml:space="preserve">Co-PI with </w:t>
      </w:r>
      <w:proofErr w:type="spellStart"/>
      <w:r>
        <w:t>Ermagun</w:t>
      </w:r>
      <w:proofErr w:type="spellEnd"/>
      <w:r>
        <w:t xml:space="preserve"> and Xiong (PIs, University of Minnesota), Smith, </w:t>
      </w:r>
      <w:proofErr w:type="spellStart"/>
      <w:r>
        <w:t>Wadzuk</w:t>
      </w:r>
      <w:proofErr w:type="spellEnd"/>
      <w:r>
        <w:t>. $1.8 million, 2024 to 2028. A coupled human-natural systems study of how nuisance flooding disrupts mobility and access in vulnerable communities, and how adaptation strategies can close those gaps.</w:t>
      </w:r>
    </w:p>
    <w:p w14:paraId="2663054C" w14:textId="77777777" w:rsidR="00B47A56" w:rsidRDefault="00000000">
      <w:pPr>
        <w:spacing w:after="120"/>
      </w:pPr>
      <w:r>
        <w:rPr>
          <w:b/>
          <w:bCs/>
        </w:rPr>
        <w:t>NSF CDS&amp;E: AI for Sustainable and Fair Green Stormwater Infrastructure Deployment</w:t>
      </w:r>
    </w:p>
    <w:p w14:paraId="3FCEED2E" w14:textId="77777777" w:rsidR="00B47A56" w:rsidRDefault="00000000">
      <w:pPr>
        <w:spacing w:after="120"/>
      </w:pPr>
      <w:r>
        <w:t>Co-PI with Smith (PI). Award #2152834, $499K, 2022 to 2025. Methodological foundation for the larger SCC-IRG award. Developed AI-based approaches to identify equitable siting strategies for GSI.</w:t>
      </w:r>
    </w:p>
    <w:p w14:paraId="006DDCE0" w14:textId="77777777" w:rsidR="00B47A56" w:rsidRDefault="00000000">
      <w:pPr>
        <w:spacing w:after="120"/>
      </w:pPr>
      <w:r>
        <w:rPr>
          <w:b/>
          <w:bCs/>
        </w:rPr>
        <w:t>NSF SCC Planning Grant: Community Dynamics and GSI</w:t>
      </w:r>
    </w:p>
    <w:p w14:paraId="11BF24B7" w14:textId="77777777" w:rsidR="00B47A56" w:rsidRDefault="00000000">
      <w:pPr>
        <w:spacing w:after="120"/>
      </w:pPr>
      <w:r>
        <w:t>Co-PI with Smith (PI). Award #2228035, $150K, 2022 to 2023. Built the interdisciplinary team and conceptual framework that became the SCC-IRG award.</w:t>
      </w:r>
    </w:p>
    <w:p w14:paraId="6CF041D1" w14:textId="77777777" w:rsidR="00B47A56" w:rsidRDefault="00000000">
      <w:pPr>
        <w:spacing w:before="240" w:after="120"/>
      </w:pPr>
      <w:r>
        <w:rPr>
          <w:b/>
          <w:bCs/>
        </w:rPr>
        <w:t>Featured publications</w:t>
      </w:r>
    </w:p>
    <w:p w14:paraId="5819E340" w14:textId="77777777" w:rsidR="00B47A56" w:rsidRDefault="00000000">
      <w:pPr>
        <w:spacing w:after="120"/>
      </w:pPr>
      <w:r>
        <w:t>Selected papers; full publication list on the Publications page.</w:t>
      </w:r>
    </w:p>
    <w:p w14:paraId="742FFB45" w14:textId="77777777" w:rsidR="00B47A56" w:rsidRDefault="00000000">
      <w:pPr>
        <w:spacing w:after="120"/>
      </w:pPr>
      <w:proofErr w:type="spellStart"/>
      <w:r>
        <w:t>Scolio</w:t>
      </w:r>
      <w:proofErr w:type="spellEnd"/>
      <w:r>
        <w:t xml:space="preserve">, M., Kremer, P., Smith, V., Amur, A., </w:t>
      </w:r>
      <w:proofErr w:type="spellStart"/>
      <w:r>
        <w:t>Wadzuk</w:t>
      </w:r>
      <w:proofErr w:type="spellEnd"/>
      <w:r>
        <w:t xml:space="preserve">, B., Homet, K., Devlin, E., Al Mehedi, M. A., Moore, L. (2025). Delineating urban flooding when incorporating community stormwater knowledge. </w:t>
      </w:r>
      <w:r>
        <w:rPr>
          <w:i/>
          <w:iCs/>
        </w:rPr>
        <w:t>Environmental Research: Infrastructure and Sustainability</w:t>
      </w:r>
      <w:r>
        <w:t>, 5(1), 015008.</w:t>
      </w:r>
    </w:p>
    <w:p w14:paraId="6FC76AEB" w14:textId="77777777" w:rsidR="00B47A56" w:rsidRDefault="00000000">
      <w:pPr>
        <w:spacing w:after="120"/>
      </w:pPr>
      <w:r>
        <w:t>Significance: Shows that incorporating community knowledge fundamentally changes which neighborhoods get identified as flood-</w:t>
      </w:r>
      <w:proofErr w:type="gramStart"/>
      <w:r>
        <w:t>prone, and</w:t>
      </w:r>
      <w:proofErr w:type="gramEnd"/>
      <w:r>
        <w:t xml:space="preserve"> argues for a rethinking of how flood risk is mapped.</w:t>
      </w:r>
    </w:p>
    <w:p w14:paraId="505DA617" w14:textId="77777777" w:rsidR="00B47A56" w:rsidRDefault="00000000">
      <w:pPr>
        <w:spacing w:after="120"/>
      </w:pPr>
      <w:proofErr w:type="spellStart"/>
      <w:r>
        <w:t>Scolio</w:t>
      </w:r>
      <w:proofErr w:type="spellEnd"/>
      <w:r>
        <w:t xml:space="preserve">, M., Amur, A., Olson, E., Smith, V., Wadzuk, B., Homet, K., Devlin, E., Kremer, P. (2025). Reconceptualizing urban flood modeling: Toward intersectional and equitable urban flood risk planning. </w:t>
      </w:r>
      <w:r>
        <w:rPr>
          <w:i/>
          <w:iCs/>
        </w:rPr>
        <w:t>Sustainable Cities and Society</w:t>
      </w:r>
      <w:r>
        <w:t>, 130, 106578.</w:t>
      </w:r>
    </w:p>
    <w:p w14:paraId="33B9AFC6" w14:textId="77777777" w:rsidR="00B47A56" w:rsidRDefault="00000000">
      <w:pPr>
        <w:spacing w:after="120"/>
      </w:pPr>
      <w:r>
        <w:t>Significance: Argues for an intersectional approach to flood-risk planning that bridges community legacies with future climate change. Companion to the community-knowledge paper.</w:t>
      </w:r>
    </w:p>
    <w:p w14:paraId="75991C96" w14:textId="77777777" w:rsidR="00B47A56" w:rsidRDefault="00000000">
      <w:pPr>
        <w:spacing w:after="120"/>
      </w:pPr>
      <w:proofErr w:type="spellStart"/>
      <w:r>
        <w:t>Ermagun</w:t>
      </w:r>
      <w:proofErr w:type="spellEnd"/>
      <w:r>
        <w:t xml:space="preserve">, A., </w:t>
      </w:r>
      <w:proofErr w:type="spellStart"/>
      <w:r>
        <w:t>Janatabadi</w:t>
      </w:r>
      <w:proofErr w:type="spellEnd"/>
      <w:r>
        <w:t xml:space="preserve">, F., </w:t>
      </w:r>
      <w:proofErr w:type="spellStart"/>
      <w:r>
        <w:t>Safarloo</w:t>
      </w:r>
      <w:proofErr w:type="spellEnd"/>
      <w:r>
        <w:t xml:space="preserve">, Z., Kremer, P., Lindley, S. (2026). Urban flooding restructures mobility through coupled behavioral and network disruption: A systematic review of evidence. </w:t>
      </w:r>
      <w:r>
        <w:rPr>
          <w:i/>
          <w:iCs/>
        </w:rPr>
        <w:t>Sustainable Cities and Society</w:t>
      </w:r>
      <w:r>
        <w:t>, 107285.</w:t>
      </w:r>
    </w:p>
    <w:p w14:paraId="0DEAA8A5" w14:textId="77777777" w:rsidR="00B47A56" w:rsidRDefault="00000000">
      <w:pPr>
        <w:spacing w:after="120"/>
      </w:pPr>
      <w:r>
        <w:t>Significance: Sets the agenda for the DISES project by synthesizing what is known about how flooding reshapes urban mobility.</w:t>
      </w:r>
    </w:p>
    <w:p w14:paraId="7E54890B" w14:textId="77777777" w:rsidR="00B47A56" w:rsidRDefault="00000000">
      <w:pPr>
        <w:spacing w:after="120"/>
      </w:pPr>
      <w:r>
        <w:t xml:space="preserve">Rahman, M., Smith, V. B., Kremer, P., </w:t>
      </w:r>
      <w:proofErr w:type="spellStart"/>
      <w:r>
        <w:t>Wadzuk</w:t>
      </w:r>
      <w:proofErr w:type="spellEnd"/>
      <w:r>
        <w:t xml:space="preserve">, B. M., Jiao, X., Amur, A., Arabi, S. (2026). Incorporating artificial intelligence into the future of stormwater management. </w:t>
      </w:r>
      <w:r>
        <w:rPr>
          <w:i/>
          <w:iCs/>
        </w:rPr>
        <w:t>Discover Water</w:t>
      </w:r>
      <w:r>
        <w:t>.</w:t>
      </w:r>
    </w:p>
    <w:p w14:paraId="0C1A79AA" w14:textId="77777777" w:rsidR="00B47A56" w:rsidRDefault="00000000">
      <w:pPr>
        <w:spacing w:after="120"/>
      </w:pPr>
      <w:r>
        <w:lastRenderedPageBreak/>
        <w:t>Significance: Maps where AI methods can and cannot productively contribute to stormwater management, framing the SCC-IRG research agenda.</w:t>
      </w:r>
    </w:p>
    <w:p w14:paraId="6EBA1C3D" w14:textId="77777777" w:rsidR="00B47A56" w:rsidRDefault="00000000">
      <w:pPr>
        <w:spacing w:after="120"/>
      </w:pPr>
      <w:r>
        <w:t xml:space="preserve">Al Mehedi, M. A., Smith, V., Kremer, P. (2025). A comparative analysis of urban and peri-urban flood identification using SAR imagery. </w:t>
      </w:r>
      <w:r>
        <w:rPr>
          <w:i/>
          <w:iCs/>
        </w:rPr>
        <w:t>PLOS Water</w:t>
      </w:r>
      <w:r>
        <w:t>, 4(9), e0000269.</w:t>
      </w:r>
    </w:p>
    <w:p w14:paraId="74DA33D0" w14:textId="77777777" w:rsidR="00B47A56" w:rsidRDefault="00000000">
      <w:pPr>
        <w:spacing w:after="120"/>
      </w:pPr>
      <w:r>
        <w:t>Significance: Methodological advance in remote sensing of floods across urban-rural gradients.</w:t>
      </w:r>
    </w:p>
    <w:p w14:paraId="7202A2E1" w14:textId="77777777" w:rsidR="00B47A56" w:rsidRDefault="00000000">
      <w:pPr>
        <w:spacing w:after="120"/>
      </w:pPr>
      <w:r>
        <w:t xml:space="preserve">Marks, N., </w:t>
      </w:r>
      <w:proofErr w:type="spellStart"/>
      <w:r>
        <w:t>Hosseiny</w:t>
      </w:r>
      <w:proofErr w:type="spellEnd"/>
      <w:r>
        <w:t xml:space="preserve">, H., Crimmins, M., Bill, V., Ahn, K., Kremer, P., Smith, V. B. (2022). Vulnerability to local flooding and heat in a city landscape. </w:t>
      </w:r>
      <w:r>
        <w:rPr>
          <w:i/>
          <w:iCs/>
        </w:rPr>
        <w:t>Journal of Water Resources Planning and Management</w:t>
      </w:r>
      <w:r>
        <w:t>.</w:t>
      </w:r>
    </w:p>
    <w:p w14:paraId="6A2F765D" w14:textId="77777777" w:rsidR="00B47A56" w:rsidRDefault="00000000">
      <w:pPr>
        <w:spacing w:after="120"/>
      </w:pPr>
      <w:r>
        <w:t>Significance: Integrated runoff, heat, and social vulnerability framework. An early synthesis paper that anchors the program.</w:t>
      </w:r>
    </w:p>
    <w:p w14:paraId="39DCCBE4" w14:textId="77777777" w:rsidR="00B47A56" w:rsidRDefault="00000000">
      <w:pPr>
        <w:spacing w:before="240" w:after="120"/>
      </w:pPr>
      <w:r>
        <w:rPr>
          <w:b/>
          <w:bCs/>
        </w:rPr>
        <w:t>Current team working on this theme</w:t>
      </w:r>
    </w:p>
    <w:p w14:paraId="6686B833" w14:textId="77777777" w:rsidR="00B47A56" w:rsidRDefault="00000000">
      <w:pPr>
        <w:spacing w:after="120"/>
      </w:pPr>
      <w:r>
        <w:t>Briefly list active graduate and undergraduate students by name and project title. Examples drawn from current work:</w:t>
      </w:r>
    </w:p>
    <w:p w14:paraId="59557C94" w14:textId="77777777" w:rsidR="00B47A56" w:rsidRDefault="00000000">
      <w:pPr>
        <w:pStyle w:val="ListParagraph"/>
        <w:numPr>
          <w:ilvl w:val="0"/>
          <w:numId w:val="2"/>
        </w:numPr>
        <w:spacing w:after="80"/>
      </w:pPr>
      <w:r>
        <w:t xml:space="preserve">Madeline </w:t>
      </w:r>
      <w:proofErr w:type="spellStart"/>
      <w:r>
        <w:t>Scolio</w:t>
      </w:r>
      <w:proofErr w:type="spellEnd"/>
      <w:r>
        <w:t>: equitable flood risk modeling and community stormwater knowledge.</w:t>
      </w:r>
    </w:p>
    <w:p w14:paraId="3F9923DD" w14:textId="77777777" w:rsidR="00B47A56" w:rsidRDefault="00000000">
      <w:pPr>
        <w:pStyle w:val="ListParagraph"/>
        <w:numPr>
          <w:ilvl w:val="0"/>
          <w:numId w:val="2"/>
        </w:numPr>
        <w:spacing w:after="80"/>
      </w:pPr>
      <w:r>
        <w:t>Kate Homet: equity and maintenance of green stormwater infrastructure.</w:t>
      </w:r>
    </w:p>
    <w:p w14:paraId="7101B6EA" w14:textId="77777777" w:rsidR="00B47A56" w:rsidRDefault="00000000">
      <w:pPr>
        <w:pStyle w:val="ListParagraph"/>
        <w:numPr>
          <w:ilvl w:val="0"/>
          <w:numId w:val="2"/>
        </w:numPr>
        <w:spacing w:after="80"/>
      </w:pPr>
      <w:r>
        <w:t>Mohammad Al Mehedi: SAR-based urban flood detection.</w:t>
      </w:r>
    </w:p>
    <w:p w14:paraId="69D322D8" w14:textId="77777777" w:rsidR="00B47A56" w:rsidRDefault="00000000">
      <w:pPr>
        <w:pStyle w:val="ListParagraph"/>
        <w:numPr>
          <w:ilvl w:val="0"/>
          <w:numId w:val="2"/>
        </w:numPr>
        <w:spacing w:after="80"/>
      </w:pPr>
      <w:r>
        <w:t>Add others as appropriate. Cross-link to the Students page where each appears.</w:t>
      </w:r>
    </w:p>
    <w:p w14:paraId="63ECB1C7" w14:textId="77777777" w:rsidR="00B47A56" w:rsidRDefault="00000000">
      <w:pPr>
        <w:spacing w:before="240" w:after="120"/>
      </w:pPr>
      <w:r>
        <w:rPr>
          <w:b/>
          <w:bCs/>
        </w:rPr>
        <w:t>Partners and collaborators</w:t>
      </w:r>
    </w:p>
    <w:p w14:paraId="0A6CFC0F" w14:textId="77777777" w:rsidR="00B47A56" w:rsidRDefault="00000000">
      <w:pPr>
        <w:spacing w:after="120"/>
      </w:pPr>
      <w:r>
        <w:t xml:space="preserve">Drs. Virginia Smith, Bridget Wadzuk, Kelly Good, and Robert Traver, Villanova Civil and Environmental Engineering (Villanova Center for Resilient Water Systems). Drs. Alireza Ermagun and </w:t>
      </w:r>
      <w:proofErr w:type="spellStart"/>
      <w:r>
        <w:t>Xiongbing</w:t>
      </w:r>
      <w:proofErr w:type="spellEnd"/>
      <w:r>
        <w:t xml:space="preserve"> Jin, University of Minnesota Department of Civil, Environmental, and Geo-Engineering. Dr. Sarah Lindley, University of Manchester. Philadelphia Water Department and other municipal partners as appropriate.</w:t>
      </w:r>
    </w:p>
    <w:p w14:paraId="120E79FC" w14:textId="77777777" w:rsidR="00B47A56" w:rsidRDefault="00000000">
      <w:pPr>
        <w:spacing w:before="240" w:after="120"/>
      </w:pPr>
      <w:r>
        <w:rPr>
          <w:b/>
          <w:bCs/>
        </w:rPr>
        <w:t>Optional callouts on the page</w:t>
      </w:r>
    </w:p>
    <w:p w14:paraId="506A644E" w14:textId="77777777" w:rsidR="00B47A56" w:rsidRDefault="00000000">
      <w:pPr>
        <w:pStyle w:val="ListParagraph"/>
        <w:numPr>
          <w:ilvl w:val="0"/>
          <w:numId w:val="2"/>
        </w:numPr>
        <w:spacing w:after="80"/>
      </w:pPr>
      <w:r>
        <w:t xml:space="preserve">A featured map or figure near the top, ideally from </w:t>
      </w:r>
      <w:proofErr w:type="spellStart"/>
      <w:r>
        <w:t>Scolio</w:t>
      </w:r>
      <w:proofErr w:type="spellEnd"/>
      <w:r>
        <w:t xml:space="preserve"> et al. 2025 (community-informed flood mapping in Philadelphia) or Marks et al. 2022 (integrated vulnerability map).</w:t>
      </w:r>
    </w:p>
    <w:p w14:paraId="1C96E12D" w14:textId="77777777" w:rsidR="00B47A56" w:rsidRDefault="00000000">
      <w:pPr>
        <w:pStyle w:val="ListParagraph"/>
        <w:numPr>
          <w:ilvl w:val="0"/>
          <w:numId w:val="2"/>
        </w:numPr>
        <w:spacing w:after="80"/>
      </w:pPr>
      <w:r>
        <w:t>Pull quote or callout box with the central question: How can cities plan flood adaptation that is both effective and equitable?</w:t>
      </w:r>
    </w:p>
    <w:p w14:paraId="634930D8" w14:textId="77777777" w:rsidR="00B47A56" w:rsidRDefault="00000000">
      <w:pPr>
        <w:pStyle w:val="ListParagraph"/>
        <w:numPr>
          <w:ilvl w:val="0"/>
          <w:numId w:val="2"/>
        </w:numPr>
        <w:spacing w:after="80"/>
      </w:pPr>
      <w:r>
        <w:t>A small badge strip showing $3.9M in active funding, number of co-authors, and number of students working on this theme.</w:t>
      </w:r>
    </w:p>
    <w:p w14:paraId="09E3C2D6" w14:textId="77777777" w:rsidR="00B47A56" w:rsidRDefault="00000000">
      <w:pPr>
        <w:spacing w:before="240" w:after="120"/>
      </w:pPr>
      <w:r>
        <w:rPr>
          <w:b/>
          <w:bCs/>
          <w:sz w:val="28"/>
          <w:szCs w:val="28"/>
        </w:rPr>
        <w:t>Template notes for the other three thematic pages</w:t>
      </w:r>
    </w:p>
    <w:p w14:paraId="01B64298" w14:textId="77777777" w:rsidR="00B47A56" w:rsidRDefault="00000000">
      <w:pPr>
        <w:spacing w:after="120"/>
      </w:pPr>
      <w:r>
        <w:t>Use the same structure on Urban Structure and the Environment, Land in Common, and Environmental Justice and Green Space:</w:t>
      </w:r>
    </w:p>
    <w:p w14:paraId="48257332" w14:textId="77777777" w:rsidR="00B47A56" w:rsidRDefault="00000000">
      <w:pPr>
        <w:pStyle w:val="ListParagraph"/>
        <w:numPr>
          <w:ilvl w:val="0"/>
          <w:numId w:val="2"/>
        </w:numPr>
        <w:spacing w:after="80"/>
      </w:pPr>
      <w:r>
        <w:t>Title and one-line tagline.</w:t>
      </w:r>
    </w:p>
    <w:p w14:paraId="5FC124EC" w14:textId="77777777" w:rsidR="00B47A56" w:rsidRDefault="00000000">
      <w:pPr>
        <w:pStyle w:val="ListParagraph"/>
        <w:numPr>
          <w:ilvl w:val="0"/>
          <w:numId w:val="2"/>
        </w:numPr>
        <w:spacing w:after="80"/>
      </w:pPr>
      <w:r>
        <w:lastRenderedPageBreak/>
        <w:t xml:space="preserve">Lead </w:t>
      </w:r>
      <w:proofErr w:type="gramStart"/>
      <w:r>
        <w:t>paragraph</w:t>
      </w:r>
      <w:proofErr w:type="gramEnd"/>
      <w:r>
        <w:t xml:space="preserve"> (3 to 5 sentences) opening with the central question.</w:t>
      </w:r>
    </w:p>
    <w:p w14:paraId="0FB267D3" w14:textId="77777777" w:rsidR="00B47A56" w:rsidRDefault="00000000">
      <w:pPr>
        <w:pStyle w:val="ListParagraph"/>
        <w:numPr>
          <w:ilvl w:val="0"/>
          <w:numId w:val="2"/>
        </w:numPr>
        <w:spacing w:after="80"/>
      </w:pPr>
      <w:r>
        <w:t>"What we do" subsection with 2 to 3 interconnected lines of work.</w:t>
      </w:r>
    </w:p>
    <w:p w14:paraId="4A45C751" w14:textId="77777777" w:rsidR="00B47A56" w:rsidRDefault="00000000">
      <w:pPr>
        <w:pStyle w:val="ListParagraph"/>
        <w:numPr>
          <w:ilvl w:val="0"/>
          <w:numId w:val="2"/>
        </w:numPr>
        <w:spacing w:after="80"/>
      </w:pPr>
      <w:r>
        <w:t>Active funded projects with role, dates, dollar amount where appropriate, and brief description.</w:t>
      </w:r>
    </w:p>
    <w:p w14:paraId="71FC5B12" w14:textId="77777777" w:rsidR="00B47A56" w:rsidRDefault="00000000">
      <w:pPr>
        <w:pStyle w:val="ListParagraph"/>
        <w:numPr>
          <w:ilvl w:val="0"/>
          <w:numId w:val="2"/>
        </w:numPr>
        <w:spacing w:after="80"/>
      </w:pPr>
      <w:r>
        <w:t>Featured publications, 4 to 6, each followed by a one-sentence significance line in plain text.</w:t>
      </w:r>
    </w:p>
    <w:p w14:paraId="793EA9E9" w14:textId="77777777" w:rsidR="00B47A56" w:rsidRDefault="00000000">
      <w:pPr>
        <w:pStyle w:val="ListParagraph"/>
        <w:numPr>
          <w:ilvl w:val="0"/>
          <w:numId w:val="2"/>
        </w:numPr>
        <w:spacing w:after="80"/>
      </w:pPr>
      <w:r>
        <w:t xml:space="preserve">Current team working on the theme, with project </w:t>
      </w:r>
      <w:proofErr w:type="gramStart"/>
      <w:r>
        <w:t>titles,</w:t>
      </w:r>
      <w:proofErr w:type="gramEnd"/>
      <w:r>
        <w:t xml:space="preserve"> cross-linked to the </w:t>
      </w:r>
      <w:proofErr w:type="gramStart"/>
      <w:r>
        <w:t>Students</w:t>
      </w:r>
      <w:proofErr w:type="gramEnd"/>
      <w:r>
        <w:t xml:space="preserve"> page.</w:t>
      </w:r>
    </w:p>
    <w:p w14:paraId="740950E5" w14:textId="77777777" w:rsidR="00B47A56" w:rsidRDefault="00000000">
      <w:pPr>
        <w:pStyle w:val="ListParagraph"/>
        <w:numPr>
          <w:ilvl w:val="0"/>
          <w:numId w:val="2"/>
        </w:numPr>
        <w:spacing w:after="80"/>
      </w:pPr>
      <w:r>
        <w:t>Partners and collaborators paragraph.</w:t>
      </w:r>
    </w:p>
    <w:p w14:paraId="247147C5" w14:textId="77777777" w:rsidR="00B47A56" w:rsidRDefault="00000000">
      <w:pPr>
        <w:pStyle w:val="ListParagraph"/>
        <w:numPr>
          <w:ilvl w:val="0"/>
          <w:numId w:val="2"/>
        </w:numPr>
        <w:spacing w:after="80"/>
      </w:pPr>
      <w:r>
        <w:t>One or two optional callouts: featured map, pull-quote question, or metric badges.</w:t>
      </w:r>
    </w:p>
    <w:p w14:paraId="28DB1DAB" w14:textId="77777777" w:rsidR="00B47A56" w:rsidRDefault="00000000">
      <w:pPr>
        <w:spacing w:after="120"/>
      </w:pPr>
      <w:r>
        <w:t xml:space="preserve">Keep prose tight. The CV does the comprehensive job; the website should make the intellectual program legible </w:t>
      </w:r>
      <w:proofErr w:type="gramStart"/>
      <w:r>
        <w:t>at a glance</w:t>
      </w:r>
      <w:proofErr w:type="gramEnd"/>
      <w:r>
        <w:t xml:space="preserve"> and let a reviewer click through for depth.</w:t>
      </w:r>
    </w:p>
    <w:p w14:paraId="790DFF6F" w14:textId="77777777" w:rsidR="00B47A56" w:rsidRDefault="00000000">
      <w:pPr>
        <w:spacing w:before="240" w:after="120"/>
      </w:pPr>
      <w:r>
        <w:rPr>
          <w:b/>
          <w:bCs/>
          <w:sz w:val="28"/>
          <w:szCs w:val="28"/>
        </w:rPr>
        <w:t>Cross-cutting EJ tag</w:t>
      </w:r>
    </w:p>
    <w:p w14:paraId="290D4F1E" w14:textId="77777777" w:rsidR="00B47A56" w:rsidRDefault="00000000">
      <w:pPr>
        <w:spacing w:after="120"/>
      </w:pPr>
      <w:r>
        <w:t>Environmental justice is its own theme (Theme 4</w:t>
      </w:r>
      <w:proofErr w:type="gramStart"/>
      <w:r>
        <w:t>)</w:t>
      </w:r>
      <w:proofErr w:type="gramEnd"/>
      <w:r>
        <w:t xml:space="preserve"> but it is also a tag that appears on relevant papers and projects in the other three themes. On each thematic page, mark EJ-relevant publications with a small label or icon. For example, </w:t>
      </w:r>
      <w:proofErr w:type="spellStart"/>
      <w:r>
        <w:t>Scolio</w:t>
      </w:r>
      <w:proofErr w:type="spellEnd"/>
      <w:r>
        <w:t xml:space="preserve"> et al. 2025 (Theme 2) is also an EJ paper; </w:t>
      </w:r>
      <w:proofErr w:type="spellStart"/>
      <w:r>
        <w:t>Scolio</w:t>
      </w:r>
      <w:proofErr w:type="spellEnd"/>
      <w:r>
        <w:t>, Bohra, Kremer, Shakya 2024 (Urban Structure and the Environment) is also an EJ paper. This makes the connective tissue visible without forcing the architecture to follow it.</w:t>
      </w:r>
    </w:p>
    <w:sectPr w:rsidR="00B47A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633DF"/>
    <w:multiLevelType w:val="hybridMultilevel"/>
    <w:tmpl w:val="773A7532"/>
    <w:lvl w:ilvl="0" w:tplc="7CEA943A">
      <w:start w:val="1"/>
      <w:numFmt w:val="bullet"/>
      <w:lvlText w:val="●"/>
      <w:lvlJc w:val="left"/>
      <w:pPr>
        <w:ind w:left="720" w:hanging="360"/>
      </w:pPr>
    </w:lvl>
    <w:lvl w:ilvl="1" w:tplc="DE90BFDE">
      <w:start w:val="1"/>
      <w:numFmt w:val="bullet"/>
      <w:lvlText w:val="○"/>
      <w:lvlJc w:val="left"/>
      <w:pPr>
        <w:ind w:left="1440" w:hanging="360"/>
      </w:pPr>
    </w:lvl>
    <w:lvl w:ilvl="2" w:tplc="58BEF1D6">
      <w:start w:val="1"/>
      <w:numFmt w:val="bullet"/>
      <w:lvlText w:val="■"/>
      <w:lvlJc w:val="left"/>
      <w:pPr>
        <w:ind w:left="2160" w:hanging="360"/>
      </w:pPr>
    </w:lvl>
    <w:lvl w:ilvl="3" w:tplc="4EA8F6D6">
      <w:start w:val="1"/>
      <w:numFmt w:val="bullet"/>
      <w:lvlText w:val="●"/>
      <w:lvlJc w:val="left"/>
      <w:pPr>
        <w:ind w:left="2880" w:hanging="360"/>
      </w:pPr>
    </w:lvl>
    <w:lvl w:ilvl="4" w:tplc="06346B26">
      <w:start w:val="1"/>
      <w:numFmt w:val="bullet"/>
      <w:lvlText w:val="○"/>
      <w:lvlJc w:val="left"/>
      <w:pPr>
        <w:ind w:left="3600" w:hanging="360"/>
      </w:pPr>
    </w:lvl>
    <w:lvl w:ilvl="5" w:tplc="FD3EC7B8">
      <w:start w:val="1"/>
      <w:numFmt w:val="bullet"/>
      <w:lvlText w:val="■"/>
      <w:lvlJc w:val="left"/>
      <w:pPr>
        <w:ind w:left="4320" w:hanging="360"/>
      </w:pPr>
    </w:lvl>
    <w:lvl w:ilvl="6" w:tplc="5A08432E">
      <w:start w:val="1"/>
      <w:numFmt w:val="bullet"/>
      <w:lvlText w:val="●"/>
      <w:lvlJc w:val="left"/>
      <w:pPr>
        <w:ind w:left="5040" w:hanging="360"/>
      </w:pPr>
    </w:lvl>
    <w:lvl w:ilvl="7" w:tplc="8938B728">
      <w:start w:val="1"/>
      <w:numFmt w:val="bullet"/>
      <w:lvlText w:val="●"/>
      <w:lvlJc w:val="left"/>
      <w:pPr>
        <w:ind w:left="5760" w:hanging="360"/>
      </w:pPr>
    </w:lvl>
    <w:lvl w:ilvl="8" w:tplc="ED987D76">
      <w:start w:val="1"/>
      <w:numFmt w:val="bullet"/>
      <w:lvlText w:val="●"/>
      <w:lvlJc w:val="left"/>
      <w:pPr>
        <w:ind w:left="6480" w:hanging="360"/>
      </w:pPr>
    </w:lvl>
  </w:abstractNum>
  <w:abstractNum w:abstractNumId="1" w15:restartNumberingAfterBreak="0">
    <w:nsid w:val="2F6C0130"/>
    <w:multiLevelType w:val="hybridMultilevel"/>
    <w:tmpl w:val="864ECAEA"/>
    <w:lvl w:ilvl="0" w:tplc="23B63F70">
      <w:start w:val="1"/>
      <w:numFmt w:val="bullet"/>
      <w:lvlText w:val="•"/>
      <w:lvlJc w:val="left"/>
      <w:pPr>
        <w:ind w:left="720" w:hanging="360"/>
      </w:pPr>
    </w:lvl>
    <w:lvl w:ilvl="1" w:tplc="28406DFC">
      <w:numFmt w:val="decimal"/>
      <w:lvlText w:val=""/>
      <w:lvlJc w:val="left"/>
    </w:lvl>
    <w:lvl w:ilvl="2" w:tplc="C6F6446C">
      <w:numFmt w:val="decimal"/>
      <w:lvlText w:val=""/>
      <w:lvlJc w:val="left"/>
    </w:lvl>
    <w:lvl w:ilvl="3" w:tplc="6386618C">
      <w:numFmt w:val="decimal"/>
      <w:lvlText w:val=""/>
      <w:lvlJc w:val="left"/>
    </w:lvl>
    <w:lvl w:ilvl="4" w:tplc="A552E1B2">
      <w:numFmt w:val="decimal"/>
      <w:lvlText w:val=""/>
      <w:lvlJc w:val="left"/>
    </w:lvl>
    <w:lvl w:ilvl="5" w:tplc="034CD556">
      <w:numFmt w:val="decimal"/>
      <w:lvlText w:val=""/>
      <w:lvlJc w:val="left"/>
    </w:lvl>
    <w:lvl w:ilvl="6" w:tplc="C5CCA20A">
      <w:numFmt w:val="decimal"/>
      <w:lvlText w:val=""/>
      <w:lvlJc w:val="left"/>
    </w:lvl>
    <w:lvl w:ilvl="7" w:tplc="0164B228">
      <w:numFmt w:val="decimal"/>
      <w:lvlText w:val=""/>
      <w:lvlJc w:val="left"/>
    </w:lvl>
    <w:lvl w:ilvl="8" w:tplc="427E6D56">
      <w:numFmt w:val="decimal"/>
      <w:lvlText w:val=""/>
      <w:lvlJc w:val="left"/>
    </w:lvl>
  </w:abstractNum>
  <w:num w:numId="1" w16cid:durableId="1739396470">
    <w:abstractNumId w:val="0"/>
    <w:lvlOverride w:ilvl="0">
      <w:startOverride w:val="1"/>
    </w:lvlOverride>
  </w:num>
  <w:num w:numId="2" w16cid:durableId="7431392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A56"/>
    <w:rsid w:val="002079A0"/>
    <w:rsid w:val="00863860"/>
    <w:rsid w:val="00B47A5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2216"/>
  <w15:docId w15:val="{73113147-64B4-4C73-91EB-032A9439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Peleg Kremer</cp:lastModifiedBy>
  <cp:revision>2</cp:revision>
  <dcterms:created xsi:type="dcterms:W3CDTF">2026-05-14T13:24:00Z</dcterms:created>
  <dcterms:modified xsi:type="dcterms:W3CDTF">2026-05-14T13:24:00Z</dcterms:modified>
</cp:coreProperties>
</file>