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8B2635"/>
          <w:sz w:val="56"/>
          <w:szCs w:val="56"/>
        </w:rPr>
        <w:t xml:space="preserve">PELLIKART</w:t>
      </w:r>
    </w:p>
    <w:p>
      <w:pPr>
        <w:spacing w:after="60"/>
      </w:pPr>
      <w:r>
        <w:rPr>
          <w:sz w:val="30"/>
          <w:szCs w:val="30"/>
        </w:rPr>
        <w:t xml:space="preserve">Mobile App — Project Plan, Requirements, Tech Stack &amp; Costs</w:t>
      </w:r>
    </w:p>
    <w:p>
      <w:pPr>
        <w:spacing w:after="40"/>
      </w:pPr>
      <w:r>
        <w:rPr>
          <w:i/>
          <w:iCs/>
          <w:color w:val="595959"/>
          <w:sz w:val="22"/>
          <w:szCs w:val="22"/>
        </w:rPr>
        <w:t xml:space="preserve">iOS &amp; Android apps replicating the Pellikart web platform</w:t>
      </w:r>
    </w:p>
    <w:p>
      <w:pPr>
        <w:pBdr>
          <w:bottom w:val="single" w:color="8B2635" w:sz="8" w:space="6"/>
        </w:pBdr>
        <w:spacing w:after="300"/>
      </w:pPr>
      <w:r>
        <w:rPr>
          <w:color w:val="595959"/>
          <w:sz w:val="20"/>
          <w:szCs w:val="20"/>
        </w:rPr>
        <w:t xml:space="preserve">Prepared by Nihanth  ·  July 2026</w:t>
      </w:r>
    </w:p>
    <w:p>
      <w:pPr>
        <w:pStyle w:val="Heading1"/>
        <w:spacing w:after="140" w:before="280"/>
      </w:pPr>
      <w:r>
        <w:t xml:space="preserve">1. Objective</w:t>
      </w:r>
    </w:p>
    <w:p>
      <w:pPr>
        <w:spacing w:after="120"/>
      </w:pPr>
      <w:r>
        <w:rPr>
          <w:sz w:val="21"/>
          <w:szCs w:val="21"/>
        </w:rPr>
        <w:t xml:space="preserve">Bring the full Pellikart experience (pellikart.com) to native iOS and Android apps with complete feature parity with the current web application, while keeping the UI visually identical. The apps will reuse the existing Supabase backend, so web and mobile share one database, one matching algorithm, and one source of truth. The admin panel remains web-only — it already exists and is used on laptops, so rebuilding it on mobile adds cost without value.</w:t>
      </w:r>
    </w:p>
    <w:p>
      <w:pPr>
        <w:pStyle w:val="Heading1"/>
        <w:spacing w:after="140" w:before="280"/>
      </w:pPr>
      <w:r>
        <w:t xml:space="preserve">2. Scope &amp; Requirements</w:t>
      </w:r>
    </w:p>
    <w:p>
      <w:pPr>
        <w:spacing w:after="120"/>
      </w:pPr>
      <w:r>
        <w:rPr>
          <w:sz w:val="21"/>
          <w:szCs w:val="21"/>
        </w:rPr>
        <w:t xml:space="preserve">The list below consolidates the original requirements sheet, with recommended additions marked (NEW). Additions close gaps that would otherwise surface during development or app store review.</w:t>
      </w:r>
    </w:p>
    <w:p>
      <w:pPr>
        <w:pStyle w:val="Heading2"/>
        <w:spacing w:after="100" w:before="200"/>
      </w:pPr>
      <w:r>
        <w:t xml:space="preserve">2.1 Client (Couple) App</w:t>
      </w:r>
    </w:p>
    <w:p>
      <w:pPr>
        <w:pStyle w:val="ListParagraph"/>
        <w:numPr>
          <w:ilvl w:val="0"/>
          <w:numId w:val="2"/>
        </w:numPr>
        <w:spacing w:after="80"/>
      </w:pPr>
      <w:r>
        <w:rPr>
          <w:sz w:val="21"/>
          <w:szCs w:val="21"/>
        </w:rPr>
        <w:t xml:space="preserve">Onboarding: couple's names, current location (GPS), event planning, event dates via calendar, guest count, and budget.</w:t>
      </w:r>
    </w:p>
    <w:p>
      <w:pPr>
        <w:pStyle w:val="ListParagraph"/>
        <w:numPr>
          <w:ilvl w:val="0"/>
          <w:numId w:val="2"/>
        </w:numPr>
        <w:spacing w:after="80"/>
      </w:pPr>
      <w:r>
        <w:rPr>
          <w:sz w:val="21"/>
          <w:szCs w:val="21"/>
        </w:rPr>
        <w:t xml:space="preserve">Matching algorithm suggesting vendors by location proximity, budget, guest count, and date — computed on the backend so web and mobile always return identical results.</w:t>
      </w:r>
    </w:p>
    <w:p>
      <w:pPr>
        <w:pStyle w:val="ListParagraph"/>
        <w:numPr>
          <w:ilvl w:val="0"/>
          <w:numId w:val="2"/>
        </w:numPr>
        <w:spacing w:after="80"/>
      </w:pPr>
      <w:r>
        <w:rPr>
          <w:sz w:val="21"/>
          <w:szCs w:val="21"/>
        </w:rPr>
        <w:t xml:space="preserve">Vendor discovery with filters; UI kept visually identical to the web app.</w:t>
      </w:r>
    </w:p>
    <w:p>
      <w:pPr>
        <w:pStyle w:val="ListParagraph"/>
        <w:numPr>
          <w:ilvl w:val="0"/>
          <w:numId w:val="2"/>
        </w:numPr>
        <w:spacing w:after="80"/>
      </w:pPr>
      <w:r>
        <w:rPr>
          <w:sz w:val="21"/>
          <w:szCs w:val="21"/>
        </w:rPr>
        <w:t xml:space="preserve">Tiered paywall for vendor names/contact details — 2 vendor names free, more revealed with paid tiers (see Section 3 for how this works on mobile).</w:t>
      </w:r>
    </w:p>
    <w:p>
      <w:pPr>
        <w:pStyle w:val="ListParagraph"/>
        <w:numPr>
          <w:ilvl w:val="0"/>
          <w:numId w:val="2"/>
        </w:numPr>
        <w:spacing w:after="80"/>
      </w:pPr>
      <w:r>
        <w:rPr>
          <w:sz w:val="21"/>
          <w:szCs w:val="21"/>
        </w:rPr>
        <w:t xml:space="preserve">Vendor booking with UPI payment gateway; booking amount is 10% of the total quoted amount.</w:t>
      </w:r>
    </w:p>
    <w:p>
      <w:pPr>
        <w:pStyle w:val="ListParagraph"/>
        <w:numPr>
          <w:ilvl w:val="0"/>
          <w:numId w:val="2"/>
        </w:numPr>
        <w:spacing w:after="80"/>
      </w:pPr>
      <w:r>
        <w:rPr>
          <w:sz w:val="21"/>
          <w:szCs w:val="21"/>
        </w:rPr>
        <w:t xml:space="preserve">Two-way milestone tracking between client and vendor.</w:t>
      </w:r>
    </w:p>
    <w:p>
      <w:pPr>
        <w:pStyle w:val="ListParagraph"/>
        <w:numPr>
          <w:ilvl w:val="0"/>
          <w:numId w:val="2"/>
        </w:numPr>
        <w:spacing w:after="80"/>
      </w:pPr>
      <w:r>
        <w:rPr>
          <w:sz w:val="21"/>
          <w:szCs w:val="21"/>
        </w:rPr>
        <w:t xml:space="preserve">Reviews (NEW: restricted to completed bookings only, to prevent spam and protect vendor trust).</w:t>
      </w:r>
    </w:p>
    <w:p>
      <w:pPr>
        <w:pStyle w:val="ListParagraph"/>
        <w:numPr>
          <w:ilvl w:val="0"/>
          <w:numId w:val="2"/>
        </w:numPr>
        <w:spacing w:after="80"/>
      </w:pPr>
      <w:r>
        <w:rPr>
          <w:sz w:val="21"/>
          <w:szCs w:val="21"/>
        </w:rPr>
        <w:t xml:space="preserve">Bundled vendor services with discounts.</w:t>
      </w:r>
    </w:p>
    <w:p>
      <w:pPr>
        <w:pStyle w:val="ListParagraph"/>
        <w:numPr>
          <w:ilvl w:val="0"/>
          <w:numId w:val="2"/>
        </w:numPr>
        <w:spacing w:after="80"/>
      </w:pPr>
      <w:r>
        <w:rPr>
          <w:sz w:val="21"/>
          <w:szCs w:val="21"/>
        </w:rPr>
        <w:t xml:space="preserve">Venue visit / menu tasting requests, sent from the same subscription number.</w:t>
      </w:r>
    </w:p>
    <w:p>
      <w:pPr>
        <w:pStyle w:val="ListParagraph"/>
        <w:numPr>
          <w:ilvl w:val="0"/>
          <w:numId w:val="2"/>
        </w:numPr>
        <w:spacing w:after="80"/>
      </w:pPr>
      <w:r>
        <w:rPr>
          <w:b/>
          <w:bCs/>
          <w:sz w:val="21"/>
          <w:szCs w:val="21"/>
        </w:rPr>
        <w:t xml:space="preserve">NEW: </w:t>
      </w:r>
      <w:r>
        <w:rPr>
          <w:sz w:val="21"/>
          <w:szCs w:val="21"/>
        </w:rPr>
        <w:t xml:space="preserve">Phone OTP login (with WhatsApp OTP option — cheaper per message and better delivery in India).</w:t>
      </w:r>
    </w:p>
    <w:p>
      <w:pPr>
        <w:pStyle w:val="ListParagraph"/>
        <w:numPr>
          <w:ilvl w:val="0"/>
          <w:numId w:val="2"/>
        </w:numPr>
        <w:spacing w:after="80"/>
      </w:pPr>
      <w:r>
        <w:rPr>
          <w:b/>
          <w:bCs/>
          <w:sz w:val="21"/>
          <w:szCs w:val="21"/>
        </w:rPr>
        <w:t xml:space="preserve">NEW: </w:t>
      </w:r>
      <w:r>
        <w:rPr>
          <w:sz w:val="21"/>
          <w:szCs w:val="21"/>
        </w:rPr>
        <w:t xml:space="preserve">Push notifications: booking confirmations, milestone updates, visit-request responses.</w:t>
      </w:r>
    </w:p>
    <w:p>
      <w:pPr>
        <w:pStyle w:val="ListParagraph"/>
        <w:numPr>
          <w:ilvl w:val="0"/>
          <w:numId w:val="2"/>
        </w:numPr>
        <w:spacing w:after="80"/>
      </w:pPr>
      <w:r>
        <w:rPr>
          <w:b/>
          <w:bCs/>
          <w:sz w:val="21"/>
          <w:szCs w:val="21"/>
        </w:rPr>
        <w:t xml:space="preserve">NEW: </w:t>
      </w:r>
      <w:r>
        <w:rPr>
          <w:sz w:val="21"/>
          <w:szCs w:val="21"/>
        </w:rPr>
        <w:t xml:space="preserve">Clear refund &amp; cancellation policy for the 10% booking amount (required by the payment gateway and both app stores).</w:t>
      </w:r>
    </w:p>
    <w:p>
      <w:pPr>
        <w:pStyle w:val="ListParagraph"/>
        <w:numPr>
          <w:ilvl w:val="0"/>
          <w:numId w:val="2"/>
        </w:numPr>
        <w:spacing w:after="80"/>
      </w:pPr>
      <w:r>
        <w:rPr>
          <w:b/>
          <w:bCs/>
          <w:sz w:val="21"/>
          <w:szCs w:val="21"/>
        </w:rPr>
        <w:t xml:space="preserve">NEW: </w:t>
      </w:r>
      <w:r>
        <w:rPr>
          <w:sz w:val="21"/>
          <w:szCs w:val="21"/>
        </w:rPr>
        <w:t xml:space="preserve">In-app callback/chat channel after booking, so client–vendor conversations stay on the platform (reduces off-platform settling that bypasses the 10% commission).</w:t>
      </w:r>
    </w:p>
    <w:p>
      <w:pPr>
        <w:pStyle w:val="Heading2"/>
        <w:spacing w:after="100" w:before="200"/>
      </w:pPr>
      <w:r>
        <w:t xml:space="preserve">2.2 Vendor App</w:t>
      </w:r>
    </w:p>
    <w:p>
      <w:pPr>
        <w:pStyle w:val="ListParagraph"/>
        <w:numPr>
          <w:ilvl w:val="0"/>
          <w:numId w:val="2"/>
        </w:numPr>
        <w:spacing w:after="80"/>
      </w:pPr>
      <w:r>
        <w:rPr>
          <w:sz w:val="21"/>
          <w:szCs w:val="21"/>
        </w:rPr>
        <w:t xml:space="preserve">Profile: business name, vendor category, base location (with current-location option), phone, email, Instagram, description, years of experience, team size.</w:t>
      </w:r>
    </w:p>
    <w:p>
      <w:pPr>
        <w:pStyle w:val="ListParagraph"/>
        <w:numPr>
          <w:ilvl w:val="0"/>
          <w:numId w:val="2"/>
        </w:numPr>
        <w:spacing w:after="80"/>
      </w:pPr>
      <w:r>
        <w:rPr>
          <w:sz w:val="21"/>
          <w:szCs w:val="21"/>
        </w:rPr>
        <w:t xml:space="preserve">Listing flows identical to the web app, with different question sets per vendor category — built as configuration-driven forms so categories and questions can change without an app update.</w:t>
      </w:r>
    </w:p>
    <w:p>
      <w:pPr>
        <w:pStyle w:val="ListParagraph"/>
        <w:numPr>
          <w:ilvl w:val="0"/>
          <w:numId w:val="2"/>
        </w:numPr>
        <w:spacing w:after="80"/>
      </w:pPr>
      <w:r>
        <w:rPr>
          <w:sz w:val="21"/>
          <w:szCs w:val="21"/>
        </w:rPr>
        <w:t xml:space="preserve">Self-onboarding routes to the admin panel for review; vendors appear on the platform only after approval.</w:t>
      </w:r>
    </w:p>
    <w:p>
      <w:pPr>
        <w:pStyle w:val="ListParagraph"/>
        <w:numPr>
          <w:ilvl w:val="0"/>
          <w:numId w:val="2"/>
        </w:numPr>
        <w:spacing w:after="80"/>
      </w:pPr>
      <w:r>
        <w:rPr>
          <w:sz w:val="21"/>
          <w:szCs w:val="21"/>
        </w:rPr>
        <w:t xml:space="preserve">Availability calendar: block one or multiple listings for a custom range or full day; blocked listings are hidden from clients on those dates (enforced on the backend so web and mobile never drift).</w:t>
      </w:r>
    </w:p>
    <w:p>
      <w:pPr>
        <w:pStyle w:val="ListParagraph"/>
        <w:numPr>
          <w:ilvl w:val="0"/>
          <w:numId w:val="2"/>
        </w:numPr>
        <w:spacing w:after="80"/>
      </w:pPr>
      <w:r>
        <w:rPr>
          <w:sz w:val="21"/>
          <w:szCs w:val="21"/>
        </w:rPr>
        <w:t xml:space="preserve">Reviews dashboard with all reviews and rating parameters.</w:t>
      </w:r>
    </w:p>
    <w:p>
      <w:pPr>
        <w:pStyle w:val="ListParagraph"/>
        <w:numPr>
          <w:ilvl w:val="0"/>
          <w:numId w:val="2"/>
        </w:numPr>
        <w:spacing w:after="80"/>
      </w:pPr>
      <w:r>
        <w:rPr>
          <w:sz w:val="21"/>
          <w:szCs w:val="21"/>
        </w:rPr>
        <w:t xml:space="preserve">Menu tasting / visit requests: approve or propose a new time.</w:t>
      </w:r>
    </w:p>
    <w:p>
      <w:pPr>
        <w:pStyle w:val="ListParagraph"/>
        <w:numPr>
          <w:ilvl w:val="0"/>
          <w:numId w:val="2"/>
        </w:numPr>
        <w:spacing w:after="80"/>
      </w:pPr>
      <w:r>
        <w:rPr>
          <w:sz w:val="21"/>
          <w:szCs w:val="21"/>
        </w:rPr>
        <w:t xml:space="preserve">Vendor analytics and booking management (cancelled, upcoming, completed).</w:t>
      </w:r>
    </w:p>
    <w:p>
      <w:pPr>
        <w:pStyle w:val="ListParagraph"/>
        <w:numPr>
          <w:ilvl w:val="0"/>
          <w:numId w:val="2"/>
        </w:numPr>
        <w:spacing w:after="80"/>
      </w:pPr>
      <w:r>
        <w:rPr>
          <w:b/>
          <w:bCs/>
          <w:sz w:val="21"/>
          <w:szCs w:val="21"/>
        </w:rPr>
        <w:t xml:space="preserve">NEW: </w:t>
      </w:r>
      <w:r>
        <w:rPr>
          <w:sz w:val="21"/>
          <w:szCs w:val="21"/>
        </w:rPr>
        <w:t xml:space="preserve">Push notifications for new leads, booking updates, and visit requests — a major reason vendors will prefer the app over the website.</w:t>
      </w:r>
    </w:p>
    <w:p>
      <w:pPr>
        <w:pStyle w:val="ListParagraph"/>
        <w:numPr>
          <w:ilvl w:val="0"/>
          <w:numId w:val="2"/>
        </w:numPr>
        <w:spacing w:after="80"/>
      </w:pPr>
      <w:r>
        <w:rPr>
          <w:b/>
          <w:bCs/>
          <w:sz w:val="21"/>
          <w:szCs w:val="21"/>
        </w:rPr>
        <w:t xml:space="preserve">NEW: </w:t>
      </w:r>
      <w:r>
        <w:rPr>
          <w:sz w:val="21"/>
          <w:szCs w:val="21"/>
        </w:rPr>
        <w:t xml:space="preserve">Vendor KYC during onboarding review (required by the payment gateway for automatic vendor payouts).</w:t>
      </w:r>
    </w:p>
    <w:p>
      <w:pPr>
        <w:pStyle w:val="ListParagraph"/>
        <w:numPr>
          <w:ilvl w:val="0"/>
          <w:numId w:val="2"/>
        </w:numPr>
        <w:spacing w:after="80"/>
      </w:pPr>
      <w:r>
        <w:rPr>
          <w:b/>
          <w:bCs/>
          <w:sz w:val="21"/>
          <w:szCs w:val="21"/>
        </w:rPr>
        <w:t xml:space="preserve">NEW: </w:t>
      </w:r>
      <w:r>
        <w:rPr>
          <w:sz w:val="21"/>
          <w:szCs w:val="21"/>
        </w:rPr>
        <w:t xml:space="preserve">Defined payout flow: Razorpay Route (split settlement) recommended so vendors are paid automatically instead of via manual transfers.</w:t>
      </w:r>
    </w:p>
    <w:p>
      <w:pPr>
        <w:pStyle w:val="Heading2"/>
        <w:spacing w:after="100" w:before="200"/>
      </w:pPr>
      <w:r>
        <w:t xml:space="preserve">2.3 Admin Panel (remains web-only)</w:t>
      </w:r>
    </w:p>
    <w:p>
      <w:pPr>
        <w:pStyle w:val="ListParagraph"/>
        <w:numPr>
          <w:ilvl w:val="0"/>
          <w:numId w:val="2"/>
        </w:numPr>
        <w:spacing w:after="80"/>
      </w:pPr>
      <w:r>
        <w:rPr>
          <w:sz w:val="21"/>
          <w:szCs w:val="21"/>
        </w:rPr>
        <w:t xml:space="preserve">Analytics: clients onboarded, vendors onboarded.</w:t>
      </w:r>
    </w:p>
    <w:p>
      <w:pPr>
        <w:pStyle w:val="ListParagraph"/>
        <w:numPr>
          <w:ilvl w:val="0"/>
          <w:numId w:val="2"/>
        </w:numPr>
        <w:spacing w:after="80"/>
      </w:pPr>
      <w:r>
        <w:rPr>
          <w:sz w:val="21"/>
          <w:szCs w:val="21"/>
        </w:rPr>
        <w:t xml:space="preserve">Watch-tower view of client–vendor matches and bookings.</w:t>
      </w:r>
    </w:p>
    <w:p>
      <w:pPr>
        <w:pStyle w:val="ListParagraph"/>
        <w:numPr>
          <w:ilvl w:val="0"/>
          <w:numId w:val="2"/>
        </w:numPr>
        <w:spacing w:after="80"/>
      </w:pPr>
      <w:r>
        <w:rPr>
          <w:sz w:val="21"/>
          <w:szCs w:val="21"/>
        </w:rPr>
        <w:t xml:space="preserve">Vendor onboarding review queue and approvals.</w:t>
      </w:r>
    </w:p>
    <w:p>
      <w:pPr>
        <w:pStyle w:val="ListParagraph"/>
        <w:numPr>
          <w:ilvl w:val="0"/>
          <w:numId w:val="2"/>
        </w:numPr>
        <w:spacing w:after="80"/>
      </w:pPr>
      <w:r>
        <w:rPr>
          <w:sz w:val="21"/>
          <w:szCs w:val="21"/>
        </w:rPr>
        <w:t xml:space="preserve">Vendor onboarding codes created through the admin panel.</w:t>
      </w:r>
    </w:p>
    <w:p>
      <w:pPr>
        <w:pStyle w:val="ListParagraph"/>
        <w:numPr>
          <w:ilvl w:val="0"/>
          <w:numId w:val="2"/>
        </w:numPr>
        <w:spacing w:after="80"/>
      </w:pPr>
      <w:r>
        <w:rPr>
          <w:sz w:val="21"/>
          <w:szCs w:val="21"/>
        </w:rPr>
        <w:t xml:space="preserve">NEW: Review moderation and milestone dispute visibility.</w:t>
      </w:r>
    </w:p>
    <w:p>
      <w:pPr>
        <w:pStyle w:val="Heading1"/>
        <w:spacing w:after="140" w:before="280"/>
      </w:pPr>
      <w:r>
        <w:t xml:space="preserve">3. Payments &amp; App Store Compliance (Important)</w:t>
      </w:r>
    </w:p>
    <w:p>
      <w:pPr>
        <w:spacing w:after="120"/>
      </w:pPr>
      <w:r>
        <w:rPr>
          <w:sz w:val="21"/>
          <w:szCs w:val="21"/>
        </w:rPr>
        <w:t xml:space="preserve">Apple and Google treat the two payment flows in the plan very differently, and this shapes the product:</w:t>
      </w:r>
    </w:p>
    <w:p>
      <w:pPr>
        <w:pStyle w:val="ListParagraph"/>
        <w:numPr>
          <w:ilvl w:val="0"/>
          <w:numId w:val="2"/>
        </w:numPr>
        <w:spacing w:after="80"/>
      </w:pPr>
      <w:r>
        <w:rPr>
          <w:b/>
          <w:bCs/>
          <w:sz w:val="21"/>
          <w:szCs w:val="21"/>
        </w:rPr>
        <w:t xml:space="preserve">Vendor booking (10% of total): </w:t>
      </w:r>
      <w:r>
        <w:rPr>
          <w:sz w:val="21"/>
          <w:szCs w:val="21"/>
        </w:rPr>
        <w:t xml:space="preserve">this is payment for a real-world service, so both stores allow our own UPI gateway (Razorpay) inside the app with no store commission.</w:t>
      </w:r>
    </w:p>
    <w:p>
      <w:pPr>
        <w:pStyle w:val="ListParagraph"/>
        <w:numPr>
          <w:ilvl w:val="0"/>
          <w:numId w:val="2"/>
        </w:numPr>
        <w:spacing w:after="80"/>
      </w:pPr>
      <w:r>
        <w:rPr>
          <w:b/>
          <w:bCs/>
          <w:sz w:val="21"/>
          <w:szCs w:val="21"/>
        </w:rPr>
        <w:t xml:space="preserve">Paying to unlock vendor names: </w:t>
      </w:r>
      <w:r>
        <w:rPr>
          <w:sz w:val="21"/>
          <w:szCs w:val="21"/>
        </w:rPr>
        <w:t xml:space="preserve">the stores classify this as a digital unlock. If sold inside the app, Apple and Google require their own billing systems and take 15–30% of every purchase.</w:t>
      </w:r>
    </w:p>
    <w:p>
      <w:pPr>
        <w:spacing w:after="120"/>
      </w:pPr>
      <w:r>
        <w:rPr>
          <w:sz w:val="21"/>
          <w:szCs w:val="21"/>
        </w:rPr>
        <w:t xml:space="preserve">Decision: unlock tiers are sold on the web app only (pellikart.com). The mobile apps simply recognise what the user has already purchased and show unlocked vendors accordingly — the same model Netflix and Spotify use. This keeps 100% of paywall revenue with Pellikart. One rule comes with it: the iOS app must not link to or mention purchasing on the website; locked vendors simply appear locked. Purchases sync to the app instantly via the shared backend.</w:t>
      </w:r>
    </w:p>
    <w:p>
      <w:pPr>
        <w:pStyle w:val="Heading1"/>
        <w:spacing w:after="140" w:before="280"/>
      </w:pPr>
      <w:r>
        <w:t xml:space="preserve">4. Technology Stack</w:t>
      </w:r>
    </w:p>
    <w:p>
      <w:pPr>
        <w:spacing w:after="120"/>
      </w:pPr>
      <w:r>
        <w:rPr>
          <w:sz w:val="21"/>
          <w:szCs w:val="21"/>
        </w:rPr>
        <w:t xml:space="preserve">The web app is React-based and already runs on Supabase, so the stack below maximises reuse: one codebase produces both the iOS and Android apps, and shares code, types, and business logic with the existing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527"/>
        <w:gridCol w:w="5148"/>
      </w:tblGrid>
      <w:tr>
        <w:trPr>
          <w:tblHeader/>
        </w:trPr>
        <w:tc>
          <w:tcPr>
            <w:tcW w:type="dxa" w:w="1685"/>
            <w:shd w:fill="8B2635" w:val="clear"/>
            <w:tcMar>
              <w:top w:type="dxa" w:w="60"/>
              <w:left w:type="dxa" w:w="100"/>
              <w:bottom w:type="dxa" w:w="60"/>
              <w:right w:type="dxa" w:w="100"/>
            </w:tcMar>
          </w:tcPr>
          <w:p>
            <w:pPr>
              <w:spacing w:after="20" w:before="20"/>
            </w:pPr>
            <w:r>
              <w:rPr>
                <w:b/>
                <w:bCs/>
                <w:color w:val="FFFFFF"/>
                <w:sz w:val="20"/>
                <w:szCs w:val="20"/>
              </w:rPr>
              <w:t xml:space="preserve">Layer</w:t>
            </w:r>
          </w:p>
        </w:tc>
        <w:tc>
          <w:tcPr>
            <w:tcW w:type="dxa" w:w="2527"/>
            <w:shd w:fill="8B2635" w:val="clear"/>
            <w:tcMar>
              <w:top w:type="dxa" w:w="60"/>
              <w:left w:type="dxa" w:w="100"/>
              <w:bottom w:type="dxa" w:w="60"/>
              <w:right w:type="dxa" w:w="100"/>
            </w:tcMar>
          </w:tcPr>
          <w:p>
            <w:pPr>
              <w:spacing w:after="20" w:before="20"/>
            </w:pPr>
            <w:r>
              <w:rPr>
                <w:b/>
                <w:bCs/>
                <w:color w:val="FFFFFF"/>
                <w:sz w:val="20"/>
                <w:szCs w:val="20"/>
              </w:rPr>
              <w:t xml:space="preserve">Technology</w:t>
            </w:r>
          </w:p>
        </w:tc>
        <w:tc>
          <w:tcPr>
            <w:tcW w:type="dxa" w:w="5148"/>
            <w:shd w:fill="8B2635" w:val="clear"/>
            <w:tcMar>
              <w:top w:type="dxa" w:w="60"/>
              <w:left w:type="dxa" w:w="100"/>
              <w:bottom w:type="dxa" w:w="60"/>
              <w:right w:type="dxa" w:w="100"/>
            </w:tcMar>
          </w:tcPr>
          <w:p>
            <w:pPr>
              <w:spacing w:after="20" w:before="20"/>
            </w:pPr>
            <w:r>
              <w:rPr>
                <w:b/>
                <w:bCs/>
                <w:color w:val="FFFFFF"/>
                <w:sz w:val="20"/>
                <w:szCs w:val="20"/>
              </w:rPr>
              <w:t xml:space="preserve">Why</w:t>
            </w:r>
          </w:p>
        </w:tc>
      </w:tr>
      <w:tr>
        <w:tc>
          <w:tcPr>
            <w:tcW w:type="dxa" w:w="1685"/>
            <w:tcMar>
              <w:top w:type="dxa" w:w="40"/>
              <w:left w:type="dxa" w:w="100"/>
              <w:bottom w:type="dxa" w:w="40"/>
              <w:right w:type="dxa" w:w="100"/>
            </w:tcMar>
          </w:tcPr>
          <w:p>
            <w:pPr>
              <w:spacing w:after="40" w:before="40"/>
            </w:pPr>
            <w:r>
              <w:rPr>
                <w:b w:val="false"/>
                <w:bCs w:val="false"/>
                <w:sz w:val="20"/>
                <w:szCs w:val="20"/>
              </w:rPr>
              <w:t xml:space="preserve">Mobile framework</w:t>
            </w:r>
          </w:p>
        </w:tc>
        <w:tc>
          <w:tcPr>
            <w:tcW w:type="dxa" w:w="2527"/>
            <w:tcMar>
              <w:top w:type="dxa" w:w="40"/>
              <w:left w:type="dxa" w:w="100"/>
              <w:bottom w:type="dxa" w:w="40"/>
              <w:right w:type="dxa" w:w="100"/>
            </w:tcMar>
          </w:tcPr>
          <w:p>
            <w:pPr>
              <w:spacing w:after="40" w:before="40"/>
            </w:pPr>
            <w:r>
              <w:rPr>
                <w:b w:val="false"/>
                <w:bCs w:val="false"/>
                <w:sz w:val="20"/>
                <w:szCs w:val="20"/>
              </w:rPr>
              <w:t xml:space="preserve">React Native + Expo</w:t>
            </w:r>
          </w:p>
        </w:tc>
        <w:tc>
          <w:tcPr>
            <w:tcW w:type="dxa" w:w="5148"/>
            <w:tcMar>
              <w:top w:type="dxa" w:w="40"/>
              <w:left w:type="dxa" w:w="100"/>
              <w:bottom w:type="dxa" w:w="40"/>
              <w:right w:type="dxa" w:w="100"/>
            </w:tcMar>
          </w:tcPr>
          <w:p>
            <w:pPr>
              <w:spacing w:after="40" w:before="40"/>
            </w:pPr>
            <w:r>
              <w:rPr>
                <w:b w:val="false"/>
                <w:bCs w:val="false"/>
                <w:sz w:val="20"/>
                <w:szCs w:val="20"/>
              </w:rPr>
              <w:t xml:space="preserve">One codebase for iOS and Android; reuses React skills and code from the web app; over-the-air updates let us ship fixes without waiting for app store review.</w:t>
            </w:r>
          </w:p>
        </w:tc>
      </w:tr>
      <w:tr>
        <w:tc>
          <w:tcPr>
            <w:tcW w:type="dxa" w:w="1685"/>
            <w:shd w:fill="F5EFEF" w:val="clear"/>
            <w:tcMar>
              <w:top w:type="dxa" w:w="40"/>
              <w:left w:type="dxa" w:w="100"/>
              <w:bottom w:type="dxa" w:w="40"/>
              <w:right w:type="dxa" w:w="100"/>
            </w:tcMar>
          </w:tcPr>
          <w:p>
            <w:pPr>
              <w:spacing w:after="40" w:before="40"/>
            </w:pPr>
            <w:r>
              <w:rPr>
                <w:b w:val="false"/>
                <w:bCs w:val="false"/>
                <w:sz w:val="20"/>
                <w:szCs w:val="20"/>
              </w:rPr>
              <w:t xml:space="preserve">Backend</w:t>
            </w:r>
          </w:p>
        </w:tc>
        <w:tc>
          <w:tcPr>
            <w:tcW w:type="dxa" w:w="2527"/>
            <w:shd w:fill="F5EFEF" w:val="clear"/>
            <w:tcMar>
              <w:top w:type="dxa" w:w="40"/>
              <w:left w:type="dxa" w:w="100"/>
              <w:bottom w:type="dxa" w:w="40"/>
              <w:right w:type="dxa" w:w="100"/>
            </w:tcMar>
          </w:tcPr>
          <w:p>
            <w:pPr>
              <w:spacing w:after="40" w:before="40"/>
            </w:pPr>
            <w:r>
              <w:rPr>
                <w:b w:val="false"/>
                <w:bCs w:val="false"/>
                <w:sz w:val="20"/>
                <w:szCs w:val="20"/>
              </w:rPr>
              <w:t xml:space="preserve">Supabase (existing)</w:t>
            </w:r>
          </w:p>
        </w:tc>
        <w:tc>
          <w:tcPr>
            <w:tcW w:type="dxa" w:w="5148"/>
            <w:shd w:fill="F5EFEF" w:val="clear"/>
            <w:tcMar>
              <w:top w:type="dxa" w:w="40"/>
              <w:left w:type="dxa" w:w="100"/>
              <w:bottom w:type="dxa" w:w="40"/>
              <w:right w:type="dxa" w:w="100"/>
            </w:tcMar>
          </w:tcPr>
          <w:p>
            <w:pPr>
              <w:spacing w:after="40" w:before="40"/>
            </w:pPr>
            <w:r>
              <w:rPr>
                <w:b w:val="false"/>
                <w:bCs w:val="false"/>
                <w:sz w:val="20"/>
                <w:szCs w:val="20"/>
              </w:rPr>
              <w:t xml:space="preserve">Same database, auth, storage, and APIs as the website — no second backend to build or keep in sync.</w:t>
            </w:r>
          </w:p>
        </w:tc>
      </w:tr>
      <w:tr>
        <w:tc>
          <w:tcPr>
            <w:tcW w:type="dxa" w:w="1685"/>
            <w:tcMar>
              <w:top w:type="dxa" w:w="40"/>
              <w:left w:type="dxa" w:w="100"/>
              <w:bottom w:type="dxa" w:w="40"/>
              <w:right w:type="dxa" w:w="100"/>
            </w:tcMar>
          </w:tcPr>
          <w:p>
            <w:pPr>
              <w:spacing w:after="40" w:before="40"/>
            </w:pPr>
            <w:r>
              <w:rPr>
                <w:b w:val="false"/>
                <w:bCs w:val="false"/>
                <w:sz w:val="20"/>
                <w:szCs w:val="20"/>
              </w:rPr>
              <w:t xml:space="preserve">Matching &amp; proximity</w:t>
            </w:r>
          </w:p>
        </w:tc>
        <w:tc>
          <w:tcPr>
            <w:tcW w:type="dxa" w:w="2527"/>
            <w:tcMar>
              <w:top w:type="dxa" w:w="40"/>
              <w:left w:type="dxa" w:w="100"/>
              <w:bottom w:type="dxa" w:w="40"/>
              <w:right w:type="dxa" w:w="100"/>
            </w:tcMar>
          </w:tcPr>
          <w:p>
            <w:pPr>
              <w:spacing w:after="40" w:before="40"/>
            </w:pPr>
            <w:r>
              <w:rPr>
                <w:b w:val="false"/>
                <w:bCs w:val="false"/>
                <w:sz w:val="20"/>
                <w:szCs w:val="20"/>
              </w:rPr>
              <w:t xml:space="preserve">Postgres + PostGIS (in Supabase)</w:t>
            </w:r>
          </w:p>
        </w:tc>
        <w:tc>
          <w:tcPr>
            <w:tcW w:type="dxa" w:w="5148"/>
            <w:tcMar>
              <w:top w:type="dxa" w:w="40"/>
              <w:left w:type="dxa" w:w="100"/>
              <w:bottom w:type="dxa" w:w="40"/>
              <w:right w:type="dxa" w:w="100"/>
            </w:tcMar>
          </w:tcPr>
          <w:p>
            <w:pPr>
              <w:spacing w:after="40" w:before="40"/>
            </w:pPr>
            <w:r>
              <w:rPr>
                <w:b w:val="false"/>
                <w:bCs w:val="false"/>
                <w:sz w:val="20"/>
                <w:szCs w:val="20"/>
              </w:rPr>
              <w:t xml:space="preserve">Location-proximity matching computed in the database — free, fast, and identical across web and mobile.</w:t>
            </w:r>
          </w:p>
        </w:tc>
      </w:tr>
      <w:tr>
        <w:tc>
          <w:tcPr>
            <w:tcW w:type="dxa" w:w="1685"/>
            <w:shd w:fill="F5EFEF" w:val="clear"/>
            <w:tcMar>
              <w:top w:type="dxa" w:w="40"/>
              <w:left w:type="dxa" w:w="100"/>
              <w:bottom w:type="dxa" w:w="40"/>
              <w:right w:type="dxa" w:w="100"/>
            </w:tcMar>
          </w:tcPr>
          <w:p>
            <w:pPr>
              <w:spacing w:after="40" w:before="40"/>
            </w:pPr>
            <w:r>
              <w:rPr>
                <w:b w:val="false"/>
                <w:bCs w:val="false"/>
                <w:sz w:val="20"/>
                <w:szCs w:val="20"/>
              </w:rPr>
              <w:t xml:space="preserve">Payments (bookings)</w:t>
            </w:r>
          </w:p>
        </w:tc>
        <w:tc>
          <w:tcPr>
            <w:tcW w:type="dxa" w:w="2527"/>
            <w:shd w:fill="F5EFEF" w:val="clear"/>
            <w:tcMar>
              <w:top w:type="dxa" w:w="40"/>
              <w:left w:type="dxa" w:w="100"/>
              <w:bottom w:type="dxa" w:w="40"/>
              <w:right w:type="dxa" w:w="100"/>
            </w:tcMar>
          </w:tcPr>
          <w:p>
            <w:pPr>
              <w:spacing w:after="40" w:before="40"/>
            </w:pPr>
            <w:r>
              <w:rPr>
                <w:b w:val="false"/>
                <w:bCs w:val="false"/>
                <w:sz w:val="20"/>
                <w:szCs w:val="20"/>
              </w:rPr>
              <w:t xml:space="preserve">Razorpay (UPI)</w:t>
            </w:r>
          </w:p>
        </w:tc>
        <w:tc>
          <w:tcPr>
            <w:tcW w:type="dxa" w:w="5148"/>
            <w:shd w:fill="F5EFEF" w:val="clear"/>
            <w:tcMar>
              <w:top w:type="dxa" w:w="40"/>
              <w:left w:type="dxa" w:w="100"/>
              <w:bottom w:type="dxa" w:w="40"/>
              <w:right w:type="dxa" w:w="100"/>
            </w:tcMar>
          </w:tcPr>
          <w:p>
            <w:pPr>
              <w:spacing w:after="40" w:before="40"/>
            </w:pPr>
            <w:r>
              <w:rPr>
                <w:b w:val="false"/>
                <w:bCs w:val="false"/>
                <w:sz w:val="20"/>
                <w:szCs w:val="20"/>
              </w:rPr>
              <w:t xml:space="preserve">In-app UPI collection for the 10% booking amount; Razorpay Route for automatic vendor payouts.</w:t>
            </w:r>
          </w:p>
        </w:tc>
      </w:tr>
      <w:tr>
        <w:tc>
          <w:tcPr>
            <w:tcW w:type="dxa" w:w="1685"/>
            <w:tcMar>
              <w:top w:type="dxa" w:w="40"/>
              <w:left w:type="dxa" w:w="100"/>
              <w:bottom w:type="dxa" w:w="40"/>
              <w:right w:type="dxa" w:w="100"/>
            </w:tcMar>
          </w:tcPr>
          <w:p>
            <w:pPr>
              <w:spacing w:after="40" w:before="40"/>
            </w:pPr>
            <w:r>
              <w:rPr>
                <w:b w:val="false"/>
                <w:bCs w:val="false"/>
                <w:sz w:val="20"/>
                <w:szCs w:val="20"/>
              </w:rPr>
              <w:t xml:space="preserve">Paywall entitlements</w:t>
            </w:r>
          </w:p>
        </w:tc>
        <w:tc>
          <w:tcPr>
            <w:tcW w:type="dxa" w:w="2527"/>
            <w:tcMar>
              <w:top w:type="dxa" w:w="40"/>
              <w:left w:type="dxa" w:w="100"/>
              <w:bottom w:type="dxa" w:w="40"/>
              <w:right w:type="dxa" w:w="100"/>
            </w:tcMar>
          </w:tcPr>
          <w:p>
            <w:pPr>
              <w:spacing w:after="40" w:before="40"/>
            </w:pPr>
            <w:r>
              <w:rPr>
                <w:b w:val="false"/>
                <w:bCs w:val="false"/>
                <w:sz w:val="20"/>
                <w:szCs w:val="20"/>
              </w:rPr>
              <w:t xml:space="preserve">Web checkout + shared backend</w:t>
            </w:r>
          </w:p>
        </w:tc>
        <w:tc>
          <w:tcPr>
            <w:tcW w:type="dxa" w:w="5148"/>
            <w:tcMar>
              <w:top w:type="dxa" w:w="40"/>
              <w:left w:type="dxa" w:w="100"/>
              <w:bottom w:type="dxa" w:w="40"/>
              <w:right w:type="dxa" w:w="100"/>
            </w:tcMar>
          </w:tcPr>
          <w:p>
            <w:pPr>
              <w:spacing w:after="40" w:before="40"/>
            </w:pPr>
            <w:r>
              <w:rPr>
                <w:b w:val="false"/>
                <w:bCs w:val="false"/>
                <w:sz w:val="20"/>
                <w:szCs w:val="20"/>
              </w:rPr>
              <w:t xml:space="preserve">Unlocks purchased on pellikart.com; apps read entitlements in real time.</w:t>
            </w:r>
          </w:p>
        </w:tc>
      </w:tr>
      <w:tr>
        <w:tc>
          <w:tcPr>
            <w:tcW w:type="dxa" w:w="1685"/>
            <w:shd w:fill="F5EFEF" w:val="clear"/>
            <w:tcMar>
              <w:top w:type="dxa" w:w="40"/>
              <w:left w:type="dxa" w:w="100"/>
              <w:bottom w:type="dxa" w:w="40"/>
              <w:right w:type="dxa" w:w="100"/>
            </w:tcMar>
          </w:tcPr>
          <w:p>
            <w:pPr>
              <w:spacing w:after="40" w:before="40"/>
            </w:pPr>
            <w:r>
              <w:rPr>
                <w:b w:val="false"/>
                <w:bCs w:val="false"/>
                <w:sz w:val="20"/>
                <w:szCs w:val="20"/>
              </w:rPr>
              <w:t xml:space="preserve">Login</w:t>
            </w:r>
          </w:p>
        </w:tc>
        <w:tc>
          <w:tcPr>
            <w:tcW w:type="dxa" w:w="2527"/>
            <w:shd w:fill="F5EFEF" w:val="clear"/>
            <w:tcMar>
              <w:top w:type="dxa" w:w="40"/>
              <w:left w:type="dxa" w:w="100"/>
              <w:bottom w:type="dxa" w:w="40"/>
              <w:right w:type="dxa" w:w="100"/>
            </w:tcMar>
          </w:tcPr>
          <w:p>
            <w:pPr>
              <w:spacing w:after="40" w:before="40"/>
            </w:pPr>
            <w:r>
              <w:rPr>
                <w:b w:val="false"/>
                <w:bCs w:val="false"/>
                <w:sz w:val="20"/>
                <w:szCs w:val="20"/>
              </w:rPr>
              <w:t xml:space="preserve">Phone OTP via MSG91 (SMS/WhatsApp)</w:t>
            </w:r>
          </w:p>
        </w:tc>
        <w:tc>
          <w:tcPr>
            <w:tcW w:type="dxa" w:w="5148"/>
            <w:shd w:fill="F5EFEF" w:val="clear"/>
            <w:tcMar>
              <w:top w:type="dxa" w:w="40"/>
              <w:left w:type="dxa" w:w="100"/>
              <w:bottom w:type="dxa" w:w="40"/>
              <w:right w:type="dxa" w:w="100"/>
            </w:tcMar>
          </w:tcPr>
          <w:p>
            <w:pPr>
              <w:spacing w:after="40" w:before="40"/>
            </w:pPr>
            <w:r>
              <w:rPr>
                <w:b w:val="false"/>
                <w:bCs w:val="false"/>
                <w:sz w:val="20"/>
                <w:szCs w:val="20"/>
              </w:rPr>
              <w:t xml:space="preserve">Standard for the Indian market; WhatsApp OTP lowers cost and improves delivery.</w:t>
            </w:r>
          </w:p>
        </w:tc>
      </w:tr>
      <w:tr>
        <w:tc>
          <w:tcPr>
            <w:tcW w:type="dxa" w:w="1685"/>
            <w:tcMar>
              <w:top w:type="dxa" w:w="40"/>
              <w:left w:type="dxa" w:w="100"/>
              <w:bottom w:type="dxa" w:w="40"/>
              <w:right w:type="dxa" w:w="100"/>
            </w:tcMar>
          </w:tcPr>
          <w:p>
            <w:pPr>
              <w:spacing w:after="40" w:before="40"/>
            </w:pPr>
            <w:r>
              <w:rPr>
                <w:b w:val="false"/>
                <w:bCs w:val="false"/>
                <w:sz w:val="20"/>
                <w:szCs w:val="20"/>
              </w:rPr>
              <w:t xml:space="preserve">Push notifications</w:t>
            </w:r>
          </w:p>
        </w:tc>
        <w:tc>
          <w:tcPr>
            <w:tcW w:type="dxa" w:w="2527"/>
            <w:tcMar>
              <w:top w:type="dxa" w:w="40"/>
              <w:left w:type="dxa" w:w="100"/>
              <w:bottom w:type="dxa" w:w="40"/>
              <w:right w:type="dxa" w:w="100"/>
            </w:tcMar>
          </w:tcPr>
          <w:p>
            <w:pPr>
              <w:spacing w:after="40" w:before="40"/>
            </w:pPr>
            <w:r>
              <w:rPr>
                <w:b w:val="false"/>
                <w:bCs w:val="false"/>
                <w:sz w:val="20"/>
                <w:szCs w:val="20"/>
              </w:rPr>
              <w:t xml:space="preserve">Expo Push / Firebase Cloud Messaging</w:t>
            </w:r>
          </w:p>
        </w:tc>
        <w:tc>
          <w:tcPr>
            <w:tcW w:type="dxa" w:w="5148"/>
            <w:tcMar>
              <w:top w:type="dxa" w:w="40"/>
              <w:left w:type="dxa" w:w="100"/>
              <w:bottom w:type="dxa" w:w="40"/>
              <w:right w:type="dxa" w:w="100"/>
            </w:tcMar>
          </w:tcPr>
          <w:p>
            <w:pPr>
              <w:spacing w:after="40" w:before="40"/>
            </w:pPr>
            <w:r>
              <w:rPr>
                <w:b w:val="false"/>
                <w:bCs w:val="false"/>
                <w:sz w:val="20"/>
                <w:szCs w:val="20"/>
              </w:rPr>
              <w:t xml:space="preserve">Free; drives repeat engagement for both clients and vendors.</w:t>
            </w:r>
          </w:p>
        </w:tc>
      </w:tr>
      <w:tr>
        <w:tc>
          <w:tcPr>
            <w:tcW w:type="dxa" w:w="1685"/>
            <w:shd w:fill="F5EFEF" w:val="clear"/>
            <w:tcMar>
              <w:top w:type="dxa" w:w="40"/>
              <w:left w:type="dxa" w:w="100"/>
              <w:bottom w:type="dxa" w:w="40"/>
              <w:right w:type="dxa" w:w="100"/>
            </w:tcMar>
          </w:tcPr>
          <w:p>
            <w:pPr>
              <w:spacing w:after="40" w:before="40"/>
            </w:pPr>
            <w:r>
              <w:rPr>
                <w:b w:val="false"/>
                <w:bCs w:val="false"/>
                <w:sz w:val="20"/>
                <w:szCs w:val="20"/>
              </w:rPr>
              <w:t xml:space="preserve">Maps &amp; location</w:t>
            </w:r>
          </w:p>
        </w:tc>
        <w:tc>
          <w:tcPr>
            <w:tcW w:type="dxa" w:w="2527"/>
            <w:shd w:fill="F5EFEF" w:val="clear"/>
            <w:tcMar>
              <w:top w:type="dxa" w:w="40"/>
              <w:left w:type="dxa" w:w="100"/>
              <w:bottom w:type="dxa" w:w="40"/>
              <w:right w:type="dxa" w:w="100"/>
            </w:tcMar>
          </w:tcPr>
          <w:p>
            <w:pPr>
              <w:spacing w:after="40" w:before="40"/>
            </w:pPr>
            <w:r>
              <w:rPr>
                <w:b w:val="false"/>
                <w:bCs w:val="false"/>
                <w:sz w:val="20"/>
                <w:szCs w:val="20"/>
              </w:rPr>
              <w:t xml:space="preserve">Google Maps SDK</w:t>
            </w:r>
          </w:p>
        </w:tc>
        <w:tc>
          <w:tcPr>
            <w:tcW w:type="dxa" w:w="5148"/>
            <w:shd w:fill="F5EFEF" w:val="clear"/>
            <w:tcMar>
              <w:top w:type="dxa" w:w="40"/>
              <w:left w:type="dxa" w:w="100"/>
              <w:bottom w:type="dxa" w:w="40"/>
              <w:right w:type="dxa" w:w="100"/>
            </w:tcMar>
          </w:tcPr>
          <w:p>
            <w:pPr>
              <w:spacing w:after="40" w:before="40"/>
            </w:pPr>
            <w:r>
              <w:rPr>
                <w:b w:val="false"/>
                <w:bCs w:val="false"/>
                <w:sz w:val="20"/>
                <w:szCs w:val="20"/>
              </w:rPr>
              <w:t xml:space="preserve">Map display and current-location capture; free tier covers early usage.</w:t>
            </w:r>
          </w:p>
        </w:tc>
      </w:tr>
      <w:tr>
        <w:tc>
          <w:tcPr>
            <w:tcW w:type="dxa" w:w="1685"/>
            <w:tcMar>
              <w:top w:type="dxa" w:w="40"/>
              <w:left w:type="dxa" w:w="100"/>
              <w:bottom w:type="dxa" w:w="40"/>
              <w:right w:type="dxa" w:w="100"/>
            </w:tcMar>
          </w:tcPr>
          <w:p>
            <w:pPr>
              <w:spacing w:after="40" w:before="40"/>
            </w:pPr>
            <w:r>
              <w:rPr>
                <w:b w:val="false"/>
                <w:bCs w:val="false"/>
                <w:sz w:val="20"/>
                <w:szCs w:val="20"/>
              </w:rPr>
              <w:t xml:space="preserve">Crash &amp; analytics</w:t>
            </w:r>
          </w:p>
        </w:tc>
        <w:tc>
          <w:tcPr>
            <w:tcW w:type="dxa" w:w="2527"/>
            <w:tcMar>
              <w:top w:type="dxa" w:w="40"/>
              <w:left w:type="dxa" w:w="100"/>
              <w:bottom w:type="dxa" w:w="40"/>
              <w:right w:type="dxa" w:w="100"/>
            </w:tcMar>
          </w:tcPr>
          <w:p>
            <w:pPr>
              <w:spacing w:after="40" w:before="40"/>
            </w:pPr>
            <w:r>
              <w:rPr>
                <w:b w:val="false"/>
                <w:bCs w:val="false"/>
                <w:sz w:val="20"/>
                <w:szCs w:val="20"/>
              </w:rPr>
              <w:t xml:space="preserve">Sentry + PostHog</w:t>
            </w:r>
          </w:p>
        </w:tc>
        <w:tc>
          <w:tcPr>
            <w:tcW w:type="dxa" w:w="5148"/>
            <w:tcMar>
              <w:top w:type="dxa" w:w="40"/>
              <w:left w:type="dxa" w:w="100"/>
              <w:bottom w:type="dxa" w:w="40"/>
              <w:right w:type="dxa" w:w="100"/>
            </w:tcMar>
          </w:tcPr>
          <w:p>
            <w:pPr>
              <w:spacing w:after="40" w:before="40"/>
            </w:pPr>
            <w:r>
              <w:rPr>
                <w:b w:val="false"/>
                <w:bCs w:val="false"/>
                <w:sz w:val="20"/>
                <w:szCs w:val="20"/>
              </w:rPr>
              <w:t xml:space="preserve">Crash reporting and product analytics; free tiers at our scale.</w:t>
            </w:r>
          </w:p>
        </w:tc>
      </w:tr>
      <w:tr>
        <w:tc>
          <w:tcPr>
            <w:tcW w:type="dxa" w:w="1685"/>
            <w:shd w:fill="F5EFEF" w:val="clear"/>
            <w:tcMar>
              <w:top w:type="dxa" w:w="40"/>
              <w:left w:type="dxa" w:w="100"/>
              <w:bottom w:type="dxa" w:w="40"/>
              <w:right w:type="dxa" w:w="100"/>
            </w:tcMar>
          </w:tcPr>
          <w:p>
            <w:pPr>
              <w:spacing w:after="40" w:before="40"/>
            </w:pPr>
            <w:r>
              <w:rPr>
                <w:b w:val="false"/>
                <w:bCs w:val="false"/>
                <w:sz w:val="20"/>
                <w:szCs w:val="20"/>
              </w:rPr>
              <w:t xml:space="preserve">Builds &amp; release</w:t>
            </w:r>
          </w:p>
        </w:tc>
        <w:tc>
          <w:tcPr>
            <w:tcW w:type="dxa" w:w="2527"/>
            <w:shd w:fill="F5EFEF" w:val="clear"/>
            <w:tcMar>
              <w:top w:type="dxa" w:w="40"/>
              <w:left w:type="dxa" w:w="100"/>
              <w:bottom w:type="dxa" w:w="40"/>
              <w:right w:type="dxa" w:w="100"/>
            </w:tcMar>
          </w:tcPr>
          <w:p>
            <w:pPr>
              <w:spacing w:after="40" w:before="40"/>
            </w:pPr>
            <w:r>
              <w:rPr>
                <w:b w:val="false"/>
                <w:bCs w:val="false"/>
                <w:sz w:val="20"/>
                <w:szCs w:val="20"/>
              </w:rPr>
              <w:t xml:space="preserve">Expo EAS + App Store / Play Console</w:t>
            </w:r>
          </w:p>
        </w:tc>
        <w:tc>
          <w:tcPr>
            <w:tcW w:type="dxa" w:w="5148"/>
            <w:shd w:fill="F5EFEF" w:val="clear"/>
            <w:tcMar>
              <w:top w:type="dxa" w:w="40"/>
              <w:left w:type="dxa" w:w="100"/>
              <w:bottom w:type="dxa" w:w="40"/>
              <w:right w:type="dxa" w:w="100"/>
            </w:tcMar>
          </w:tcPr>
          <w:p>
            <w:pPr>
              <w:spacing w:after="40" w:before="40"/>
            </w:pPr>
            <w:r>
              <w:rPr>
                <w:b w:val="false"/>
                <w:bCs w:val="false"/>
                <w:sz w:val="20"/>
                <w:szCs w:val="20"/>
              </w:rPr>
              <w:t xml:space="preserve">Managed cloud builds and store submission.</w:t>
            </w:r>
          </w:p>
        </w:tc>
      </w:tr>
    </w:tbl>
    <w:p>
      <w:pPr>
        <w:pStyle w:val="Heading1"/>
        <w:spacing w:after="140" w:before="280"/>
      </w:pPr>
      <w:r>
        <w:t xml:space="preserve">5. Build Plan &amp; Timeline</w:t>
      </w:r>
    </w:p>
    <w:p>
      <w:pPr>
        <w:spacing w:after="120"/>
      </w:pPr>
      <w:r>
        <w:rPr>
          <w:sz w:val="21"/>
          <w:szCs w:val="21"/>
        </w:rPr>
        <w:t xml:space="preserve">Development is in-house. The plan below targets full feature parity in roughly 3 to 3.5 months, with both apps submitted to the stores at the end. The two heaviest items are the category-specific vendor listing flows and the availability-calendar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936"/>
        <w:gridCol w:w="6178"/>
      </w:tblGrid>
      <w:tr>
        <w:trPr>
          <w:tblHeader/>
        </w:trPr>
        <w:tc>
          <w:tcPr>
            <w:tcW w:type="dxa" w:w="2246"/>
            <w:shd w:fill="8B2635" w:val="clear"/>
            <w:tcMar>
              <w:top w:type="dxa" w:w="60"/>
              <w:left w:type="dxa" w:w="100"/>
              <w:bottom w:type="dxa" w:w="60"/>
              <w:right w:type="dxa" w:w="100"/>
            </w:tcMar>
          </w:tcPr>
          <w:p>
            <w:pPr>
              <w:spacing w:after="20" w:before="20"/>
            </w:pPr>
            <w:r>
              <w:rPr>
                <w:b/>
                <w:bCs/>
                <w:color w:val="FFFFFF"/>
                <w:sz w:val="20"/>
                <w:szCs w:val="20"/>
              </w:rPr>
              <w:t xml:space="preserve">Phase</w:t>
            </w:r>
          </w:p>
        </w:tc>
        <w:tc>
          <w:tcPr>
            <w:tcW w:type="dxa" w:w="936"/>
            <w:shd w:fill="8B2635" w:val="clear"/>
            <w:tcMar>
              <w:top w:type="dxa" w:w="60"/>
              <w:left w:type="dxa" w:w="100"/>
              <w:bottom w:type="dxa" w:w="60"/>
              <w:right w:type="dxa" w:w="100"/>
            </w:tcMar>
          </w:tcPr>
          <w:p>
            <w:pPr>
              <w:spacing w:after="20" w:before="20"/>
            </w:pPr>
            <w:r>
              <w:rPr>
                <w:b/>
                <w:bCs/>
                <w:color w:val="FFFFFF"/>
                <w:sz w:val="20"/>
                <w:szCs w:val="20"/>
              </w:rPr>
              <w:t xml:space="preserve">Weeks</w:t>
            </w:r>
          </w:p>
        </w:tc>
        <w:tc>
          <w:tcPr>
            <w:tcW w:type="dxa" w:w="6178"/>
            <w:shd w:fill="8B2635" w:val="clear"/>
            <w:tcMar>
              <w:top w:type="dxa" w:w="60"/>
              <w:left w:type="dxa" w:w="100"/>
              <w:bottom w:type="dxa" w:w="60"/>
              <w:right w:type="dxa" w:w="100"/>
            </w:tcMar>
          </w:tcPr>
          <w:p>
            <w:pPr>
              <w:spacing w:after="20" w:before="20"/>
            </w:pPr>
            <w:r>
              <w:rPr>
                <w:b/>
                <w:bCs/>
                <w:color w:val="FFFFFF"/>
                <w:sz w:val="20"/>
                <w:szCs w:val="20"/>
              </w:rPr>
              <w:t xml:space="preserve">Deliverables</w:t>
            </w:r>
          </w:p>
        </w:tc>
      </w:tr>
      <w:tr>
        <w:tc>
          <w:tcPr>
            <w:tcW w:type="dxa" w:w="2246"/>
            <w:tcMar>
              <w:top w:type="dxa" w:w="40"/>
              <w:left w:type="dxa" w:w="100"/>
              <w:bottom w:type="dxa" w:w="40"/>
              <w:right w:type="dxa" w:w="100"/>
            </w:tcMar>
          </w:tcPr>
          <w:p>
            <w:pPr>
              <w:spacing w:after="40" w:before="40"/>
            </w:pPr>
            <w:r>
              <w:rPr>
                <w:b w:val="false"/>
                <w:bCs w:val="false"/>
                <w:sz w:val="20"/>
                <w:szCs w:val="20"/>
              </w:rPr>
              <w:t xml:space="preserve">1. Foundation</w:t>
            </w:r>
          </w:p>
        </w:tc>
        <w:tc>
          <w:tcPr>
            <w:tcW w:type="dxa" w:w="936"/>
            <w:tcMar>
              <w:top w:type="dxa" w:w="40"/>
              <w:left w:type="dxa" w:w="100"/>
              <w:bottom w:type="dxa" w:w="40"/>
              <w:right w:type="dxa" w:w="100"/>
            </w:tcMar>
          </w:tcPr>
          <w:p>
            <w:pPr>
              <w:spacing w:after="40" w:before="40"/>
            </w:pPr>
            <w:r>
              <w:rPr>
                <w:b w:val="false"/>
                <w:bCs w:val="false"/>
                <w:sz w:val="20"/>
                <w:szCs w:val="20"/>
              </w:rPr>
              <w:t xml:space="preserve">1–2</w:t>
            </w:r>
          </w:p>
        </w:tc>
        <w:tc>
          <w:tcPr>
            <w:tcW w:type="dxa" w:w="6178"/>
            <w:tcMar>
              <w:top w:type="dxa" w:w="40"/>
              <w:left w:type="dxa" w:w="100"/>
              <w:bottom w:type="dxa" w:w="40"/>
              <w:right w:type="dxa" w:w="100"/>
            </w:tcMar>
          </w:tcPr>
          <w:p>
            <w:pPr>
              <w:spacing w:after="40" w:before="40"/>
            </w:pPr>
            <w:r>
              <w:rPr>
                <w:b w:val="false"/>
                <w:bCs w:val="false"/>
                <w:sz w:val="20"/>
                <w:szCs w:val="20"/>
              </w:rPr>
              <w:t xml:space="preserve">Project setup, shared code structure with the web app, phone OTP login, navigation, and the design system ported so the apps match the website visually.</w:t>
            </w:r>
          </w:p>
        </w:tc>
      </w:tr>
      <w:tr>
        <w:tc>
          <w:tcPr>
            <w:tcW w:type="dxa" w:w="2246"/>
            <w:shd w:fill="F5EFEF" w:val="clear"/>
            <w:tcMar>
              <w:top w:type="dxa" w:w="40"/>
              <w:left w:type="dxa" w:w="100"/>
              <w:bottom w:type="dxa" w:w="40"/>
              <w:right w:type="dxa" w:w="100"/>
            </w:tcMar>
          </w:tcPr>
          <w:p>
            <w:pPr>
              <w:spacing w:after="40" w:before="40"/>
            </w:pPr>
            <w:r>
              <w:rPr>
                <w:b w:val="false"/>
                <w:bCs w:val="false"/>
                <w:sz w:val="20"/>
                <w:szCs w:val="20"/>
              </w:rPr>
              <w:t xml:space="preserve">2. Client side</w:t>
            </w:r>
          </w:p>
        </w:tc>
        <w:tc>
          <w:tcPr>
            <w:tcW w:type="dxa" w:w="936"/>
            <w:shd w:fill="F5EFEF" w:val="clear"/>
            <w:tcMar>
              <w:top w:type="dxa" w:w="40"/>
              <w:left w:type="dxa" w:w="100"/>
              <w:bottom w:type="dxa" w:w="40"/>
              <w:right w:type="dxa" w:w="100"/>
            </w:tcMar>
          </w:tcPr>
          <w:p>
            <w:pPr>
              <w:spacing w:after="40" w:before="40"/>
            </w:pPr>
            <w:r>
              <w:rPr>
                <w:b w:val="false"/>
                <w:bCs w:val="false"/>
                <w:sz w:val="20"/>
                <w:szCs w:val="20"/>
              </w:rPr>
              <w:t xml:space="preserve">3–6</w:t>
            </w:r>
          </w:p>
        </w:tc>
        <w:tc>
          <w:tcPr>
            <w:tcW w:type="dxa" w:w="6178"/>
            <w:shd w:fill="F5EFEF" w:val="clear"/>
            <w:tcMar>
              <w:top w:type="dxa" w:w="40"/>
              <w:left w:type="dxa" w:w="100"/>
              <w:bottom w:type="dxa" w:w="40"/>
              <w:right w:type="dxa" w:w="100"/>
            </w:tcMar>
          </w:tcPr>
          <w:p>
            <w:pPr>
              <w:spacing w:after="40" w:before="40"/>
            </w:pPr>
            <w:r>
              <w:rPr>
                <w:b w:val="false"/>
                <w:bCs w:val="false"/>
                <w:sz w:val="20"/>
                <w:szCs w:val="20"/>
              </w:rPr>
              <w:t xml:space="preserve">Client onboarding, matching results, filters, locked/unlocked vendor cards, vendor details, reviews, visit &amp; tasting requests.</w:t>
            </w:r>
          </w:p>
        </w:tc>
      </w:tr>
      <w:tr>
        <w:tc>
          <w:tcPr>
            <w:tcW w:type="dxa" w:w="2246"/>
            <w:tcMar>
              <w:top w:type="dxa" w:w="40"/>
              <w:left w:type="dxa" w:w="100"/>
              <w:bottom w:type="dxa" w:w="40"/>
              <w:right w:type="dxa" w:w="100"/>
            </w:tcMar>
          </w:tcPr>
          <w:p>
            <w:pPr>
              <w:spacing w:after="40" w:before="40"/>
            </w:pPr>
            <w:r>
              <w:rPr>
                <w:b w:val="false"/>
                <w:bCs w:val="false"/>
                <w:sz w:val="20"/>
                <w:szCs w:val="20"/>
              </w:rPr>
              <w:t xml:space="preserve">3. Vendor side</w:t>
            </w:r>
          </w:p>
        </w:tc>
        <w:tc>
          <w:tcPr>
            <w:tcW w:type="dxa" w:w="936"/>
            <w:tcMar>
              <w:top w:type="dxa" w:w="40"/>
              <w:left w:type="dxa" w:w="100"/>
              <w:bottom w:type="dxa" w:w="40"/>
              <w:right w:type="dxa" w:w="100"/>
            </w:tcMar>
          </w:tcPr>
          <w:p>
            <w:pPr>
              <w:spacing w:after="40" w:before="40"/>
            </w:pPr>
            <w:r>
              <w:rPr>
                <w:b w:val="false"/>
                <w:bCs w:val="false"/>
                <w:sz w:val="20"/>
                <w:szCs w:val="20"/>
              </w:rPr>
              <w:t xml:space="preserve">7–9</w:t>
            </w:r>
          </w:p>
        </w:tc>
        <w:tc>
          <w:tcPr>
            <w:tcW w:type="dxa" w:w="6178"/>
            <w:tcMar>
              <w:top w:type="dxa" w:w="40"/>
              <w:left w:type="dxa" w:w="100"/>
              <w:bottom w:type="dxa" w:w="40"/>
              <w:right w:type="dxa" w:w="100"/>
            </w:tcMar>
          </w:tcPr>
          <w:p>
            <w:pPr>
              <w:spacing w:after="40" w:before="40"/>
            </w:pPr>
            <w:r>
              <w:rPr>
                <w:b w:val="false"/>
                <w:bCs w:val="false"/>
                <w:sz w:val="20"/>
                <w:szCs w:val="20"/>
              </w:rPr>
              <w:t xml:space="preserve">Vendor profiles, category-specific listing flows, availability calendar with listing blocking, reviews dashboard, analytics, booking management.</w:t>
            </w:r>
          </w:p>
        </w:tc>
      </w:tr>
      <w:tr>
        <w:tc>
          <w:tcPr>
            <w:tcW w:type="dxa" w:w="2246"/>
            <w:shd w:fill="F5EFEF" w:val="clear"/>
            <w:tcMar>
              <w:top w:type="dxa" w:w="40"/>
              <w:left w:type="dxa" w:w="100"/>
              <w:bottom w:type="dxa" w:w="40"/>
              <w:right w:type="dxa" w:w="100"/>
            </w:tcMar>
          </w:tcPr>
          <w:p>
            <w:pPr>
              <w:spacing w:after="40" w:before="40"/>
            </w:pPr>
            <w:r>
              <w:rPr>
                <w:b w:val="false"/>
                <w:bCs w:val="false"/>
                <w:sz w:val="20"/>
                <w:szCs w:val="20"/>
              </w:rPr>
              <w:t xml:space="preserve">4. Money &amp; notifications</w:t>
            </w:r>
          </w:p>
        </w:tc>
        <w:tc>
          <w:tcPr>
            <w:tcW w:type="dxa" w:w="936"/>
            <w:shd w:fill="F5EFEF" w:val="clear"/>
            <w:tcMar>
              <w:top w:type="dxa" w:w="40"/>
              <w:left w:type="dxa" w:w="100"/>
              <w:bottom w:type="dxa" w:w="40"/>
              <w:right w:type="dxa" w:w="100"/>
            </w:tcMar>
          </w:tcPr>
          <w:p>
            <w:pPr>
              <w:spacing w:after="40" w:before="40"/>
            </w:pPr>
            <w:r>
              <w:rPr>
                <w:b w:val="false"/>
                <w:bCs w:val="false"/>
                <w:sz w:val="20"/>
                <w:szCs w:val="20"/>
              </w:rPr>
              <w:t xml:space="preserve">10–11</w:t>
            </w:r>
          </w:p>
        </w:tc>
        <w:tc>
          <w:tcPr>
            <w:tcW w:type="dxa" w:w="6178"/>
            <w:shd w:fill="F5EFEF" w:val="clear"/>
            <w:tcMar>
              <w:top w:type="dxa" w:w="40"/>
              <w:left w:type="dxa" w:w="100"/>
              <w:bottom w:type="dxa" w:w="40"/>
              <w:right w:type="dxa" w:w="100"/>
            </w:tcMar>
          </w:tcPr>
          <w:p>
            <w:pPr>
              <w:spacing w:after="40" w:before="40"/>
            </w:pPr>
            <w:r>
              <w:rPr>
                <w:b w:val="false"/>
                <w:bCs w:val="false"/>
                <w:sz w:val="20"/>
                <w:szCs w:val="20"/>
              </w:rPr>
              <w:t xml:space="preserve">Razorpay booking flow, paywall entitlement sync, milestone tracking, push notifications across all events.</w:t>
            </w:r>
          </w:p>
        </w:tc>
      </w:tr>
      <w:tr>
        <w:tc>
          <w:tcPr>
            <w:tcW w:type="dxa" w:w="2246"/>
            <w:tcMar>
              <w:top w:type="dxa" w:w="40"/>
              <w:left w:type="dxa" w:w="100"/>
              <w:bottom w:type="dxa" w:w="40"/>
              <w:right w:type="dxa" w:w="100"/>
            </w:tcMar>
          </w:tcPr>
          <w:p>
            <w:pPr>
              <w:spacing w:after="40" w:before="40"/>
            </w:pPr>
            <w:r>
              <w:rPr>
                <w:b w:val="false"/>
                <w:bCs w:val="false"/>
                <w:sz w:val="20"/>
                <w:szCs w:val="20"/>
              </w:rPr>
              <w:t xml:space="preserve">5. Polish &amp; launch</w:t>
            </w:r>
          </w:p>
        </w:tc>
        <w:tc>
          <w:tcPr>
            <w:tcW w:type="dxa" w:w="936"/>
            <w:tcMar>
              <w:top w:type="dxa" w:w="40"/>
              <w:left w:type="dxa" w:w="100"/>
              <w:bottom w:type="dxa" w:w="40"/>
              <w:right w:type="dxa" w:w="100"/>
            </w:tcMar>
          </w:tcPr>
          <w:p>
            <w:pPr>
              <w:spacing w:after="40" w:before="40"/>
            </w:pPr>
            <w:r>
              <w:rPr>
                <w:b w:val="false"/>
                <w:bCs w:val="false"/>
                <w:sz w:val="20"/>
                <w:szCs w:val="20"/>
              </w:rPr>
              <w:t xml:space="preserve">12–14</w:t>
            </w:r>
          </w:p>
        </w:tc>
        <w:tc>
          <w:tcPr>
            <w:tcW w:type="dxa" w:w="6178"/>
            <w:tcMar>
              <w:top w:type="dxa" w:w="40"/>
              <w:left w:type="dxa" w:w="100"/>
              <w:bottom w:type="dxa" w:w="40"/>
              <w:right w:type="dxa" w:w="100"/>
            </w:tcMar>
          </w:tcPr>
          <w:p>
            <w:pPr>
              <w:spacing w:after="40" w:before="40"/>
            </w:pPr>
            <w:r>
              <w:rPr>
                <w:b w:val="false"/>
                <w:bCs w:val="false"/>
                <w:sz w:val="20"/>
                <w:szCs w:val="20"/>
              </w:rPr>
              <w:t xml:space="preserve">Offline / poor-network handling, crash reporting, store assets, review submissions to Apple and Google, launch.</w:t>
            </w:r>
          </w:p>
        </w:tc>
      </w:tr>
    </w:tbl>
    <w:p>
      <w:pPr>
        <w:pStyle w:val="Heading2"/>
        <w:spacing w:after="100" w:before="200"/>
      </w:pPr>
      <w:r>
        <w:t xml:space="preserve">Store submission notes</w:t>
      </w:r>
    </w:p>
    <w:p>
      <w:pPr>
        <w:pStyle w:val="ListParagraph"/>
        <w:numPr>
          <w:ilvl w:val="0"/>
          <w:numId w:val="2"/>
        </w:numPr>
        <w:spacing w:after="80"/>
      </w:pPr>
      <w:r>
        <w:rPr>
          <w:sz w:val="21"/>
          <w:szCs w:val="21"/>
        </w:rPr>
        <w:t xml:space="preserve">Google Play: new personal developer accounts must run a closed test with 12 testers for 14 continuous days before public release — tester recruitment starts early, or we register an organisation account to avoid it.</w:t>
      </w:r>
    </w:p>
    <w:p>
      <w:pPr>
        <w:pStyle w:val="ListParagraph"/>
        <w:numPr>
          <w:ilvl w:val="0"/>
          <w:numId w:val="2"/>
        </w:numPr>
        <w:spacing w:after="80"/>
      </w:pPr>
      <w:r>
        <w:rPr>
          <w:sz w:val="21"/>
          <w:szCs w:val="21"/>
        </w:rPr>
        <w:t xml:space="preserve">Apple: requires an in-app account-deletion option (built into scope) and demo logins for client, vendor, and a pre-seeded booking for their reviewer.</w:t>
      </w:r>
    </w:p>
    <w:p>
      <w:pPr>
        <w:pStyle w:val="ListParagraph"/>
        <w:numPr>
          <w:ilvl w:val="0"/>
          <w:numId w:val="2"/>
        </w:numPr>
        <w:spacing w:after="80"/>
      </w:pPr>
      <w:r>
        <w:rPr>
          <w:sz w:val="21"/>
          <w:szCs w:val="21"/>
        </w:rPr>
        <w:t xml:space="preserve">Both stores require a public privacy policy and terms of service URL.</w:t>
      </w:r>
    </w:p>
    <w:p>
      <w:pPr>
        <w:pStyle w:val="ListParagraph"/>
        <w:numPr>
          <w:ilvl w:val="0"/>
          <w:numId w:val="2"/>
        </w:numPr>
        <w:spacing w:after="80"/>
      </w:pPr>
      <w:r>
        <w:rPr>
          <w:sz w:val="21"/>
          <w:szCs w:val="21"/>
        </w:rPr>
        <w:t xml:space="preserve">First Apple review typically takes 1–3 days; the timeline includes buffer for one rejection cycle.</w:t>
      </w:r>
    </w:p>
    <w:p>
      <w:pPr>
        <w:pStyle w:val="Heading1"/>
        <w:spacing w:after="140" w:before="280"/>
      </w:pPr>
      <w:r>
        <w:t xml:space="preserve">6. Pricing</w:t>
      </w:r>
    </w:p>
    <w:p>
      <w:pPr>
        <w:pStyle w:val="Heading2"/>
        <w:spacing w:after="100" w:before="200"/>
      </w:pPr>
      <w:r>
        <w:t xml:space="preserve">6.1 One-time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shd w:fill="8B2635" w:val="clear"/>
            <w:tcMar>
              <w:top w:type="dxa" w:w="60"/>
              <w:left w:type="dxa" w:w="100"/>
              <w:bottom w:type="dxa" w:w="60"/>
              <w:right w:type="dxa" w:w="100"/>
            </w:tcMar>
          </w:tcPr>
          <w:p>
            <w:pPr>
              <w:spacing w:after="20" w:before="20"/>
            </w:pPr>
            <w:r>
              <w:rPr>
                <w:b/>
                <w:bCs/>
                <w:color w:val="FFFFFF"/>
                <w:sz w:val="20"/>
                <w:szCs w:val="20"/>
              </w:rPr>
              <w:t xml:space="preserve">Item</w:t>
            </w:r>
          </w:p>
        </w:tc>
        <w:tc>
          <w:tcPr>
            <w:tcW w:type="dxa" w:w="3744"/>
            <w:shd w:fill="8B2635" w:val="clear"/>
            <w:tcMar>
              <w:top w:type="dxa" w:w="60"/>
              <w:left w:type="dxa" w:w="100"/>
              <w:bottom w:type="dxa" w:w="60"/>
              <w:right w:type="dxa" w:w="100"/>
            </w:tcMar>
          </w:tcPr>
          <w:p>
            <w:pPr>
              <w:spacing w:after="20" w:before="20"/>
            </w:pPr>
            <w:r>
              <w:rPr>
                <w:b/>
                <w:bCs/>
                <w:color w:val="FFFFFF"/>
                <w:sz w:val="20"/>
                <w:szCs w:val="20"/>
              </w:rPr>
              <w:t xml:space="preserve">Cost</w:t>
            </w:r>
          </w:p>
        </w:tc>
      </w:tr>
      <w:tr>
        <w:tc>
          <w:tcPr>
            <w:tcW w:type="dxa" w:w="5616"/>
            <w:tcMar>
              <w:top w:type="dxa" w:w="40"/>
              <w:left w:type="dxa" w:w="100"/>
              <w:bottom w:type="dxa" w:w="40"/>
              <w:right w:type="dxa" w:w="100"/>
            </w:tcMar>
          </w:tcPr>
          <w:p>
            <w:pPr>
              <w:spacing w:after="40" w:before="40"/>
            </w:pPr>
            <w:r>
              <w:rPr>
                <w:b w:val="false"/>
                <w:bCs w:val="false"/>
                <w:sz w:val="20"/>
                <w:szCs w:val="20"/>
              </w:rPr>
              <w:t xml:space="preserve">Google Play developer account</w:t>
            </w:r>
          </w:p>
        </w:tc>
        <w:tc>
          <w:tcPr>
            <w:tcW w:type="dxa" w:w="3744"/>
            <w:tcMar>
              <w:top w:type="dxa" w:w="40"/>
              <w:left w:type="dxa" w:w="100"/>
              <w:bottom w:type="dxa" w:w="40"/>
              <w:right w:type="dxa" w:w="100"/>
            </w:tcMar>
          </w:tcPr>
          <w:p>
            <w:pPr>
              <w:spacing w:after="40" w:before="40"/>
            </w:pPr>
            <w:r>
              <w:rPr>
                <w:b w:val="false"/>
                <w:bCs w:val="false"/>
                <w:sz w:val="20"/>
                <w:szCs w:val="20"/>
              </w:rPr>
              <w:t xml:space="preserve">US $25 (one-time)</w:t>
            </w:r>
          </w:p>
        </w:tc>
      </w:tr>
      <w:tr>
        <w:tc>
          <w:tcPr>
            <w:tcW w:type="dxa" w:w="5616"/>
            <w:shd w:fill="F5EFEF" w:val="clear"/>
            <w:tcMar>
              <w:top w:type="dxa" w:w="40"/>
              <w:left w:type="dxa" w:w="100"/>
              <w:bottom w:type="dxa" w:w="40"/>
              <w:right w:type="dxa" w:w="100"/>
            </w:tcMar>
          </w:tcPr>
          <w:p>
            <w:pPr>
              <w:spacing w:after="40" w:before="40"/>
            </w:pPr>
            <w:r>
              <w:rPr>
                <w:b w:val="false"/>
                <w:bCs w:val="false"/>
                <w:sz w:val="20"/>
                <w:szCs w:val="20"/>
              </w:rPr>
              <w:t xml:space="preserve">Apple Developer Program</w:t>
            </w:r>
          </w:p>
        </w:tc>
        <w:tc>
          <w:tcPr>
            <w:tcW w:type="dxa" w:w="3744"/>
            <w:shd w:fill="F5EFEF" w:val="clear"/>
            <w:tcMar>
              <w:top w:type="dxa" w:w="40"/>
              <w:left w:type="dxa" w:w="100"/>
              <w:bottom w:type="dxa" w:w="40"/>
              <w:right w:type="dxa" w:w="100"/>
            </w:tcMar>
          </w:tcPr>
          <w:p>
            <w:pPr>
              <w:spacing w:after="40" w:before="40"/>
            </w:pPr>
            <w:r>
              <w:rPr>
                <w:b w:val="false"/>
                <w:bCs w:val="false"/>
                <w:sz w:val="20"/>
                <w:szCs w:val="20"/>
              </w:rPr>
              <w:t xml:space="preserve">US $99 / year</w:t>
            </w:r>
          </w:p>
        </w:tc>
      </w:tr>
    </w:tbl>
    <w:p>
      <w:pPr>
        <w:pStyle w:val="Heading2"/>
        <w:spacing w:after="100" w:before="200"/>
      </w:pPr>
      <w:r>
        <w:t xml:space="preserve">6.2 Monthly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808"/>
        <w:gridCol w:w="4306"/>
      </w:tblGrid>
      <w:tr>
        <w:trPr>
          <w:tblHeader/>
        </w:trPr>
        <w:tc>
          <w:tcPr>
            <w:tcW w:type="dxa" w:w="2246"/>
            <w:shd w:fill="8B2635" w:val="clear"/>
            <w:tcMar>
              <w:top w:type="dxa" w:w="60"/>
              <w:left w:type="dxa" w:w="100"/>
              <w:bottom w:type="dxa" w:w="60"/>
              <w:right w:type="dxa" w:w="100"/>
            </w:tcMar>
          </w:tcPr>
          <w:p>
            <w:pPr>
              <w:spacing w:after="20" w:before="20"/>
            </w:pPr>
            <w:r>
              <w:rPr>
                <w:b/>
                <w:bCs/>
                <w:color w:val="FFFFFF"/>
                <w:sz w:val="20"/>
                <w:szCs w:val="20"/>
              </w:rPr>
              <w:t xml:space="preserve">Item</w:t>
            </w:r>
          </w:p>
        </w:tc>
        <w:tc>
          <w:tcPr>
            <w:tcW w:type="dxa" w:w="2808"/>
            <w:shd w:fill="8B2635" w:val="clear"/>
            <w:tcMar>
              <w:top w:type="dxa" w:w="60"/>
              <w:left w:type="dxa" w:w="100"/>
              <w:bottom w:type="dxa" w:w="60"/>
              <w:right w:type="dxa" w:w="100"/>
            </w:tcMar>
          </w:tcPr>
          <w:p>
            <w:pPr>
              <w:spacing w:after="20" w:before="20"/>
            </w:pPr>
            <w:r>
              <w:rPr>
                <w:b/>
                <w:bCs/>
                <w:color w:val="FFFFFF"/>
                <w:sz w:val="20"/>
                <w:szCs w:val="20"/>
              </w:rPr>
              <w:t xml:space="preserve">Cost</w:t>
            </w:r>
          </w:p>
        </w:tc>
        <w:tc>
          <w:tcPr>
            <w:tcW w:type="dxa" w:w="4306"/>
            <w:shd w:fill="8B2635" w:val="clear"/>
            <w:tcMar>
              <w:top w:type="dxa" w:w="60"/>
              <w:left w:type="dxa" w:w="100"/>
              <w:bottom w:type="dxa" w:w="60"/>
              <w:right w:type="dxa" w:w="100"/>
            </w:tcMar>
          </w:tcPr>
          <w:p>
            <w:pPr>
              <w:spacing w:after="20" w:before="20"/>
            </w:pPr>
            <w:r>
              <w:rPr>
                <w:b/>
                <w:bCs/>
                <w:color w:val="FFFFFF"/>
                <w:sz w:val="20"/>
                <w:szCs w:val="20"/>
              </w:rPr>
              <w:t xml:space="preserve">Notes</w:t>
            </w:r>
          </w:p>
        </w:tc>
      </w:tr>
      <w:tr>
        <w:tc>
          <w:tcPr>
            <w:tcW w:type="dxa" w:w="2246"/>
            <w:tcMar>
              <w:top w:type="dxa" w:w="40"/>
              <w:left w:type="dxa" w:w="100"/>
              <w:bottom w:type="dxa" w:w="40"/>
              <w:right w:type="dxa" w:w="100"/>
            </w:tcMar>
          </w:tcPr>
          <w:p>
            <w:pPr>
              <w:spacing w:after="40" w:before="40"/>
            </w:pPr>
            <w:r>
              <w:rPr>
                <w:b w:val="false"/>
                <w:bCs w:val="false"/>
                <w:sz w:val="20"/>
                <w:szCs w:val="20"/>
              </w:rPr>
              <w:t xml:space="preserve">Supabase Pro</w:t>
            </w:r>
          </w:p>
        </w:tc>
        <w:tc>
          <w:tcPr>
            <w:tcW w:type="dxa" w:w="2808"/>
            <w:tcMar>
              <w:top w:type="dxa" w:w="40"/>
              <w:left w:type="dxa" w:w="100"/>
              <w:bottom w:type="dxa" w:w="40"/>
              <w:right w:type="dxa" w:w="100"/>
            </w:tcMar>
          </w:tcPr>
          <w:p>
            <w:pPr>
              <w:spacing w:after="40" w:before="40"/>
            </w:pPr>
            <w:r>
              <w:rPr>
                <w:b w:val="false"/>
                <w:bCs w:val="false"/>
                <w:sz w:val="20"/>
                <w:szCs w:val="20"/>
              </w:rPr>
              <w:t xml:space="preserve">US $25 / month</w:t>
            </w:r>
          </w:p>
        </w:tc>
        <w:tc>
          <w:tcPr>
            <w:tcW w:type="dxa" w:w="4306"/>
            <w:tcMar>
              <w:top w:type="dxa" w:w="40"/>
              <w:left w:type="dxa" w:w="100"/>
              <w:bottom w:type="dxa" w:w="40"/>
              <w:right w:type="dxa" w:w="100"/>
            </w:tcMar>
          </w:tcPr>
          <w:p>
            <w:pPr>
              <w:spacing w:after="40" w:before="40"/>
            </w:pPr>
            <w:r>
              <w:rPr>
                <w:b w:val="false"/>
                <w:bCs w:val="false"/>
                <w:sz w:val="20"/>
                <w:szCs w:val="20"/>
              </w:rPr>
              <w:t xml:space="preserve">Needed as usage grows across web + two apps (database, auth, vendor photo storage).</w:t>
            </w:r>
          </w:p>
        </w:tc>
      </w:tr>
      <w:tr>
        <w:tc>
          <w:tcPr>
            <w:tcW w:type="dxa" w:w="2246"/>
            <w:shd w:fill="F5EFEF" w:val="clear"/>
            <w:tcMar>
              <w:top w:type="dxa" w:w="40"/>
              <w:left w:type="dxa" w:w="100"/>
              <w:bottom w:type="dxa" w:w="40"/>
              <w:right w:type="dxa" w:w="100"/>
            </w:tcMar>
          </w:tcPr>
          <w:p>
            <w:pPr>
              <w:spacing w:after="40" w:before="40"/>
            </w:pPr>
            <w:r>
              <w:rPr>
                <w:b w:val="false"/>
                <w:bCs w:val="false"/>
                <w:sz w:val="20"/>
                <w:szCs w:val="20"/>
              </w:rPr>
              <w:t xml:space="preserve">Expo EAS builds</w:t>
            </w:r>
          </w:p>
        </w:tc>
        <w:tc>
          <w:tcPr>
            <w:tcW w:type="dxa" w:w="2808"/>
            <w:shd w:fill="F5EFEF" w:val="clear"/>
            <w:tcMar>
              <w:top w:type="dxa" w:w="40"/>
              <w:left w:type="dxa" w:w="100"/>
              <w:bottom w:type="dxa" w:w="40"/>
              <w:right w:type="dxa" w:w="100"/>
            </w:tcMar>
          </w:tcPr>
          <w:p>
            <w:pPr>
              <w:spacing w:after="40" w:before="40"/>
            </w:pPr>
            <w:r>
              <w:rPr>
                <w:b w:val="false"/>
                <w:bCs w:val="false"/>
                <w:sz w:val="20"/>
                <w:szCs w:val="20"/>
              </w:rPr>
              <w:t xml:space="preserve">Free tier initially; US $19 / month later</w:t>
            </w:r>
          </w:p>
        </w:tc>
        <w:tc>
          <w:tcPr>
            <w:tcW w:type="dxa" w:w="4306"/>
            <w:shd w:fill="F5EFEF" w:val="clear"/>
            <w:tcMar>
              <w:top w:type="dxa" w:w="40"/>
              <w:left w:type="dxa" w:w="100"/>
              <w:bottom w:type="dxa" w:w="40"/>
              <w:right w:type="dxa" w:w="100"/>
            </w:tcMar>
          </w:tcPr>
          <w:p>
            <w:pPr>
              <w:spacing w:after="40" w:before="40"/>
            </w:pPr>
            <w:r>
              <w:rPr>
                <w:b w:val="false"/>
                <w:bCs w:val="false"/>
                <w:sz w:val="20"/>
                <w:szCs w:val="20"/>
              </w:rPr>
              <w:t xml:space="preserve">Upgrade only when build volume demands it.</w:t>
            </w:r>
          </w:p>
        </w:tc>
      </w:tr>
      <w:tr>
        <w:tc>
          <w:tcPr>
            <w:tcW w:type="dxa" w:w="2246"/>
            <w:tcMar>
              <w:top w:type="dxa" w:w="40"/>
              <w:left w:type="dxa" w:w="100"/>
              <w:bottom w:type="dxa" w:w="40"/>
              <w:right w:type="dxa" w:w="100"/>
            </w:tcMar>
          </w:tcPr>
          <w:p>
            <w:pPr>
              <w:spacing w:after="40" w:before="40"/>
            </w:pPr>
            <w:r>
              <w:rPr>
                <w:b w:val="false"/>
                <w:bCs w:val="false"/>
                <w:sz w:val="20"/>
                <w:szCs w:val="20"/>
              </w:rPr>
              <w:t xml:space="preserve">Sentry + PostHog</w:t>
            </w:r>
          </w:p>
        </w:tc>
        <w:tc>
          <w:tcPr>
            <w:tcW w:type="dxa" w:w="2808"/>
            <w:tcMar>
              <w:top w:type="dxa" w:w="40"/>
              <w:left w:type="dxa" w:w="100"/>
              <w:bottom w:type="dxa" w:w="40"/>
              <w:right w:type="dxa" w:w="100"/>
            </w:tcMar>
          </w:tcPr>
          <w:p>
            <w:pPr>
              <w:spacing w:after="40" w:before="40"/>
            </w:pPr>
            <w:r>
              <w:rPr>
                <w:b w:val="false"/>
                <w:bCs w:val="false"/>
                <w:sz w:val="20"/>
                <w:szCs w:val="20"/>
              </w:rPr>
              <w:t xml:space="preserve">Free tiers</w:t>
            </w:r>
          </w:p>
        </w:tc>
        <w:tc>
          <w:tcPr>
            <w:tcW w:type="dxa" w:w="4306"/>
            <w:tcMar>
              <w:top w:type="dxa" w:w="40"/>
              <w:left w:type="dxa" w:w="100"/>
              <w:bottom w:type="dxa" w:w="40"/>
              <w:right w:type="dxa" w:w="100"/>
            </w:tcMar>
          </w:tcPr>
          <w:p>
            <w:pPr>
              <w:spacing w:after="40" w:before="40"/>
            </w:pPr>
            <w:r>
              <w:rPr>
                <w:b w:val="false"/>
                <w:bCs w:val="false"/>
                <w:sz w:val="20"/>
                <w:szCs w:val="20"/>
              </w:rPr>
              <w:t xml:space="preserve">Sufficient at launch scale.</w:t>
            </w:r>
          </w:p>
        </w:tc>
      </w:tr>
      <w:tr>
        <w:tc>
          <w:tcPr>
            <w:tcW w:type="dxa" w:w="2246"/>
            <w:shd w:fill="F5EFEF" w:val="clear"/>
            <w:tcMar>
              <w:top w:type="dxa" w:w="40"/>
              <w:left w:type="dxa" w:w="100"/>
              <w:bottom w:type="dxa" w:w="40"/>
              <w:right w:type="dxa" w:w="100"/>
            </w:tcMar>
          </w:tcPr>
          <w:p>
            <w:pPr>
              <w:spacing w:after="40" w:before="40"/>
            </w:pPr>
            <w:r>
              <w:rPr>
                <w:b w:val="false"/>
                <w:bCs w:val="false"/>
                <w:sz w:val="20"/>
                <w:szCs w:val="20"/>
              </w:rPr>
              <w:t xml:space="preserve">Google Maps API</w:t>
            </w:r>
          </w:p>
        </w:tc>
        <w:tc>
          <w:tcPr>
            <w:tcW w:type="dxa" w:w="2808"/>
            <w:shd w:fill="F5EFEF" w:val="clear"/>
            <w:tcMar>
              <w:top w:type="dxa" w:w="40"/>
              <w:left w:type="dxa" w:w="100"/>
              <w:bottom w:type="dxa" w:w="40"/>
              <w:right w:type="dxa" w:w="100"/>
            </w:tcMar>
          </w:tcPr>
          <w:p>
            <w:pPr>
              <w:spacing w:after="40" w:before="40"/>
            </w:pPr>
            <w:r>
              <w:rPr>
                <w:b w:val="false"/>
                <w:bCs w:val="false"/>
                <w:sz w:val="20"/>
                <w:szCs w:val="20"/>
              </w:rPr>
              <w:t xml:space="preserve">Free tier</w:t>
            </w:r>
          </w:p>
        </w:tc>
        <w:tc>
          <w:tcPr>
            <w:tcW w:type="dxa" w:w="4306"/>
            <w:shd w:fill="F5EFEF" w:val="clear"/>
            <w:tcMar>
              <w:top w:type="dxa" w:w="40"/>
              <w:left w:type="dxa" w:w="100"/>
              <w:bottom w:type="dxa" w:w="40"/>
              <w:right w:type="dxa" w:w="100"/>
            </w:tcMar>
          </w:tcPr>
          <w:p>
            <w:pPr>
              <w:spacing w:after="40" w:before="40"/>
            </w:pPr>
            <w:r>
              <w:rPr>
                <w:b w:val="false"/>
                <w:bCs w:val="false"/>
                <w:sz w:val="20"/>
                <w:szCs w:val="20"/>
              </w:rPr>
              <w:t xml:space="preserve">Proximity matching runs in our own database, keeping Maps usage minimal.</w:t>
            </w:r>
          </w:p>
        </w:tc>
      </w:tr>
      <w:tr>
        <w:tc>
          <w:tcPr>
            <w:tcW w:type="dxa" w:w="2246"/>
            <w:tcMar>
              <w:top w:type="dxa" w:w="40"/>
              <w:left w:type="dxa" w:w="100"/>
              <w:bottom w:type="dxa" w:w="40"/>
              <w:right w:type="dxa" w:w="100"/>
            </w:tcMar>
          </w:tcPr>
          <w:p>
            <w:pPr>
              <w:spacing w:after="40" w:before="40"/>
            </w:pPr>
            <w:r>
              <w:rPr>
                <w:b w:val="false"/>
                <w:bCs w:val="false"/>
                <w:sz w:val="20"/>
                <w:szCs w:val="20"/>
              </w:rPr>
              <w:t xml:space="preserve">Estimated total</w:t>
            </w:r>
          </w:p>
        </w:tc>
        <w:tc>
          <w:tcPr>
            <w:tcW w:type="dxa" w:w="2808"/>
            <w:tcMar>
              <w:top w:type="dxa" w:w="40"/>
              <w:left w:type="dxa" w:w="100"/>
              <w:bottom w:type="dxa" w:w="40"/>
              <w:right w:type="dxa" w:w="100"/>
            </w:tcMar>
          </w:tcPr>
          <w:p>
            <w:pPr>
              <w:spacing w:after="40" w:before="40"/>
            </w:pPr>
            <w:r>
              <w:rPr>
                <w:b w:val="false"/>
                <w:bCs w:val="false"/>
                <w:sz w:val="20"/>
                <w:szCs w:val="20"/>
              </w:rPr>
              <w:t xml:space="preserve">≈ ₹2,500–4,500 / month</w:t>
            </w:r>
          </w:p>
        </w:tc>
        <w:tc>
          <w:tcPr>
            <w:tcW w:type="dxa" w:w="4306"/>
            <w:tcMar>
              <w:top w:type="dxa" w:w="40"/>
              <w:left w:type="dxa" w:w="100"/>
              <w:bottom w:type="dxa" w:w="40"/>
              <w:right w:type="dxa" w:w="100"/>
            </w:tcMar>
          </w:tcPr>
          <w:p>
            <w:pPr>
              <w:spacing w:after="40" w:before="40"/>
            </w:pPr>
            <w:r>
              <w:rPr>
                <w:b w:val="false"/>
                <w:bCs w:val="false"/>
                <w:sz w:val="20"/>
                <w:szCs w:val="20"/>
              </w:rPr>
              <w:t xml:space="preserve">Until meaningful scale; grows with usage, not headcount.</w:t>
            </w:r>
          </w:p>
        </w:tc>
      </w:tr>
    </w:tbl>
    <w:p>
      <w:pPr>
        <w:pStyle w:val="Heading2"/>
        <w:spacing w:after="100" w:before="200"/>
      </w:pPr>
      <w:r>
        <w:t xml:space="preserve">6.3 Per-transaction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2246"/>
        <w:gridCol w:w="4118"/>
      </w:tblGrid>
      <w:tr>
        <w:trPr>
          <w:tblHeader/>
        </w:trPr>
        <w:tc>
          <w:tcPr>
            <w:tcW w:type="dxa" w:w="2995"/>
            <w:shd w:fill="8B2635" w:val="clear"/>
            <w:tcMar>
              <w:top w:type="dxa" w:w="60"/>
              <w:left w:type="dxa" w:w="100"/>
              <w:bottom w:type="dxa" w:w="60"/>
              <w:right w:type="dxa" w:w="100"/>
            </w:tcMar>
          </w:tcPr>
          <w:p>
            <w:pPr>
              <w:spacing w:after="20" w:before="20"/>
            </w:pPr>
            <w:r>
              <w:rPr>
                <w:b/>
                <w:bCs/>
                <w:color w:val="FFFFFF"/>
                <w:sz w:val="20"/>
                <w:szCs w:val="20"/>
              </w:rPr>
              <w:t xml:space="preserve">Item</w:t>
            </w:r>
          </w:p>
        </w:tc>
        <w:tc>
          <w:tcPr>
            <w:tcW w:type="dxa" w:w="2246"/>
            <w:shd w:fill="8B2635" w:val="clear"/>
            <w:tcMar>
              <w:top w:type="dxa" w:w="60"/>
              <w:left w:type="dxa" w:w="100"/>
              <w:bottom w:type="dxa" w:w="60"/>
              <w:right w:type="dxa" w:w="100"/>
            </w:tcMar>
          </w:tcPr>
          <w:p>
            <w:pPr>
              <w:spacing w:after="20" w:before="20"/>
            </w:pPr>
            <w:r>
              <w:rPr>
                <w:b/>
                <w:bCs/>
                <w:color w:val="FFFFFF"/>
                <w:sz w:val="20"/>
                <w:szCs w:val="20"/>
              </w:rPr>
              <w:t xml:space="preserve">Cost</w:t>
            </w:r>
          </w:p>
        </w:tc>
        <w:tc>
          <w:tcPr>
            <w:tcW w:type="dxa" w:w="4118"/>
            <w:shd w:fill="8B2635" w:val="clear"/>
            <w:tcMar>
              <w:top w:type="dxa" w:w="60"/>
              <w:left w:type="dxa" w:w="100"/>
              <w:bottom w:type="dxa" w:w="60"/>
              <w:right w:type="dxa" w:w="100"/>
            </w:tcMar>
          </w:tcPr>
          <w:p>
            <w:pPr>
              <w:spacing w:after="20" w:before="20"/>
            </w:pPr>
            <w:r>
              <w:rPr>
                <w:b/>
                <w:bCs/>
                <w:color w:val="FFFFFF"/>
                <w:sz w:val="20"/>
                <w:szCs w:val="20"/>
              </w:rPr>
              <w:t xml:space="preserve">Notes</w:t>
            </w:r>
          </w:p>
        </w:tc>
      </w:tr>
      <w:tr>
        <w:tc>
          <w:tcPr>
            <w:tcW w:type="dxa" w:w="2995"/>
            <w:tcMar>
              <w:top w:type="dxa" w:w="40"/>
              <w:left w:type="dxa" w:w="100"/>
              <w:bottom w:type="dxa" w:w="40"/>
              <w:right w:type="dxa" w:w="100"/>
            </w:tcMar>
          </w:tcPr>
          <w:p>
            <w:pPr>
              <w:spacing w:after="40" w:before="40"/>
            </w:pPr>
            <w:r>
              <w:rPr>
                <w:b w:val="false"/>
                <w:bCs w:val="false"/>
                <w:sz w:val="20"/>
                <w:szCs w:val="20"/>
              </w:rPr>
              <w:t xml:space="preserve">Razorpay (booking payments)</w:t>
            </w:r>
          </w:p>
        </w:tc>
        <w:tc>
          <w:tcPr>
            <w:tcW w:type="dxa" w:w="2246"/>
            <w:tcMar>
              <w:top w:type="dxa" w:w="40"/>
              <w:left w:type="dxa" w:w="100"/>
              <w:bottom w:type="dxa" w:w="40"/>
              <w:right w:type="dxa" w:w="100"/>
            </w:tcMar>
          </w:tcPr>
          <w:p>
            <w:pPr>
              <w:spacing w:after="40" w:before="40"/>
            </w:pPr>
            <w:r>
              <w:rPr>
                <w:b w:val="false"/>
                <w:bCs w:val="false"/>
                <w:sz w:val="20"/>
                <w:szCs w:val="20"/>
              </w:rPr>
              <w:t xml:space="preserve">≈ 2% per transaction</w:t>
            </w:r>
          </w:p>
        </w:tc>
        <w:tc>
          <w:tcPr>
            <w:tcW w:type="dxa" w:w="4118"/>
            <w:tcMar>
              <w:top w:type="dxa" w:w="40"/>
              <w:left w:type="dxa" w:w="100"/>
              <w:bottom w:type="dxa" w:w="40"/>
              <w:right w:type="dxa" w:w="100"/>
            </w:tcMar>
          </w:tcPr>
          <w:p>
            <w:pPr>
              <w:spacing w:after="40" w:before="40"/>
            </w:pPr>
            <w:r>
              <w:rPr>
                <w:b w:val="false"/>
                <w:bCs w:val="false"/>
                <w:sz w:val="20"/>
                <w:szCs w:val="20"/>
              </w:rPr>
              <w:t xml:space="preserve">UPI rates are negotiable once volume builds; worth revisiting quarterly.</w:t>
            </w:r>
          </w:p>
        </w:tc>
      </w:tr>
      <w:tr>
        <w:tc>
          <w:tcPr>
            <w:tcW w:type="dxa" w:w="2995"/>
            <w:shd w:fill="F5EFEF" w:val="clear"/>
            <w:tcMar>
              <w:top w:type="dxa" w:w="40"/>
              <w:left w:type="dxa" w:w="100"/>
              <w:bottom w:type="dxa" w:w="40"/>
              <w:right w:type="dxa" w:w="100"/>
            </w:tcMar>
          </w:tcPr>
          <w:p>
            <w:pPr>
              <w:spacing w:after="40" w:before="40"/>
            </w:pPr>
            <w:r>
              <w:rPr>
                <w:b w:val="false"/>
                <w:bCs w:val="false"/>
                <w:sz w:val="20"/>
                <w:szCs w:val="20"/>
              </w:rPr>
              <w:t xml:space="preserve">SMS / WhatsApp OTP (MSG91)</w:t>
            </w:r>
          </w:p>
        </w:tc>
        <w:tc>
          <w:tcPr>
            <w:tcW w:type="dxa" w:w="2246"/>
            <w:shd w:fill="F5EFEF" w:val="clear"/>
            <w:tcMar>
              <w:top w:type="dxa" w:w="40"/>
              <w:left w:type="dxa" w:w="100"/>
              <w:bottom w:type="dxa" w:w="40"/>
              <w:right w:type="dxa" w:w="100"/>
            </w:tcMar>
          </w:tcPr>
          <w:p>
            <w:pPr>
              <w:spacing w:after="40" w:before="40"/>
            </w:pPr>
            <w:r>
              <w:rPr>
                <w:b w:val="false"/>
                <w:bCs w:val="false"/>
                <w:sz w:val="20"/>
                <w:szCs w:val="20"/>
              </w:rPr>
              <w:t xml:space="preserve">≈ ₹0.15–0.20 per OTP</w:t>
            </w:r>
          </w:p>
        </w:tc>
        <w:tc>
          <w:tcPr>
            <w:tcW w:type="dxa" w:w="4118"/>
            <w:shd w:fill="F5EFEF" w:val="clear"/>
            <w:tcMar>
              <w:top w:type="dxa" w:w="40"/>
              <w:left w:type="dxa" w:w="100"/>
              <w:bottom w:type="dxa" w:w="40"/>
              <w:right w:type="dxa" w:w="100"/>
            </w:tcMar>
          </w:tcPr>
          <w:p>
            <w:pPr>
              <w:spacing w:after="40" w:before="40"/>
            </w:pPr>
            <w:r>
              <w:rPr>
                <w:b w:val="false"/>
                <w:bCs w:val="false"/>
                <w:sz w:val="20"/>
                <w:szCs w:val="20"/>
              </w:rPr>
              <w:t xml:space="preserve">WhatsApp OTP is the cheaper channel.</w:t>
            </w:r>
          </w:p>
        </w:tc>
      </w:tr>
      <w:tr>
        <w:tc>
          <w:tcPr>
            <w:tcW w:type="dxa" w:w="2995"/>
            <w:tcMar>
              <w:top w:type="dxa" w:w="40"/>
              <w:left w:type="dxa" w:w="100"/>
              <w:bottom w:type="dxa" w:w="40"/>
              <w:right w:type="dxa" w:w="100"/>
            </w:tcMar>
          </w:tcPr>
          <w:p>
            <w:pPr>
              <w:spacing w:after="40" w:before="40"/>
            </w:pPr>
            <w:r>
              <w:rPr>
                <w:b w:val="false"/>
                <w:bCs w:val="false"/>
                <w:sz w:val="20"/>
                <w:szCs w:val="20"/>
              </w:rPr>
              <w:t xml:space="preserve">App store commission on paywall</w:t>
            </w:r>
          </w:p>
        </w:tc>
        <w:tc>
          <w:tcPr>
            <w:tcW w:type="dxa" w:w="2246"/>
            <w:tcMar>
              <w:top w:type="dxa" w:w="40"/>
              <w:left w:type="dxa" w:w="100"/>
              <w:bottom w:type="dxa" w:w="40"/>
              <w:right w:type="dxa" w:w="100"/>
            </w:tcMar>
          </w:tcPr>
          <w:p>
            <w:pPr>
              <w:spacing w:after="40" w:before="40"/>
            </w:pPr>
            <w:r>
              <w:rPr>
                <w:b w:val="false"/>
                <w:bCs w:val="false"/>
                <w:sz w:val="20"/>
                <w:szCs w:val="20"/>
              </w:rPr>
              <w:t xml:space="preserve">0%</w:t>
            </w:r>
          </w:p>
        </w:tc>
        <w:tc>
          <w:tcPr>
            <w:tcW w:type="dxa" w:w="4118"/>
            <w:tcMar>
              <w:top w:type="dxa" w:w="40"/>
              <w:left w:type="dxa" w:w="100"/>
              <w:bottom w:type="dxa" w:w="40"/>
              <w:right w:type="dxa" w:w="100"/>
            </w:tcMar>
          </w:tcPr>
          <w:p>
            <w:pPr>
              <w:spacing w:after="40" w:before="40"/>
            </w:pPr>
            <w:r>
              <w:rPr>
                <w:b w:val="false"/>
                <w:bCs w:val="false"/>
                <w:sz w:val="20"/>
                <w:szCs w:val="20"/>
              </w:rPr>
              <w:t xml:space="preserve">Avoided entirely by selling unlocks on the web (Section 3) — versus 15–30% if sold in-app.</w:t>
            </w:r>
          </w:p>
        </w:tc>
      </w:tr>
    </w:tbl>
    <w:p>
      <w:pPr>
        <w:spacing w:after="120"/>
      </w:pPr>
      <w:r>
        <w:rPr>
          <w:i/>
          <w:iCs/>
          <w:sz w:val="21"/>
          <w:szCs w:val="21"/>
        </w:rPr>
        <w:t xml:space="preserve">Summary: fixed costs are approximately US $99/year plus US $25 one-time for store accounts, and roughly ₹2,500–4,500 per month in infrastructure. Development is in-house, so the primary investment is engineering time over the ~14-week build.</w:t>
      </w:r>
    </w:p>
    <w:p>
      <w:pPr>
        <w:pStyle w:val="Heading1"/>
        <w:spacing w:after="140" w:before="280"/>
      </w:pPr>
      <w:r>
        <w:t xml:space="preserve">7. Decisions Needed from You</w:t>
      </w:r>
    </w:p>
    <w:p>
      <w:pPr>
        <w:pStyle w:val="ListParagraph"/>
        <w:numPr>
          <w:ilvl w:val="0"/>
          <w:numId w:val="2"/>
        </w:numPr>
        <w:spacing w:after="80"/>
      </w:pPr>
      <w:r>
        <w:rPr>
          <w:sz w:val="21"/>
          <w:szCs w:val="21"/>
        </w:rPr>
        <w:t xml:space="preserve">Refund &amp; cancellation policy for the 10% booking amount (full refund window? sliding scale by days before the event?).</w:t>
      </w:r>
    </w:p>
    <w:p>
      <w:pPr>
        <w:pStyle w:val="ListParagraph"/>
        <w:numPr>
          <w:ilvl w:val="0"/>
          <w:numId w:val="2"/>
        </w:numPr>
        <w:spacing w:after="80"/>
      </w:pPr>
      <w:r>
        <w:rPr>
          <w:sz w:val="21"/>
          <w:szCs w:val="21"/>
        </w:rPr>
        <w:t xml:space="preserve">Paywall tier pricing on the web (how many vendor reveals per tier, and at what price points).</w:t>
      </w:r>
    </w:p>
    <w:p>
      <w:pPr>
        <w:pStyle w:val="ListParagraph"/>
        <w:numPr>
          <w:ilvl w:val="0"/>
          <w:numId w:val="2"/>
        </w:numPr>
        <w:spacing w:after="80"/>
      </w:pPr>
      <w:r>
        <w:rPr>
          <w:sz w:val="21"/>
          <w:szCs w:val="21"/>
        </w:rPr>
        <w:t xml:space="preserve">Milestone definitions for two-way tracking — which milestones, and who confirms each (client, vendor, or both).</w:t>
      </w:r>
    </w:p>
    <w:p>
      <w:pPr>
        <w:pStyle w:val="ListParagraph"/>
        <w:numPr>
          <w:ilvl w:val="0"/>
          <w:numId w:val="2"/>
        </w:numPr>
        <w:spacing w:after="80"/>
      </w:pPr>
      <w:r>
        <w:rPr>
          <w:sz w:val="21"/>
          <w:szCs w:val="21"/>
        </w:rPr>
        <w:t xml:space="preserve">Vendor payout schedule — instant on booking via Razorpay Route, or held until a milestone/event completion.</w:t>
      </w:r>
    </w:p>
    <w:p>
      <w:pPr>
        <w:pStyle w:val="ListParagraph"/>
        <w:numPr>
          <w:ilvl w:val="0"/>
          <w:numId w:val="2"/>
        </w:numPr>
        <w:spacing w:after="80"/>
      </w:pPr>
      <w:r>
        <w:rPr>
          <w:sz w:val="21"/>
          <w:szCs w:val="21"/>
        </w:rPr>
        <w:t xml:space="preserve">Google Play account type — organisation account (recommended; avoids the 14-day closed-testing requirement) or personal.</w:t>
      </w:r>
    </w:p>
    <w:p>
      <w:pPr>
        <w:pStyle w:val="ListParagraph"/>
        <w:numPr>
          <w:ilvl w:val="0"/>
          <w:numId w:val="2"/>
        </w:numPr>
        <w:spacing w:after="80"/>
      </w:pPr>
      <w:r>
        <w:rPr>
          <w:sz w:val="21"/>
          <w:szCs w:val="21"/>
        </w:rPr>
        <w:t xml:space="preserve">Whether the post-booking chat/callback channel (Section 2.1) is in scope for v1 or a fast-follow.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w:cs="Calibri" w:eastAsia="Calibri" w:hAnsi="Calibri"/>
      <w:b/>
      <w:bCs/>
      <w:color w:val="8B2635"/>
      <w:sz w:val="30"/>
      <w:szCs w:val="30"/>
    </w:rPr>
  </w:style>
  <w:style w:type="paragraph" w:styleId="Heading2">
    <w:name w:val="Heading 2"/>
    <w:basedOn w:val="Normal"/>
    <w:next w:val="Normal"/>
    <w:qFormat/>
    <w:pPr>
      <w:spacing w:after="100" w:before="200"/>
    </w:pPr>
    <w:rPr>
      <w:rFonts w:ascii="Calibri" w:cs="Calibri" w:eastAsia="Calibri" w:hAnsi="Calibri"/>
      <w:b/>
      <w:bCs/>
      <w:color w:val="333333"/>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2026-07-22T09:24:05.704Z</dcterms:created>
  <dcterms:modified xsi:type="dcterms:W3CDTF">2026-07-22T09:24:05.717Z</dcterms:modified>
</cp:coreProperties>
</file>

<file path=docProps/custom.xml><?xml version="1.0" encoding="utf-8"?>
<Properties xmlns="http://schemas.openxmlformats.org/officeDocument/2006/custom-properties" xmlns:vt="http://schemas.openxmlformats.org/officeDocument/2006/docPropsVTypes"/>
</file>