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</w:rPr>
        <w:t xml:space="preserve">УТВЕРЖДАЮ</w:t>
      </w:r>
    </w:p>
    <w:p>
      <w:pPr>
        <w:jc w:val="right"/>
      </w:pPr>
      <w:r>
        <w:t xml:space="preserve">Начальник ИЛ ООО «Образец»</w:t>
      </w:r>
    </w:p>
    <w:p>
      <w:pPr>
        <w:jc w:val="right"/>
      </w:pPr>
      <w:r>
        <w:t xml:space="preserve">____________ / ____________ /</w:t>
      </w:r>
    </w:p>
    <w:p>
      <w:pPr>
        <w:spacing w:after="600"/>
        <w:jc w:val="right"/>
      </w:pPr>
      <w:r>
        <w:t xml:space="preserve">«___» ____________ 2026 г.</w:t>
      </w:r>
    </w:p>
    <w:p>
      <w:pPr>
        <w:spacing w:after="120"/>
        <w:jc w:val="center"/>
      </w:pPr>
      <w:r>
        <w:rPr>
          <w:b/>
          <w:bCs/>
        </w:rPr>
        <w:t xml:space="preserve">ИСПЫТАТЕЛЬНАЯ ЛАБОРАТОРИЯ ООО «ОБРАЗЕЦ»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ПРОЦЕДУРА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Внутрилабораторный контроль качества результатов испытаний</w:t>
      </w:r>
    </w:p>
    <w:p>
      <w:pPr>
        <w:jc w:val="center"/>
      </w:pPr>
      <w:r>
        <w:t xml:space="preserve">СМК-П-07-2026</w:t>
      </w:r>
    </w:p>
    <w:p>
      <w:pPr>
        <w:spacing w:after="600"/>
        <w:jc w:val="center"/>
      </w:pPr>
      <w:r>
        <w:t xml:space="preserve">Редакция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155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Должность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Ф. И. О.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Подпись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Разработал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Менеджер по качеству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Согласовал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Ответственный за ВЛК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20"/>
      </w:pP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Образец документа для портфолио. Наименование лаборатории, методики и числовые значения условные.</w:t>
      </w:r>
    </w:p>
    <w:p>
      <w:r>
        <w:br w:type="page"/>
      </w:r>
    </w:p>
    <w:p>
      <w:pPr>
        <w:pStyle w:val="Heading1"/>
      </w:pPr>
      <w:r>
        <w:t xml:space="preserve">1. Назначение и область применения</w:t>
      </w:r>
    </w:p>
    <w:p>
      <w:pPr>
        <w:spacing w:after="80" w:line="300"/>
        <w:ind w:firstLine="709"/>
        <w:jc w:val="both"/>
      </w:pPr>
      <w:r>
        <w:t xml:space="preserve">1.1. Настоящая процедура устанавливает порядок планирования, проведения, оценки и документирования внутрилабораторного контроля (ВЛК) качества результатов испытаний в соответствии с требованиями п. 7.7 ГОСТ ISO/IEC 17025-2019.</w:t>
      </w:r>
    </w:p>
    <w:p>
      <w:pPr>
        <w:spacing w:after="80" w:line="300"/>
        <w:ind w:firstLine="709"/>
        <w:jc w:val="both"/>
      </w:pPr>
      <w:r>
        <w:t xml:space="preserve">1.2. Процедура распространяется на все методики (методы) испытаний, включённые в область аккредитации ИЛ: природные, питьевые и сточные воды, донные отложения.</w:t>
      </w:r>
    </w:p>
    <w:p>
      <w:pPr>
        <w:spacing w:after="80" w:line="300"/>
        <w:ind w:firstLine="709"/>
        <w:jc w:val="both"/>
      </w:pPr>
      <w:r>
        <w:t xml:space="preserve">1.3. Требования процедуры обязательны для всех сотрудников ИЛ, выполняющих испытания и обработку их результатов.</w:t>
      </w:r>
    </w:p>
    <w:p>
      <w:pPr>
        <w:pStyle w:val="Heading1"/>
      </w:pPr>
      <w:r>
        <w:t xml:space="preserve">2. Нормативные ссылки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ГОСТ ISO/IEC 17025-2019. Общие требования к компетентности испытательных и калибровочных лабораторий.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РМГ 76-2014. ГСИ. Внутренний контроль качества результатов количественного химического анализа.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ГОСТ Р ИСО 5725-1…6-2002. Точность (правильность и прецизионность) методов и результатов измерений.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РМГ 61-2010. ГСИ. Показатели точности, правильности, прецизионности методик количественного химического анализа. Методы оценки.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ГОСТ ISO/IEC 17043. Оценка соответствия. Основные требования к проведению проверки квалификации.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ГОСТ ISO 13528. Статистические методы. Применение при проверке квалификации посредством межлабораторных сравнений.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Критерии аккредитации (приказ Минэкономразвития России от 26.10.2020 № 707).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Методики измерений, включённые в область аккредитации ИЛ.</w:t>
      </w:r>
    </w:p>
    <w:p>
      <w:pPr>
        <w:pStyle w:val="Heading1"/>
      </w:pPr>
      <w:r>
        <w:t xml:space="preserve">3. Термины, определения и сокращения</w:t>
      </w:r>
    </w:p>
    <w:p>
      <w:pPr>
        <w:spacing w:after="80" w:line="300"/>
        <w:ind w:firstLine="709"/>
        <w:jc w:val="both"/>
      </w:pPr>
      <w:r>
        <w:t xml:space="preserve">В настоящей процедуре применяются термины по ГОСТ ISO/IEC 17025-2019 и РМГ 76-2014, а также следующие сокращения: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5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Сокращение</w:t>
            </w:r>
          </w:p>
        </w:tc>
        <w:tc>
          <w:tcPr>
            <w:tcW w:type="dxa" w:w="7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Расшифровка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ВЛК</w:t>
            </w:r>
          </w:p>
        </w:tc>
        <w:tc>
          <w:tcPr>
            <w:tcW w:type="dxa" w:w="7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Внутрилабораторный контроль качества результатов испытаний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ОК</w:t>
            </w:r>
          </w:p>
        </w:tc>
        <w:tc>
          <w:tcPr>
            <w:tcW w:type="dxa" w:w="7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Образец для контроля (стандартный образец, аттестованная смесь)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МСИ</w:t>
            </w:r>
          </w:p>
        </w:tc>
        <w:tc>
          <w:tcPr>
            <w:tcW w:type="dxa" w:w="7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Межлабораторные сличительные испытания (проверка квалификации)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σr, σRл</w:t>
            </w:r>
          </w:p>
        </w:tc>
        <w:tc>
          <w:tcPr>
            <w:tcW w:type="dxa" w:w="7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Показатели повторяемости и внутрилабораторной прецизионности (СКО)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Δ, Δл</w:t>
            </w:r>
          </w:p>
        </w:tc>
        <w:tc>
          <w:tcPr>
            <w:tcW w:type="dxa" w:w="7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Показатель точности методики и показатель точности результатов лаборатории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ПП, ПД</w:t>
            </w:r>
          </w:p>
        </w:tc>
        <w:tc>
          <w:tcPr>
            <w:tcW w:type="dxa" w:w="7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Пределы предупреждения и пределы действия контрольной карты</w:t>
            </w:r>
          </w:p>
        </w:tc>
      </w:tr>
    </w:tbl>
    <w:p>
      <w:pPr>
        <w:pStyle w:val="Heading1"/>
      </w:pPr>
      <w:r>
        <w:t xml:space="preserve">4. Ответственность и полномочия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Должность</w:t>
            </w:r>
          </w:p>
        </w:tc>
        <w:tc>
          <w:tcPr>
            <w:tcW w:type="dxa" w:w="6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Обязанности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Начальник ИЛ</w:t>
            </w:r>
          </w:p>
        </w:tc>
        <w:tc>
          <w:tcPr>
            <w:tcW w:type="dxa" w:w="6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Утверждает план-график ВЛК, принимает решения по результатам контроля, обеспечивает необходимые ресурсы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Менеджер по качеству</w:t>
            </w:r>
          </w:p>
        </w:tc>
        <w:tc>
          <w:tcPr>
            <w:tcW w:type="dxa" w:w="6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Разрабатывает план-график ВЛК, анализирует результаты, ведёт контрольные карты, готовит годовой отчёт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Ответственный за методику</w:t>
            </w:r>
          </w:p>
        </w:tc>
        <w:tc>
          <w:tcPr>
            <w:tcW w:type="dxa" w:w="6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Организует и проводит контрольные процедуры, рассчитывает нормативы контроля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Исполнители</w:t>
            </w:r>
          </w:p>
        </w:tc>
        <w:tc>
          <w:tcPr>
            <w:tcW w:type="dxa" w:w="6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Выполняют контрольные измерения, ведут записи, незамедлительно сообщают об отклонениях</w:t>
            </w:r>
          </w:p>
        </w:tc>
      </w:tr>
    </w:tbl>
    <w:p>
      <w:pPr>
        <w:pStyle w:val="Heading1"/>
      </w:pPr>
      <w:r>
        <w:t xml:space="preserve">5. Планирование ВЛК</w:t>
      </w:r>
    </w:p>
    <w:p>
      <w:pPr>
        <w:spacing w:after="80" w:line="300"/>
        <w:ind w:firstLine="709"/>
        <w:jc w:val="both"/>
      </w:pPr>
      <w:r>
        <w:t xml:space="preserve">5.1. Ежегодно до 15 декабря менеджер по качеству составляет план-график ВЛК на следующий год (Приложение А). Для каждой методики в плане указываются: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вид контроля: повторяемость, внутрилабораторная прецизионность, точность, стабильность;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средство контроля: ОК, рабочая проба, проба с добавкой;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периодичность контроля и исполнитель.</w:t>
      </w:r>
    </w:p>
    <w:p>
      <w:pPr>
        <w:spacing w:after="80" w:line="300"/>
        <w:ind w:firstLine="709"/>
        <w:jc w:val="both"/>
      </w:pPr>
      <w:r>
        <w:t xml:space="preserve">5.2. Периодичность контроля устанавливается с учётом частоты применения методики, стабильности результатов за предшествующий период, результатов МСИ, смены персонала, оборудования или реактивов, а также замечаний внутренних аудитов и экспертов.</w:t>
      </w:r>
    </w:p>
    <w:p>
      <w:pPr>
        <w:spacing w:after="80" w:line="300"/>
        <w:ind w:firstLine="709"/>
        <w:jc w:val="both"/>
      </w:pPr>
      <w:r>
        <w:t xml:space="preserve">5.3. На этапе внедрения методики, до накопления собственных данных, допускается принимать Δл = 0,84·Δ, где Δ — показатель точности, приведённый в методике. После накопления не менее 20 результатов контрольных измерений значения σr,л, σRл и Δл уточняются.</w:t>
      </w:r>
    </w:p>
    <w:p>
      <w:pPr>
        <w:pStyle w:val="Heading1"/>
      </w:pPr>
      <w:r>
        <w:t xml:space="preserve">6. Оперативный контроль процедуры анализа</w:t>
      </w:r>
    </w:p>
    <w:p>
      <w:pPr>
        <w:pStyle w:val="Heading2"/>
      </w:pPr>
      <w:r>
        <w:t xml:space="preserve">6.1. Контроль повторяемости</w:t>
      </w:r>
    </w:p>
    <w:p>
      <w:pPr>
        <w:spacing w:after="80" w:line="300"/>
        <w:ind w:firstLine="709"/>
        <w:jc w:val="both"/>
      </w:pPr>
      <w:r>
        <w:t xml:space="preserve">Выполняется по результатам двух параллельных определений. Результат контроля признаётся удовлетворительным при выполнении условия:</w:t>
      </w:r>
    </w:p>
    <w:p>
      <w:pPr>
        <w:spacing w:after="120" w:before="80"/>
        <w:jc w:val="center"/>
      </w:pPr>
      <w:r>
        <w:rPr>
          <w:i/>
          <w:iCs/>
        </w:rPr>
        <w:t xml:space="preserve">rк = |X₁ − X₂| ≤ r,   где r = 2,77·σr</w:t>
      </w:r>
    </w:p>
    <w:p>
      <w:pPr>
        <w:pStyle w:val="Heading2"/>
      </w:pPr>
      <w:r>
        <w:t xml:space="preserve">6.2. Контроль внутрилабораторной прецизионности</w:t>
      </w:r>
    </w:p>
    <w:p>
      <w:pPr>
        <w:spacing w:after="80" w:line="300"/>
        <w:ind w:firstLine="709"/>
        <w:jc w:val="both"/>
      </w:pPr>
      <w:r>
        <w:t xml:space="preserve">Одна и та же проба анализируется в изменяющихся условиях (разные дни, исполнители, партии реактивов). Условие удовлетворительного результата:</w:t>
      </w:r>
    </w:p>
    <w:p>
      <w:pPr>
        <w:spacing w:after="120" w:before="80"/>
        <w:jc w:val="center"/>
      </w:pPr>
      <w:r>
        <w:rPr>
          <w:i/>
          <w:iCs/>
        </w:rPr>
        <w:t xml:space="preserve">Rл,к = |X̄₁ − X̄₂| ≤ Rл,   где Rл = 2,77·σRл</w:t>
      </w:r>
    </w:p>
    <w:p>
      <w:pPr>
        <w:pStyle w:val="Heading2"/>
      </w:pPr>
      <w:r>
        <w:t xml:space="preserve">6.3. Контроль точности с применением ОК</w:t>
      </w:r>
    </w:p>
    <w:p>
      <w:pPr>
        <w:spacing w:after="80" w:line="300"/>
        <w:ind w:firstLine="709"/>
        <w:jc w:val="both"/>
      </w:pPr>
      <w:r>
        <w:t xml:space="preserve">Погрешность аттестованного значения ОК не должна превышать ⅓·Δл. Условие удовлетворительного результата:</w:t>
      </w:r>
    </w:p>
    <w:p>
      <w:pPr>
        <w:spacing w:after="120" w:before="80"/>
        <w:jc w:val="center"/>
      </w:pPr>
      <w:r>
        <w:rPr>
          <w:i/>
          <w:iCs/>
        </w:rPr>
        <w:t xml:space="preserve">Кк = |X̄ − C| ≤ К,   где К = Δл</w:t>
      </w:r>
    </w:p>
    <w:p>
      <w:pPr>
        <w:spacing w:after="80" w:line="300"/>
        <w:jc w:val="both"/>
      </w:pPr>
      <w:r>
        <w:t xml:space="preserve">Здесь C — аттестованное значение ОК, X̄ — результат контрольного измерения.</w:t>
      </w:r>
    </w:p>
    <w:p>
      <w:pPr>
        <w:pStyle w:val="Heading2"/>
      </w:pPr>
      <w:r>
        <w:t xml:space="preserve">6.4. Контроль точности методом добавок</w:t>
      </w:r>
    </w:p>
    <w:p>
      <w:pPr>
        <w:spacing w:after="80" w:line="300"/>
        <w:ind w:firstLine="709"/>
        <w:jc w:val="both"/>
      </w:pPr>
      <w:r>
        <w:t xml:space="preserve">Применяется при отсутствии ОК, адекватного по составу анализируемым пробам. Условие удовлетворительного результата:</w:t>
      </w:r>
    </w:p>
    <w:p>
      <w:pPr>
        <w:spacing w:after="120" w:before="80"/>
        <w:jc w:val="center"/>
      </w:pPr>
      <w:r>
        <w:rPr>
          <w:i/>
          <w:iCs/>
        </w:rPr>
        <w:t xml:space="preserve">Кк = |X̄′ − X̄ − C| ≤ К,   где К = √(Δл,X̄′² + Δл,X̄²)</w:t>
      </w:r>
    </w:p>
    <w:p>
      <w:pPr>
        <w:spacing w:after="80" w:line="300"/>
        <w:jc w:val="both"/>
      </w:pPr>
      <w:r>
        <w:t xml:space="preserve">Здесь X̄′ — результат анализа пробы с добавкой, X̄ — результат анализа исходной пробы, C — величина добавки.</w:t>
      </w:r>
    </w:p>
    <w:p>
      <w:pPr>
        <w:spacing w:after="80" w:line="300"/>
        <w:ind w:firstLine="709"/>
        <w:jc w:val="both"/>
      </w:pPr>
      <w:r>
        <w:t xml:space="preserve">6.5. При невыполнении условия контрольную процедуру повторяют. При повторном невыполнении испытания по методике приостанавливаются, дальнейшие действия выполняются в соответствии с разделом 9.</w:t>
      </w:r>
    </w:p>
    <w:p>
      <w:pPr>
        <w:pStyle w:val="Heading1"/>
      </w:pPr>
      <w:r>
        <w:t xml:space="preserve">7. Контроль стабильности результатов</w:t>
      </w:r>
    </w:p>
    <w:p>
      <w:pPr>
        <w:spacing w:after="80" w:line="300"/>
        <w:ind w:firstLine="709"/>
        <w:jc w:val="both"/>
      </w:pPr>
      <w:r>
        <w:t xml:space="preserve">7.1. Для методик с высокой частотой применения ведутся контрольные карты Шухарта: повторяемости, внутрилабораторной прецизионности и точности (Приложение В).</w:t>
      </w:r>
    </w:p>
    <w:p>
      <w:pPr>
        <w:spacing w:after="80" w:line="300"/>
        <w:ind w:firstLine="709"/>
        <w:jc w:val="both"/>
      </w:pPr>
      <w:r>
        <w:t xml:space="preserve">7.2. Границы контрольных карт при числе параллельных определений n = 2: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5"/>
        <w:gridCol w:w="2000"/>
        <w:gridCol w:w="2000"/>
        <w:gridCol w:w="2000"/>
      </w:tblGrid>
      <w:tr>
        <w:trPr>
          <w:tblHeader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Контрольная карта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Средняя линия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Предел предупреждения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Предел действия</w:t>
            </w:r>
          </w:p>
        </w:tc>
      </w:tr>
      <w:t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Повторяемости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1,128·σr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2,834·σr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3,686·σr</w:t>
            </w:r>
          </w:p>
        </w:tc>
      </w:tr>
      <w:t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Внутрилабораторной прецизионности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1,128·σRл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2,834·σRл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3,686·σRл</w:t>
            </w:r>
          </w:p>
        </w:tc>
      </w:tr>
      <w:t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Точности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±0,67·К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±К</w:t>
            </w:r>
          </w:p>
        </w:tc>
      </w:tr>
    </w:tbl>
    <w:p>
      <w:pPr>
        <w:spacing w:after="120"/>
      </w:pPr>
    </w:p>
    <w:p>
      <w:pPr>
        <w:spacing w:after="80" w:line="300"/>
        <w:ind w:firstLine="709"/>
        <w:jc w:val="both"/>
      </w:pPr>
      <w:r>
        <w:t xml:space="preserve">7.3. Признаками нарушения стабильности процесса анализа являются: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выход одной точки за предел действия;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выход двух из трёх последовательных точек за предел предупреждения;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девять последовательных точек по одну сторону от средней линии;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шесть последовательных точек, монотонно возрастающих или убывающих.</w:t>
      </w:r>
    </w:p>
    <w:p>
      <w:pPr>
        <w:spacing w:after="80" w:line="300"/>
        <w:ind w:firstLine="709"/>
        <w:jc w:val="both"/>
      </w:pPr>
      <w:r>
        <w:t xml:space="preserve">7.4. Каждый случай нарушения стабильности фиксируется на контрольной карте и в журнале ВЛК, его причины анализируются в соответствии с разделом 9.</w:t>
      </w:r>
    </w:p>
    <w:p>
      <w:pPr>
        <w:spacing w:after="80" w:line="300"/>
        <w:ind w:firstLine="709"/>
        <w:jc w:val="both"/>
      </w:pPr>
      <w:r>
        <w:t xml:space="preserve">7.5. Границы контрольных карт пересматриваются после накопления каждых 20–30 точек, а также после замены оборудования, ОК или партий реактивов.</w:t>
      </w:r>
    </w:p>
    <w:p>
      <w:pPr>
        <w:pStyle w:val="Heading1"/>
      </w:pPr>
      <w:r>
        <w:t xml:space="preserve">8. Межлабораторные сличительные испытания</w:t>
      </w:r>
    </w:p>
    <w:p>
      <w:pPr>
        <w:spacing w:after="80" w:line="300"/>
        <w:ind w:firstLine="709"/>
        <w:jc w:val="both"/>
      </w:pPr>
      <w:r>
        <w:t xml:space="preserve">8.1. ИЛ участвует в МСИ, организуемых провайдерами проверки квалификации, аккредитованными на соответствие ГОСТ ISO/IEC 17043. План участия составляется так, чтобы за цикл аккредитации охватить всю область аккредитации; каждая группа методик — не реже одного раза в год при наличии соответствующих программ.</w:t>
      </w:r>
    </w:p>
    <w:p>
      <w:pPr>
        <w:spacing w:after="80" w:line="300"/>
        <w:ind w:firstLine="709"/>
        <w:jc w:val="both"/>
      </w:pPr>
      <w:r>
        <w:t xml:space="preserve">8.2. Результаты участия оцениваются по z-индексу: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|z| ≤ 2 — результат удовлетворительный;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2 &lt; |z| &lt; 3 — результат сомнительный, проводится анализ причин;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t xml:space="preserve">|z| ≥ 3 — результат неудовлетворительный, действия выполняются в соответствии с разделом 9.</w:t>
      </w:r>
    </w:p>
    <w:p>
      <w:pPr>
        <w:spacing w:after="80" w:line="300"/>
        <w:ind w:firstLine="709"/>
        <w:jc w:val="both"/>
      </w:pPr>
      <w:r>
        <w:t xml:space="preserve">8.3. При отсутствии программ МСИ применяются альтернативные способы: внутрилабораторные сличения между исполнителями, повторные испытания архивных проб, сличения с другой аккредитованной лабораторией.</w:t>
      </w:r>
    </w:p>
    <w:p>
      <w:pPr>
        <w:pStyle w:val="Heading1"/>
      </w:pPr>
      <w:r>
        <w:t xml:space="preserve">9. Действия при неудовлетворительных результатах контроля</w:t>
      </w:r>
    </w:p>
    <w:p>
      <w:pPr>
        <w:spacing w:after="80" w:line="300"/>
        <w:ind w:firstLine="709"/>
        <w:jc w:val="both"/>
      </w:pPr>
      <w:r>
        <w:t xml:space="preserve">9.1. Неудовлетворительный результат ВЛК или МСИ оформляется как несоответствующая работа в соответствии с п. 7.10 ГОСТ ISO/IEC 17025-2019.</w:t>
      </w:r>
    </w:p>
    <w:p>
      <w:pPr>
        <w:spacing w:after="80" w:line="300"/>
        <w:ind w:firstLine="709"/>
        <w:jc w:val="both"/>
      </w:pPr>
      <w:r>
        <w:t xml:space="preserve">9.2. Порядок действий: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Приостановить выполнение испытаний по методике.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Установить причину: оборудование, реактивы, ОК, квалификация персонала, условия окружающей среды, ошибки в расчётах.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Оценить влияние на результаты, выданные с момента последнего удовлетворительного контроля; при необходимости отозвать протоколы и уведомить заказчиков.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Устранить причину и провести корректирующие действия в соответствии с п. 8.7 ГОСТ ISO/IEC 17025-2019.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Подтвердить результативность действий удовлетворительным результатом повторного контроля.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Возобновить испытания по решению начальника ИЛ.</w:t>
      </w:r>
    </w:p>
    <w:p>
      <w:pPr>
        <w:pStyle w:val="Heading1"/>
      </w:pPr>
      <w:r>
        <w:t xml:space="preserve">10. Анализ результатов ВЛК и отчётность</w:t>
      </w:r>
    </w:p>
    <w:p>
      <w:pPr>
        <w:spacing w:after="80" w:line="300"/>
        <w:ind w:firstLine="709"/>
        <w:jc w:val="both"/>
      </w:pPr>
      <w:r>
        <w:t xml:space="preserve">10.1. Менеджер по качеству ежеквартально анализирует контрольные карты и журналы ВЛК.</w:t>
      </w:r>
    </w:p>
    <w:p>
      <w:pPr>
        <w:spacing w:after="80" w:line="300"/>
        <w:ind w:firstLine="709"/>
        <w:jc w:val="both"/>
      </w:pPr>
      <w:r>
        <w:t xml:space="preserve">10.2. Ежегодно составляется отчёт о ВЛК, включающий: выполнение плана-графика; число и причины неудовлетворительных результатов; выявленные тенденции по контрольным картам; результаты МСИ; уточнённые значения σr,л, σRл и Δл; предложения на следующий год.</w:t>
      </w:r>
    </w:p>
    <w:p>
      <w:pPr>
        <w:spacing w:after="80" w:line="300"/>
        <w:ind w:firstLine="709"/>
        <w:jc w:val="both"/>
      </w:pPr>
      <w:r>
        <w:t xml:space="preserve">10.3. Отчёт о ВЛК является входными данными для анализа со стороны руководства (п. 8.9 ГОСТ ISO/IEC 17025-2019).</w:t>
      </w:r>
    </w:p>
    <w:p>
      <w:pPr>
        <w:pStyle w:val="Heading1"/>
      </w:pPr>
      <w:r>
        <w:t xml:space="preserve">11. Записи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5"/>
        <w:gridCol w:w="3000"/>
        <w:gridCol w:w="2000"/>
      </w:tblGrid>
      <w:tr>
        <w:trPr>
          <w:tblHeader/>
        </w:trP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Форма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Срок хранения</w:t>
            </w:r>
          </w:p>
        </w:tc>
      </w:tr>
      <w:t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План-график ВЛК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Приложение 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лет</w:t>
            </w:r>
          </w:p>
        </w:tc>
      </w:tr>
      <w:t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Журнал оперативного контроля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Приложение Б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лет</w:t>
            </w:r>
          </w:p>
        </w:tc>
      </w:tr>
      <w:t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Контрольные карты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Приложение 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лет</w:t>
            </w:r>
          </w:p>
        </w:tc>
      </w:tr>
      <w:t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Отчёты о результатах МСИ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Отчёт провайдера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лет</w:t>
            </w:r>
          </w:p>
        </w:tc>
      </w:tr>
      <w:t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Годовой отчёт о ВЛК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Произвольная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лет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Приложение А (обязательное). Форма плана-графика ВЛК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600"/>
        <w:gridCol w:w="1250"/>
        <w:gridCol w:w="1400"/>
        <w:gridCol w:w="1250"/>
        <w:gridCol w:w="1255"/>
        <w:gridCol w:w="1200"/>
        <w:gridCol w:w="950"/>
      </w:tblGrid>
      <w:tr>
        <w:trPr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Методика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Вид контроля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Средство контроля</w:t>
            </w:r>
          </w:p>
        </w:tc>
        <w:tc>
          <w:tcPr>
            <w:tcW w:type="dxa" w:w="1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Периодичность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Исполнитель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ПНД Ф 14.1:2:4.xxx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Аммоний-ион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Повторяемость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Рабочая проба</w:t>
            </w:r>
          </w:p>
        </w:tc>
        <w:tc>
          <w:tcPr>
            <w:tcW w:type="dxa" w:w="1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Каждая серия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ПНД Ф 14.1:2:4.xxx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Аммоний-ион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Точность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ОК (ГСО)</w:t>
            </w:r>
          </w:p>
        </w:tc>
        <w:tc>
          <w:tcPr>
            <w:tcW w:type="dxa" w:w="1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раз в месяц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ПНД Ф 14.1:2:4.xxx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ХПК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Внутрилаб. прецизионность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Рабочая проба</w:t>
            </w:r>
          </w:p>
        </w:tc>
        <w:tc>
          <w:tcPr>
            <w:tcW w:type="dxa" w:w="1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раз в квартал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Приложение Б (обязательное). Форма журнала оперативного контроля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100"/>
        <w:gridCol w:w="600"/>
        <w:gridCol w:w="600"/>
        <w:gridCol w:w="600"/>
        <w:gridCol w:w="600"/>
        <w:gridCol w:w="800"/>
        <w:gridCol w:w="800"/>
        <w:gridCol w:w="1000"/>
        <w:gridCol w:w="1155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Методика / показатель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Средство контроля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X₁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X₂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X̄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Кк (rк)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 (r)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Вывод</w:t>
            </w:r>
          </w:p>
        </w:tc>
        <w:tc>
          <w:tcPr>
            <w:tcW w:type="dxa" w:w="1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Исполнитель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Приложение В (справочное). Пример расчёта и ведения контрольной карты</w:t>
      </w:r>
    </w:p>
    <w:p>
      <w:pPr>
        <w:spacing w:after="80" w:line="300"/>
        <w:ind w:firstLine="709"/>
        <w:jc w:val="both"/>
      </w:pPr>
      <w:r>
        <w:t xml:space="preserve">Показатель: аммоний-ион в очищенной сточной воде. Исходные данные (условные): σr = 4 %, σRл = 6 %, δ = ±15 %, Δл = 0,84·15 = 12,6 %.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55"/>
        <w:gridCol w:w="2100"/>
        <w:gridCol w:w="21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Вид контроля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Исходные данные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Результат контроля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Норматив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Вывод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Повторяемость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X₁ = 1,32; X₂ = 1,25; X̄ = 1,285 мг/дм³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rк = 0,07 мг/дм³ (5,4 %)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 = 2,77·4 = 11,1 %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Удовлетворительно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Точность по ОК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 = 2,00; X̄ = 2,11 мг/дм³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Кк = 0,11 мг/дм³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 = 0,126·2,00 = 0,252 мг/дм³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Удовлетворительно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Метод добавок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X̄ = 1,285; X̄′ = 3,20; C = 2,00 мг/дм³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Кк = |3,20 − 1,285 − 2,00| = 0,085 мг/дм³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 = √(0,403² + 0,162²) = 0,434 мг/дм³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Удовлетворительно</w:t>
            </w:r>
          </w:p>
        </w:tc>
      </w:tr>
    </w:tbl>
    <w:p>
      <w:pPr>
        <w:spacing w:after="120"/>
      </w:pPr>
    </w:p>
    <w:p>
      <w:pPr>
        <w:spacing w:after="80" w:line="300"/>
        <w:ind w:firstLine="709"/>
        <w:jc w:val="both"/>
      </w:pPr>
      <w:r>
        <w:t xml:space="preserve">Границы контрольной карты повторяемости (в процентах от X̄, σr = 4 %): средняя линия 1,128·4 = 4,5 %; предел предупреждения 2,834·4 = 11,3 %; предел действия 3,686·4 = 14,7 %.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chart" descr="Контрольная карта повторяемости, условные данные" title="Контрольная кар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  <w:szCs w:val="22"/>
        </w:rPr>
        <w:t xml:space="preserve">Рисунок В.1. Контрольная карта повторяемости (условные данные)</w:t>
      </w:r>
    </w:p>
    <w:p>
      <w:pPr>
        <w:spacing w:after="80" w:line="300"/>
        <w:ind w:firstLine="709"/>
        <w:jc w:val="both"/>
      </w:pPr>
      <w:r>
        <w:t xml:space="preserve">Интерпретация. Для точки 18 rк = 12,1 % превышает норматив r = 11,1 %: результат оперативного контроля неудовлетворителен, анализ пробы повторён в соответствии с п. 6.5, повторный результат удовлетворителен. На контрольной карте точка 18 находится между пределом предупреждения и пределом действия; последующие точки (19, 20) лежат ниже предела предупреждения, поэтому признак «две из трёх последовательных точек за пределом предупреждения» не выполняется. Иных признаков нарушения стабильности (п. 7.3) не выявлено: процесс анализа стабилен. Случай фиксируется в журнале ВЛК, за методикой устанавливается усиленное наблюдение на следующие 5 контрольных процедур.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color w:val="555555"/>
        <w:sz w:val="18"/>
        <w:szCs w:val="18"/>
      </w:rPr>
      <w:t xml:space="preserve">ИЛ ООО «Образец» · СМК-П-07-2026 · Редакция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729b24363e80e5403ec7b2b4fa7421b02e7232d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Процедура внутрилабораторного контроля качества результатов испытаний</dc:title>
  <dc:creator>ИЛ ООО «Образец»</dc:creator>
  <cp:lastModifiedBy>Un-named</cp:lastModifiedBy>
  <cp:revision>1</cp:revision>
  <dcterms:created xsi:type="dcterms:W3CDTF">2026-10-14T10:15:49.812Z</dcterms:created>
  <dcterms:modified xsi:type="dcterms:W3CDTF">2026-10-14T10:15:49.813Z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