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color w:val="888888"/>
          <w:sz w:val="24"/>
          <w:szCs w:val="24"/>
        </w:rPr>
        <w:t xml:space="preserve">ADR-002</w:t>
      </w:r>
    </w:p>
    <w:p>
      <w:pPr>
        <w:spacing w:after="200"/>
      </w:pPr>
      <w:r>
        <w:rPr>
          <w:rFonts w:ascii="Calibri" w:cs="Calibri" w:eastAsia="Calibri" w:hAnsi="Calibri"/>
          <w:b/>
          <w:bCs/>
          <w:color w:val="1F3A5F"/>
          <w:sz w:val="44"/>
          <w:szCs w:val="44"/>
        </w:rPr>
        <w:t xml:space="preserve">Multi-Tenant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BFBFBF" w:sz="4"/>
              <w:left w:val="single" w:color="BFBFBF" w:sz="4"/>
              <w:bottom w:val="single" w:color="BFBFBF" w:sz="4"/>
              <w:right w:val="single" w:color="BFBFBF" w:sz="4"/>
            </w:tcBorders>
            <w:shd w:fill="F4F6FA" w:color="auto" w:val="clear"/>
            <w:tcMar>
              <w:top w:type="dxa" w:w="60"/>
              <w:left w:type="dxa" w:w="120"/>
              <w:bottom w:type="dxa" w:w="60"/>
              <w:right w:type="dxa" w:w="120"/>
            </w:tcMar>
          </w:tcPr>
          <w:p>
            <w:r>
              <w:rPr>
                <w:rFonts w:ascii="Calibri" w:cs="Calibri" w:eastAsia="Calibri" w:hAnsi="Calibri"/>
                <w:b/>
                <w:bCs/>
                <w:sz w:val="20"/>
                <w:szCs w:val="20"/>
              </w:rPr>
              <w:t xml:space="preserve">Status</w:t>
            </w:r>
          </w:p>
        </w:tc>
        <w:tc>
          <w:tcPr>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bCs/>
                <w:color w:val="B8860B"/>
                <w:sz w:val="20"/>
                <w:szCs w:val="20"/>
              </w:rPr>
              <w:t xml:space="preserve">PROPOSED — awaiting sign-off</w:t>
            </w:r>
          </w:p>
        </w:tc>
      </w:tr>
      <w:tr>
        <w:tc>
          <w:tcPr>
            <w:tcBorders>
              <w:top w:val="single" w:color="BFBFBF" w:sz="4"/>
              <w:left w:val="single" w:color="BFBFBF" w:sz="4"/>
              <w:bottom w:val="single" w:color="BFBFBF" w:sz="4"/>
              <w:right w:val="single" w:color="BFBFBF" w:sz="4"/>
            </w:tcBorders>
            <w:shd w:fill="F4F6FA" w:color="auto" w:val="clear"/>
            <w:tcMar>
              <w:top w:type="dxa" w:w="60"/>
              <w:left w:type="dxa" w:w="120"/>
              <w:bottom w:type="dxa" w:w="60"/>
              <w:right w:type="dxa" w:w="120"/>
            </w:tcMar>
          </w:tcPr>
          <w:p>
            <w:r>
              <w:rPr>
                <w:rFonts w:ascii="Calibri" w:cs="Calibri" w:eastAsia="Calibri" w:hAnsi="Calibri"/>
                <w:b/>
                <w:bCs/>
                <w:sz w:val="20"/>
                <w:szCs w:val="20"/>
              </w:rPr>
              <w:t xml:space="preserve">Date</w:t>
            </w:r>
          </w:p>
        </w:tc>
        <w:tc>
          <w:tcPr>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16 May 2026</w:t>
            </w:r>
          </w:p>
        </w:tc>
      </w:tr>
      <w:tr>
        <w:tc>
          <w:tcPr>
            <w:tcBorders>
              <w:top w:val="single" w:color="BFBFBF" w:sz="4"/>
              <w:left w:val="single" w:color="BFBFBF" w:sz="4"/>
              <w:bottom w:val="single" w:color="BFBFBF" w:sz="4"/>
              <w:right w:val="single" w:color="BFBFBF" w:sz="4"/>
            </w:tcBorders>
            <w:shd w:fill="F4F6FA" w:color="auto" w:val="clear"/>
            <w:tcMar>
              <w:top w:type="dxa" w:w="60"/>
              <w:left w:type="dxa" w:w="120"/>
              <w:bottom w:type="dxa" w:w="60"/>
              <w:right w:type="dxa" w:w="120"/>
            </w:tcMar>
          </w:tcPr>
          <w:p>
            <w:r>
              <w:rPr>
                <w:rFonts w:ascii="Calibri" w:cs="Calibri" w:eastAsia="Calibri" w:hAnsi="Calibri"/>
                <w:b/>
                <w:bCs/>
                <w:sz w:val="20"/>
                <w:szCs w:val="20"/>
              </w:rPr>
              <w:t xml:space="preserve">Related</w:t>
            </w:r>
          </w:p>
        </w:tc>
        <w:tc>
          <w:tcPr>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Charter §6, §6.7, §9.5; Decision Log D-002, D-022</w:t>
            </w:r>
          </w:p>
        </w:tc>
      </w:tr>
      <w:tr>
        <w:tc>
          <w:tcPr>
            <w:tcBorders>
              <w:top w:val="single" w:color="BFBFBF" w:sz="4"/>
              <w:left w:val="single" w:color="BFBFBF" w:sz="4"/>
              <w:bottom w:val="single" w:color="BFBFBF" w:sz="4"/>
              <w:right w:val="single" w:color="BFBFBF" w:sz="4"/>
            </w:tcBorders>
            <w:shd w:fill="F4F6FA" w:color="auto" w:val="clear"/>
            <w:tcMar>
              <w:top w:type="dxa" w:w="60"/>
              <w:left w:type="dxa" w:w="120"/>
              <w:bottom w:type="dxa" w:w="60"/>
              <w:right w:type="dxa" w:w="120"/>
            </w:tcMar>
          </w:tcPr>
          <w:p>
            <w:r>
              <w:rPr>
                <w:rFonts w:ascii="Calibri" w:cs="Calibri" w:eastAsia="Calibri" w:hAnsi="Calibri"/>
                <w:b/>
                <w:bCs/>
                <w:sz w:val="20"/>
                <w:szCs w:val="20"/>
              </w:rPr>
              <w:t xml:space="preserve">Implements in</w:t>
            </w:r>
          </w:p>
        </w:tc>
        <w:tc>
          <w:tcPr>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sz w:val="20"/>
                <w:szCs w:val="20"/>
              </w:rPr>
              <w:t xml:space="preserve">Sprint S1 (Weeks 3–4)</w:t>
            </w:r>
          </w:p>
        </w:tc>
      </w:tr>
    </w:tbl>
    <w:p>
      <w:pPr>
        <w:spacing w:after="80"/>
      </w:pPr>
      <w:r>
        <w:t xml:space="preserve"/>
      </w:r>
    </w:p>
    <w:p>
      <w:pPr>
        <w:spacing w:after="80"/>
      </w:pPr>
      <w:r>
        <w:t xml:space="preserve"/>
      </w:r>
    </w:p>
    <w:p>
      <w:pPr>
        <w:pStyle w:val="Heading1"/>
        <w:spacing w:after="180" w:before="360"/>
      </w:pPr>
      <w:r>
        <w:rPr>
          <w:rFonts w:ascii="Calibri" w:cs="Calibri" w:eastAsia="Calibri" w:hAnsi="Calibri"/>
          <w:b/>
          <w:bCs/>
          <w:color w:val="1F3A5F"/>
          <w:sz w:val="36"/>
          <w:szCs w:val="36"/>
        </w:rPr>
        <w:t xml:space="preserve">1. Context</w:t>
      </w:r>
    </w:p>
    <w:p>
      <w:pPr>
        <w:spacing w:after="120" w:line="300"/>
      </w:pPr>
      <w:r>
        <w:rPr>
          <w:rFonts w:ascii="Calibri" w:cs="Calibri" w:eastAsia="Calibri" w:hAnsi="Calibri"/>
          <w:sz w:val="22"/>
          <w:szCs w:val="22"/>
        </w:rPr>
        <w:t xml:space="preserve">Charter §6 establishes that OmniXtra adopts a shared-database, shared-schema multi-tenant model with tenant_id discrimination. The reasoning for that high-level choice — versus schema-per-tenant or database-per-tenant — is in §6.1 and §15 D-002, and is not re-litigated here.</w:t>
      </w:r>
    </w:p>
    <w:p>
      <w:pPr>
        <w:spacing w:after="120" w:line="300"/>
      </w:pPr>
      <w:r>
        <w:rPr>
          <w:rFonts w:ascii="Calibri" w:cs="Calibri" w:eastAsia="Calibri" w:hAnsi="Calibri"/>
          <w:sz w:val="22"/>
          <w:szCs w:val="22"/>
        </w:rPr>
        <w:t xml:space="preserve">What the Charter leaves open, and what this ADR fixes, is how that model is enforced. A shared-schema model places existential weight on the correctness of one filter on every query — too much weight for one mechanism to bear. This ADR specifies the three independent enforcement layers, the database role configuration, the test coverage requirements, and the failure-mode contract.</w:t>
      </w:r>
    </w:p>
    <w:p>
      <w:pPr>
        <w:pStyle w:val="Heading2"/>
        <w:spacing w:after="140" w:before="280"/>
      </w:pPr>
      <w:r>
        <w:rPr>
          <w:rFonts w:ascii="Calibri" w:cs="Calibri" w:eastAsia="Calibri" w:hAnsi="Calibri"/>
          <w:b/>
          <w:bCs/>
          <w:color w:val="2E5C8A"/>
          <w:sz w:val="28"/>
          <w:szCs w:val="28"/>
        </w:rPr>
        <w:t xml:space="preserve">1.1 Requirements</w:t>
      </w:r>
    </w:p>
    <w:p>
      <w:pPr>
        <w:pStyle w:val="ListParagraph"/>
        <w:numPr>
          <w:ilvl w:val="0"/>
          <w:numId w:val="2"/>
        </w:numPr>
        <w:spacing w:after="60" w:line="290"/>
      </w:pPr>
      <w:r>
        <w:rPr>
          <w:rFonts w:ascii="Calibri" w:cs="Calibri" w:eastAsia="Calibri" w:hAnsi="Calibri"/>
          <w:b/>
          <w:bCs/>
          <w:sz w:val="22"/>
          <w:szCs w:val="22"/>
        </w:rPr>
        <w:t xml:space="preserve">R-1 Fail-closed</w:t>
      </w:r>
      <w:r>
        <w:rPr>
          <w:rFonts w:ascii="Calibri" w:cs="Calibri" w:eastAsia="Calibri" w:hAnsi="Calibri"/>
          <w:sz w:val="22"/>
          <w:szCs w:val="22"/>
        </w:rPr>
        <w:t xml:space="preserve"> — a query missing a tenant filter must return zero rows, not all rows.</w:t>
      </w:r>
    </w:p>
    <w:p>
      <w:pPr>
        <w:pStyle w:val="ListParagraph"/>
        <w:numPr>
          <w:ilvl w:val="0"/>
          <w:numId w:val="2"/>
        </w:numPr>
        <w:spacing w:after="60" w:line="290"/>
      </w:pPr>
      <w:r>
        <w:rPr>
          <w:rFonts w:ascii="Calibri" w:cs="Calibri" w:eastAsia="Calibri" w:hAnsi="Calibri"/>
          <w:b/>
          <w:bCs/>
          <w:sz w:val="22"/>
          <w:szCs w:val="22"/>
        </w:rPr>
        <w:t xml:space="preserve">R-2 Defence-in-depth</w:t>
      </w:r>
      <w:r>
        <w:rPr>
          <w:rFonts w:ascii="Calibri" w:cs="Calibri" w:eastAsia="Calibri" w:hAnsi="Calibri"/>
          <w:sz w:val="22"/>
          <w:szCs w:val="22"/>
        </w:rPr>
        <w:t xml:space="preserve"> — at least two independent mechanisms must be bypassed before a leak is possible.</w:t>
      </w:r>
    </w:p>
    <w:p>
      <w:pPr>
        <w:pStyle w:val="ListParagraph"/>
        <w:numPr>
          <w:ilvl w:val="0"/>
          <w:numId w:val="2"/>
        </w:numPr>
        <w:spacing w:after="60" w:line="290"/>
      </w:pPr>
      <w:r>
        <w:rPr>
          <w:rFonts w:ascii="Calibri" w:cs="Calibri" w:eastAsia="Calibri" w:hAnsi="Calibri"/>
          <w:b/>
          <w:bCs/>
          <w:sz w:val="22"/>
          <w:szCs w:val="22"/>
        </w:rPr>
        <w:t xml:space="preserve">R-3 Application-agnostic</w:t>
      </w:r>
      <w:r>
        <w:rPr>
          <w:rFonts w:ascii="Calibri" w:cs="Calibri" w:eastAsia="Calibri" w:hAnsi="Calibri"/>
          <w:sz w:val="22"/>
          <w:szCs w:val="22"/>
        </w:rPr>
        <w:t xml:space="preserve"> — even raw SQL via the application database role must respect tenant boundaries.</w:t>
      </w:r>
    </w:p>
    <w:p>
      <w:pPr>
        <w:pStyle w:val="ListParagraph"/>
        <w:numPr>
          <w:ilvl w:val="0"/>
          <w:numId w:val="2"/>
        </w:numPr>
        <w:spacing w:after="60" w:line="290"/>
      </w:pPr>
      <w:r>
        <w:rPr>
          <w:rFonts w:ascii="Calibri" w:cs="Calibri" w:eastAsia="Calibri" w:hAnsi="Calibri"/>
          <w:b/>
          <w:bCs/>
          <w:sz w:val="22"/>
          <w:szCs w:val="22"/>
        </w:rPr>
        <w:t xml:space="preserve">R-4 Testable</w:t>
      </w:r>
      <w:r>
        <w:rPr>
          <w:rFonts w:ascii="Calibri" w:cs="Calibri" w:eastAsia="Calibri" w:hAnsi="Calibri"/>
          <w:sz w:val="22"/>
          <w:szCs w:val="22"/>
        </w:rPr>
        <w:t xml:space="preserve"> — every endpoint covered by an automated cross-tenant attack test; coverage enforced by CI.</w:t>
      </w:r>
    </w:p>
    <w:p>
      <w:pPr>
        <w:pStyle w:val="ListParagraph"/>
        <w:numPr>
          <w:ilvl w:val="0"/>
          <w:numId w:val="2"/>
        </w:numPr>
        <w:spacing w:after="60" w:line="290"/>
      </w:pPr>
      <w:r>
        <w:rPr>
          <w:rFonts w:ascii="Calibri" w:cs="Calibri" w:eastAsia="Calibri" w:hAnsi="Calibri"/>
          <w:b/>
          <w:bCs/>
          <w:sz w:val="22"/>
          <w:szCs w:val="22"/>
        </w:rPr>
        <w:t xml:space="preserve">R-5 Auditable bypass</w:t>
      </w:r>
      <w:r>
        <w:rPr>
          <w:rFonts w:ascii="Calibri" w:cs="Calibri" w:eastAsia="Calibri" w:hAnsi="Calibri"/>
          <w:sz w:val="22"/>
          <w:szCs w:val="22"/>
        </w:rPr>
        <w:t xml:space="preserve"> — any access path that legitimately spans tenants is explicit, opt-in, audit-logged, and uses a distinct database role.</w:t>
      </w:r>
    </w:p>
    <w:p>
      <w:pPr>
        <w:pStyle w:val="ListParagraph"/>
        <w:numPr>
          <w:ilvl w:val="0"/>
          <w:numId w:val="2"/>
        </w:numPr>
        <w:spacing w:after="60" w:line="290"/>
      </w:pPr>
      <w:r>
        <w:rPr>
          <w:rFonts w:ascii="Calibri" w:cs="Calibri" w:eastAsia="Calibri" w:hAnsi="Calibri"/>
          <w:b/>
          <w:bCs/>
          <w:sz w:val="22"/>
          <w:szCs w:val="22"/>
        </w:rPr>
        <w:t xml:space="preserve">R-6 Performant</w:t>
      </w:r>
      <w:r>
        <w:rPr>
          <w:rFonts w:ascii="Calibri" w:cs="Calibri" w:eastAsia="Calibri" w:hAnsi="Calibri"/>
          <w:sz w:val="22"/>
          <w:szCs w:val="22"/>
        </w:rPr>
        <w:t xml:space="preserve"> — total isolation overhead under ~5% of query latency on representative workloads.</w:t>
      </w:r>
    </w:p>
    <w:p>
      <w:pPr>
        <w:spacing w:after="80"/>
      </w:pPr>
      <w:r>
        <w:t xml:space="preserve"/>
      </w:r>
    </w:p>
    <w:p>
      <w:pPr>
        <w:spacing w:after="80"/>
      </w:pPr>
      <w:r>
        <w:t xml:space="preserve"/>
      </w:r>
    </w:p>
    <w:p>
      <w:pPr>
        <w:pStyle w:val="Heading1"/>
        <w:spacing w:after="180" w:before="360"/>
      </w:pPr>
      <w:r>
        <w:rPr>
          <w:rFonts w:ascii="Calibri" w:cs="Calibri" w:eastAsia="Calibri" w:hAnsi="Calibri"/>
          <w:b/>
          <w:bCs/>
          <w:color w:val="1F3A5F"/>
          <w:sz w:val="36"/>
          <w:szCs w:val="36"/>
        </w:rPr>
        <w:t xml:space="preserve">2. Decision</w:t>
      </w:r>
    </w:p>
    <w:p>
      <w:pPr>
        <w:spacing w:after="120" w:line="300"/>
      </w:pPr>
      <w:r>
        <w:rPr>
          <w:rFonts w:ascii="Calibri" w:cs="Calibri" w:eastAsia="Calibri" w:hAnsi="Calibri"/>
          <w:sz w:val="22"/>
          <w:szCs w:val="22"/>
        </w:rPr>
        <w:t xml:space="preserve">Tenant isolation is enforced at three independent layers, each fail-closed: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Layer</w:t>
            </w:r>
          </w:p>
        </w:tc>
        <w:tc>
          <w:tcPr>
            <w:tcW w:type="dxa" w:w="20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Where it runs</w:t>
            </w:r>
          </w:p>
        </w:tc>
        <w:tc>
          <w:tcPr>
            <w:tcW w:type="dxa" w:w="556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What it does</w:t>
            </w:r>
          </w:p>
        </w:tc>
      </w:tr>
      <w:tr>
        <w:tc>
          <w:tcPr>
            <w:tcW w:type="dxa" w:w="1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L1 — Request context</w:t>
            </w:r>
          </w:p>
        </w:tc>
        <w:tc>
          <w:tcPr>
            <w:tcW w:type="dxa" w:w="2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API middleware</w:t>
            </w:r>
          </w:p>
        </w:tc>
        <w:tc>
          <w:tcPr>
            <w:tcW w:type="dxa" w:w="55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Resolves the tenant from the request (subdomain in the host header, or claim in the JWT for API calls) and binds it to the request scope. Downstream code that needs a tenant context but finds none raises immediately — it does not silently default to anything.</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L2 — ORM query filter</w:t>
            </w:r>
          </w:p>
        </w:tc>
        <w:tc>
          <w:tcPr>
            <w:tcW w:type="dxa" w:w="2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Application database session</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Intercepts every ORM query for a tenant-owned model and injects the tenant_id predicate. Inserts auto-populate tenant_id from the request context. Bypass is possible only via an explicit, grep-able execution option, used by a small, audited set of code paths.</w:t>
            </w:r>
          </w:p>
        </w:tc>
      </w:tr>
      <w:tr>
        <w:tc>
          <w:tcPr>
            <w:tcW w:type="dxa" w:w="1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L3 — Row-Level Security</w:t>
            </w:r>
          </w:p>
        </w:tc>
        <w:tc>
          <w:tcPr>
            <w:tcW w:type="dxa" w:w="20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Postgres</w:t>
            </w:r>
          </w:p>
        </w:tc>
        <w:tc>
          <w:tcPr>
            <w:tcW w:type="dxa" w:w="55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Policies on every tenant-owned table reference a session-local variable set by the application connection. Forced — even the table owner respects them. Acts as the final safety net against raw SQL, buggy ORM emissions, and data migrations that forget tenant scoping.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C8A" w:sz="12"/>
              <w:left w:val="single" w:color="2E5C8A" w:sz="24"/>
              <w:bottom w:val="single" w:color="2E5C8A" w:sz="12"/>
              <w:right w:val="single" w:color="2E5C8A" w:sz="12"/>
            </w:tcBorders>
            <w:shd w:fill="E8F1FF" w:color="auto" w:val="clear"/>
            <w:tcMar>
              <w:top w:type="dxa" w:w="160"/>
              <w:left w:type="dxa" w:w="200"/>
              <w:bottom w:type="dxa" w:w="160"/>
              <w:right w:type="dxa" w:w="200"/>
            </w:tcMar>
          </w:tcPr>
          <w:p>
            <w:pPr>
              <w:spacing w:after="80"/>
            </w:pPr>
            <w:r>
              <w:rPr>
                <w:rFonts w:ascii="Calibri" w:cs="Calibri" w:eastAsia="Calibri" w:hAnsi="Calibri"/>
                <w:b/>
                <w:bCs/>
                <w:color w:val="5C4419"/>
                <w:sz w:val="22"/>
                <w:szCs w:val="22"/>
              </w:rPr>
              <w:t xml:space="preserve">Why three layers and not two</w:t>
            </w:r>
          </w:p>
          <w:p>
            <w:r>
              <w:rPr>
                <w:rFonts w:ascii="Calibri" w:cs="Calibri" w:eastAsia="Calibri" w:hAnsi="Calibri"/>
                <w:color w:val="333333"/>
                <w:sz w:val="22"/>
                <w:szCs w:val="22"/>
              </w:rPr>
              <w:t xml:space="preserve">Two would technically satisfy R-2. The third (RLS) is there specifically to cover raw SQL and ORM-bypass paths: ad-hoc data fixes via psql, Alembic data migrations that emit unwrapped SQL, third-party libraries that issue text() queries, and the inevitable bug that lets a poorly-formed query slip past Layer 2. RLS protects against the application code itself.</w:t>
            </w:r>
          </w:p>
        </w:tc>
      </w:tr>
    </w:tbl>
    <w:p>
      <w:pPr>
        <w:pStyle w:val="Heading2"/>
        <w:spacing w:after="140" w:before="280"/>
      </w:pPr>
      <w:r>
        <w:rPr>
          <w:rFonts w:ascii="Calibri" w:cs="Calibri" w:eastAsia="Calibri" w:hAnsi="Calibri"/>
          <w:b/>
          <w:bCs/>
          <w:color w:val="2E5C8A"/>
          <w:sz w:val="28"/>
          <w:szCs w:val="28"/>
        </w:rPr>
        <w:t xml:space="preserve">2.1 Database roles</w:t>
      </w:r>
    </w:p>
    <w:p>
      <w:pPr>
        <w:spacing w:after="120" w:line="300"/>
      </w:pPr>
      <w:r>
        <w:rPr>
          <w:rFonts w:ascii="Calibri" w:cs="Calibri" w:eastAsia="Calibri" w:hAnsi="Calibri"/>
          <w:sz w:val="22"/>
          <w:szCs w:val="22"/>
        </w:rPr>
        <w:t xml:space="preserve">Three distinct Postgres roles, each with carefully bounded privileges. The application never connects as a role that bypasses 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360"/>
      </w:tblGrid>
      <w:tr>
        <w:trPr>
          <w:tblHeader/>
        </w:trPr>
        <w:tc>
          <w:tcPr>
            <w:tcW w:type="dxa" w:w="24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Role</w:t>
            </w:r>
          </w:p>
        </w:tc>
        <w:tc>
          <w:tcPr>
            <w:tcW w:type="dxa" w:w="28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Used by</w:t>
            </w:r>
          </w:p>
        </w:tc>
        <w:tc>
          <w:tcPr>
            <w:tcW w:type="dxa" w:w="18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RLS</w:t>
            </w:r>
          </w:p>
        </w:tc>
        <w:tc>
          <w:tcPr>
            <w:tcW w:type="dxa" w:w="236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Notes</w:t>
            </w:r>
          </w:p>
        </w:tc>
      </w:tr>
      <w:tr>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omnixtra_app</w:t>
            </w:r>
          </w:p>
        </w:tc>
        <w:tc>
          <w:tcPr>
            <w:tcW w:type="dxa" w:w="2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FastAPI runtime, background workers</w:t>
            </w:r>
          </w:p>
        </w:tc>
        <w:tc>
          <w:tcPr>
            <w:tcW w:type="dxa" w:w="1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Enforced</w:t>
            </w:r>
          </w:p>
        </w:tc>
        <w:tc>
          <w:tcPr>
            <w:tcW w:type="dxa" w:w="23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The default role for all production application traffic. No BYPASSRLS.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omnixtra_migrations</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Alembic</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Enforced (but operates outside request context)</w:t>
            </w:r>
          </w:p>
        </w:tc>
        <w:tc>
          <w:tcPr>
            <w:tcW w:type="dxa" w:w="23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Data migrations that touch tenant rows must set the tenant context explicitly per batch.</w:t>
            </w:r>
          </w:p>
        </w:tc>
      </w:tr>
      <w:tr>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omnixtra_superadmin</w:t>
            </w:r>
          </w:p>
        </w:tc>
        <w:tc>
          <w:tcPr>
            <w:tcW w:type="dxa" w:w="2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Internal support tooling only</w:t>
            </w:r>
          </w:p>
        </w:tc>
        <w:tc>
          <w:tcPr>
            <w:tcW w:type="dxa" w:w="18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BYPASSRLS</w:t>
            </w:r>
          </w:p>
        </w:tc>
        <w:tc>
          <w:tcPr>
            <w:tcW w:type="dxa" w:w="23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Read-only at the SQL level. Every session connection audit-logged externally; not reachable from the application.</w:t>
            </w:r>
          </w:p>
        </w:tc>
      </w:tr>
    </w:tbl>
    <w:p>
      <w:pPr>
        <w:spacing w:after="80"/>
      </w:pPr>
      <w:r>
        <w:t xml:space="preserve"/>
      </w:r>
    </w:p>
    <w:p>
      <w:pPr>
        <w:pStyle w:val="Heading2"/>
        <w:spacing w:after="140" w:before="280"/>
      </w:pPr>
      <w:r>
        <w:rPr>
          <w:rFonts w:ascii="Calibri" w:cs="Calibri" w:eastAsia="Calibri" w:hAnsi="Calibri"/>
          <w:b/>
          <w:bCs/>
          <w:color w:val="2E5C8A"/>
          <w:sz w:val="28"/>
          <w:szCs w:val="28"/>
        </w:rPr>
        <w:t xml:space="preserve">2.2 Tenant-owned vs global tables</w:t>
      </w:r>
    </w:p>
    <w:p>
      <w:pPr>
        <w:spacing w:after="120" w:line="300"/>
      </w:pPr>
      <w:r>
        <w:rPr>
          <w:rFonts w:ascii="Calibri" w:cs="Calibri" w:eastAsia="Calibri" w:hAnsi="Calibri"/>
          <w:sz w:val="22"/>
          <w:szCs w:val="22"/>
        </w:rPr>
        <w:t xml:space="preserve">A table is either tenant-owned (carries tenant_id, has RLS enabled, inherits a shared base model in the ORM) or global (no tenant_id, no RLS). The distinction is made at table-creation time and recorded in the model definition. Mixing the two on one table is forbidden.</w:t>
      </w:r>
    </w:p>
    <w:p>
      <w:pPr>
        <w:spacing w:after="120" w:line="300"/>
      </w:pPr>
      <w:r>
        <w:rPr>
          <w:rFonts w:ascii="Calibri" w:cs="Calibri" w:eastAsia="Calibri" w:hAnsi="Calibri"/>
          <w:sz w:val="22"/>
          <w:szCs w:val="22"/>
        </w:rPr>
        <w:t xml:space="preserve">Global tables are limited to: the tenant table itself, plan/pricing reference data, system configuration, and the system-level audit log. Everything else — users, courses, lessons, enrolments, progress, embeddings, conversations, the tenant-scoped audit log — is tenant-owned.</w:t>
      </w:r>
    </w:p>
    <w:p>
      <w:pPr>
        <w:spacing w:after="120" w:line="300"/>
      </w:pPr>
      <w:r>
        <w:rPr>
          <w:rFonts w:ascii="Calibri" w:cs="Calibri" w:eastAsia="Calibri" w:hAnsi="Calibri"/>
          <w:sz w:val="22"/>
          <w:szCs w:val="22"/>
        </w:rPr>
        <w:t xml:space="preserve">A small number of cross-tenant tables are anticipated for Phase 3 (marketplace listings, which by design are visible to both buyer and seller tenants). These get custom RLS policies and are designed deliberately in a separate ADR (ADR-008, future).</w:t>
      </w:r>
    </w:p>
    <w:p>
      <w:r>
        <w:br w:type="page"/>
      </w:r>
    </w:p>
    <w:p>
      <w:pPr>
        <w:pStyle w:val="Heading1"/>
        <w:spacing w:after="180" w:before="360"/>
      </w:pPr>
      <w:r>
        <w:rPr>
          <w:rFonts w:ascii="Calibri" w:cs="Calibri" w:eastAsia="Calibri" w:hAnsi="Calibri"/>
          <w:b/>
          <w:bCs/>
          <w:color w:val="1F3A5F"/>
          <w:sz w:val="36"/>
          <w:szCs w:val="36"/>
        </w:rPr>
        <w:t xml:space="preserve">3. Approach (Implementation Guidance)</w:t>
      </w:r>
    </w:p>
    <w:p>
      <w:pPr>
        <w:spacing w:after="120" w:line="300"/>
      </w:pPr>
      <w:r>
        <w:rPr>
          <w:rFonts w:ascii="Calibri" w:cs="Calibri" w:eastAsia="Calibri" w:hAnsi="Calibri"/>
          <w:sz w:val="22"/>
          <w:szCs w:val="22"/>
        </w:rPr>
        <w:t xml:space="preserve">Implementation details — exact module paths, function signatures, migration SQL — are deferred to sprint S1. This section sets the shape of the solution so the implementing engineer has a clear target without being constrained on the small choices.</w:t>
      </w:r>
    </w:p>
    <w:p>
      <w:pPr>
        <w:pStyle w:val="Heading2"/>
        <w:spacing w:after="140" w:before="280"/>
      </w:pPr>
      <w:r>
        <w:rPr>
          <w:rFonts w:ascii="Calibri" w:cs="Calibri" w:eastAsia="Calibri" w:hAnsi="Calibri"/>
          <w:b/>
          <w:bCs/>
          <w:color w:val="2E5C8A"/>
          <w:sz w:val="28"/>
          <w:szCs w:val="28"/>
        </w:rPr>
        <w:t xml:space="preserve">3.1 Layer 1 — Request context</w:t>
      </w:r>
    </w:p>
    <w:p>
      <w:pPr>
        <w:spacing w:after="120" w:line="300"/>
      </w:pPr>
      <w:r>
        <w:rPr>
          <w:rFonts w:ascii="Calibri" w:cs="Calibri" w:eastAsia="Calibri" w:hAnsi="Calibri"/>
          <w:sz w:val="22"/>
          <w:szCs w:val="22"/>
        </w:rPr>
        <w:t xml:space="preserve">A request-scoped tenant identifier is set by an early middleware and made available to all downstream code (services, repositories, ORM session events, logging) without being passed explicitly as a function argument. Python's contextvars module is the natural fit — async-safe, request-isolated, no thread-local pitfalls.</w:t>
      </w:r>
    </w:p>
    <w:p>
      <w:pPr>
        <w:spacing w:after="120" w:line="300"/>
      </w:pPr>
      <w:r>
        <w:rPr>
          <w:rFonts w:ascii="Calibri" w:cs="Calibri" w:eastAsia="Calibri" w:hAnsi="Calibri"/>
          <w:sz w:val="22"/>
          <w:szCs w:val="22"/>
        </w:rPr>
        <w:t xml:space="preserve">Tenant resolution happens at the middleware layer:</w:t>
      </w:r>
    </w:p>
    <w:p>
      <w:pPr>
        <w:pStyle w:val="ListParagraph"/>
        <w:numPr>
          <w:ilvl w:val="0"/>
          <w:numId w:val="2"/>
        </w:numPr>
        <w:spacing w:after="60" w:line="290"/>
      </w:pPr>
      <w:r>
        <w:rPr>
          <w:rFonts w:ascii="Calibri" w:cs="Calibri" w:eastAsia="Calibri" w:hAnsi="Calibri"/>
          <w:sz w:val="22"/>
          <w:szCs w:val="22"/>
        </w:rPr>
        <w:t xml:space="preserve">For browser traffic, the tenant is identified by the subdomain in the Host header.</w:t>
      </w:r>
    </w:p>
    <w:p>
      <w:pPr>
        <w:pStyle w:val="ListParagraph"/>
        <w:numPr>
          <w:ilvl w:val="0"/>
          <w:numId w:val="2"/>
        </w:numPr>
        <w:spacing w:after="60" w:line="290"/>
      </w:pPr>
      <w:r>
        <w:rPr>
          <w:rFonts w:ascii="Calibri" w:cs="Calibri" w:eastAsia="Calibri" w:hAnsi="Calibri"/>
          <w:sz w:val="22"/>
          <w:szCs w:val="22"/>
        </w:rPr>
        <w:t xml:space="preserve">For programmatic API traffic (e.g. webhooks back, future MCP server), the tenant is identified by a claim on the authenticated principal.</w:t>
      </w:r>
    </w:p>
    <w:p>
      <w:pPr>
        <w:pStyle w:val="ListParagraph"/>
        <w:numPr>
          <w:ilvl w:val="0"/>
          <w:numId w:val="2"/>
        </w:numPr>
        <w:spacing w:after="60" w:line="290"/>
      </w:pPr>
      <w:r>
        <w:rPr>
          <w:rFonts w:ascii="Calibri" w:cs="Calibri" w:eastAsia="Calibri" w:hAnsi="Calibri"/>
          <w:sz w:val="22"/>
          <w:szCs w:val="22"/>
        </w:rPr>
        <w:t xml:space="preserve">Reserved subdomains (www, app, api, admin, status, docs, blog, mail) are not valid tenant slugs. A reserved-subdomain list is maintained alongside the resolver.</w:t>
      </w:r>
    </w:p>
    <w:p>
      <w:pPr>
        <w:pStyle w:val="ListParagraph"/>
        <w:numPr>
          <w:ilvl w:val="0"/>
          <w:numId w:val="2"/>
        </w:numPr>
        <w:spacing w:after="60" w:line="290"/>
      </w:pPr>
      <w:r>
        <w:rPr>
          <w:rFonts w:ascii="Calibri" w:cs="Calibri" w:eastAsia="Calibri" w:hAnsi="Calibri"/>
          <w:sz w:val="22"/>
          <w:szCs w:val="22"/>
        </w:rPr>
        <w:t xml:space="preserve">Failure to resolve returns 404, never 403 — Charter §6.7 prohibits any error variation that would let an attacker enumerate which subdomains correspond to real tenants.</w:t>
      </w:r>
    </w:p>
    <w:p>
      <w:pPr>
        <w:spacing w:after="120" w:line="300"/>
      </w:pPr>
      <w:r>
        <w:rPr>
          <w:rFonts w:ascii="Calibri" w:cs="Calibri" w:eastAsia="Calibri" w:hAnsi="Calibri"/>
          <w:sz w:val="22"/>
          <w:szCs w:val="22"/>
        </w:rPr>
        <w:t xml:space="preserve">A small set of paths are explicitly exempt from tenant resolution (healthchecks, auth signup, login). The exempt list is a security-sensitive registry — adding to it requires review.</w:t>
      </w:r>
    </w:p>
    <w:p>
      <w:pPr>
        <w:pStyle w:val="Heading2"/>
        <w:spacing w:after="140" w:before="280"/>
      </w:pPr>
      <w:r>
        <w:rPr>
          <w:rFonts w:ascii="Calibri" w:cs="Calibri" w:eastAsia="Calibri" w:hAnsi="Calibri"/>
          <w:b/>
          <w:bCs/>
          <w:color w:val="2E5C8A"/>
          <w:sz w:val="28"/>
          <w:szCs w:val="28"/>
        </w:rPr>
        <w:t xml:space="preserve">3.2 Layer 2 — ORM query filter</w:t>
      </w:r>
    </w:p>
    <w:p>
      <w:pPr>
        <w:spacing w:after="120" w:line="300"/>
      </w:pPr>
      <w:r>
        <w:rPr>
          <w:rFonts w:ascii="Calibri" w:cs="Calibri" w:eastAsia="Calibri" w:hAnsi="Calibri"/>
          <w:sz w:val="22"/>
          <w:szCs w:val="22"/>
        </w:rPr>
        <w:t xml:space="preserve">The application ORM intercepts queries at the session level and injects the tenant predicate for any query that touches a tenant-owned model. This must apply to SELECT, UPDATE, and DELETE, and to joined and eager-loaded relationships — not just the top-level entity. The mechanism must also auto-populate tenant_id on INSERT so application code never needs to pass it explicitly.</w:t>
      </w:r>
    </w:p>
    <w:p>
      <w:pPr>
        <w:spacing w:after="120" w:line="300"/>
      </w:pPr>
      <w:r>
        <w:rPr>
          <w:rFonts w:ascii="Calibri" w:cs="Calibri" w:eastAsia="Calibri" w:hAnsi="Calibri"/>
          <w:sz w:val="22"/>
          <w:szCs w:val="22"/>
        </w:rPr>
        <w:t xml:space="preserve">Bypass is possible only via an explicit, named execution option on a per-query basis. Code paths that legitimately span tenants (the tenant resolver itself, the superadmin tooling) opt in by setting this option. A grep over the codebase for the option name yields the complete list of bypass sites; CI can enforce a maximum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2"/>
              <w:left w:val="single" w:color="B91C1C" w:sz="24"/>
              <w:bottom w:val="single" w:color="B91C1C" w:sz="12"/>
              <w:right w:val="single" w:color="B91C1C" w:sz="12"/>
            </w:tcBorders>
            <w:shd w:fill="FFE4E1" w:color="auto" w:val="clear"/>
            <w:tcMar>
              <w:top w:type="dxa" w:w="160"/>
              <w:left w:type="dxa" w:w="200"/>
              <w:bottom w:type="dxa" w:w="160"/>
              <w:right w:type="dxa" w:w="200"/>
            </w:tcMar>
          </w:tcPr>
          <w:p>
            <w:pPr>
              <w:spacing w:after="80"/>
            </w:pPr>
            <w:r>
              <w:rPr>
                <w:rFonts w:ascii="Calibri" w:cs="Calibri" w:eastAsia="Calibri" w:hAnsi="Calibri"/>
                <w:b/>
                <w:bCs/>
                <w:color w:val="5C4419"/>
                <w:sz w:val="22"/>
                <w:szCs w:val="22"/>
              </w:rPr>
              <w:t xml:space="preserve">The most fragile part</w:t>
            </w:r>
          </w:p>
          <w:p>
            <w:r>
              <w:rPr>
                <w:rFonts w:ascii="Calibri" w:cs="Calibri" w:eastAsia="Calibri" w:hAnsi="Calibri"/>
                <w:color w:val="333333"/>
                <w:sz w:val="22"/>
                <w:szCs w:val="22"/>
              </w:rPr>
              <w:t xml:space="preserve">Connection pooling combined with session-local variables is the historic foot-gun in this architecture: a connection returned to the pool with Tenant A's variable still set, then handed to a request for Tenant B before the variable updates. The implementation must set the tenant variable before every cursor execution (not just on pool checkout) and explicitly clear it whenever no tenant context is active. The Layer-3 test in §4.2 is what proves this property holds.</w:t>
            </w:r>
          </w:p>
        </w:tc>
      </w:tr>
    </w:tbl>
    <w:p>
      <w:pPr>
        <w:pStyle w:val="Heading2"/>
        <w:spacing w:after="140" w:before="280"/>
      </w:pPr>
      <w:r>
        <w:rPr>
          <w:rFonts w:ascii="Calibri" w:cs="Calibri" w:eastAsia="Calibri" w:hAnsi="Calibri"/>
          <w:b/>
          <w:bCs/>
          <w:color w:val="2E5C8A"/>
          <w:sz w:val="28"/>
          <w:szCs w:val="28"/>
        </w:rPr>
        <w:t xml:space="preserve">3.3 Layer 3 — Postgres Row-Level Security</w:t>
      </w:r>
    </w:p>
    <w:p>
      <w:pPr>
        <w:spacing w:after="120" w:line="300"/>
      </w:pPr>
      <w:r>
        <w:rPr>
          <w:rFonts w:ascii="Calibri" w:cs="Calibri" w:eastAsia="Calibri" w:hAnsi="Calibri"/>
          <w:sz w:val="22"/>
          <w:szCs w:val="22"/>
        </w:rPr>
        <w:t xml:space="preserve">Every tenant-owned table has RLS enabled and forced. Policies for SELECT, INSERT, UPDATE, and DELETE all compare tenant_id to a session-local variable set by the application connection. The variable is set per cursor execution by an engine-level event hook, and reset whenever the request finishes.</w:t>
      </w:r>
    </w:p>
    <w:p>
      <w:pPr>
        <w:spacing w:after="120" w:line="300"/>
      </w:pPr>
      <w:r>
        <w:rPr>
          <w:rFonts w:ascii="Calibri" w:cs="Calibri" w:eastAsia="Calibri" w:hAnsi="Calibri"/>
          <w:sz w:val="22"/>
          <w:szCs w:val="22"/>
        </w:rPr>
        <w:t xml:space="preserve">Two operational requirements follow:</w:t>
      </w:r>
    </w:p>
    <w:p>
      <w:pPr>
        <w:pStyle w:val="ListParagraph"/>
        <w:numPr>
          <w:ilvl w:val="0"/>
          <w:numId w:val="3"/>
        </w:numPr>
        <w:spacing w:after="80" w:line="290"/>
      </w:pPr>
      <w:r>
        <w:rPr>
          <w:rFonts w:ascii="Calibri" w:cs="Calibri" w:eastAsia="Calibri" w:hAnsi="Calibri"/>
          <w:sz w:val="22"/>
          <w:szCs w:val="22"/>
        </w:rPr>
        <w:t xml:space="preserve">Every new tenant-owned table must enable RLS and install the four standard policies as part of its creation migration. This is mechanical enough that it lives behind a single migration helper — engineers do not write the policy DDL by hand.</w:t>
      </w:r>
    </w:p>
    <w:p>
      <w:pPr>
        <w:pStyle w:val="ListParagraph"/>
        <w:numPr>
          <w:ilvl w:val="0"/>
          <w:numId w:val="3"/>
        </w:numPr>
        <w:spacing w:after="80" w:line="290"/>
      </w:pPr>
      <w:r>
        <w:rPr>
          <w:rFonts w:ascii="Calibri" w:cs="Calibri" w:eastAsia="Calibri" w:hAnsi="Calibri"/>
          <w:sz w:val="22"/>
          <w:szCs w:val="22"/>
        </w:rPr>
        <w:t xml:space="preserve">A CI check on every PR scans migrations for new CREATE TABLE statements and fails if the matching enable-RLS call is absent.</w:t>
      </w:r>
    </w:p>
    <w:p>
      <w:pPr>
        <w:pStyle w:val="Heading2"/>
        <w:spacing w:after="140" w:before="280"/>
      </w:pPr>
      <w:r>
        <w:rPr>
          <w:rFonts w:ascii="Calibri" w:cs="Calibri" w:eastAsia="Calibri" w:hAnsi="Calibri"/>
          <w:b/>
          <w:bCs/>
          <w:color w:val="2E5C8A"/>
          <w:sz w:val="28"/>
          <w:szCs w:val="28"/>
        </w:rPr>
        <w:t xml:space="preserve">3.4 Bypass discipline</w:t>
      </w:r>
    </w:p>
    <w:p>
      <w:pPr>
        <w:spacing w:after="120" w:line="300"/>
      </w:pPr>
      <w:r>
        <w:rPr>
          <w:rFonts w:ascii="Calibri" w:cs="Calibri" w:eastAsia="Calibri" w:hAnsi="Calibri"/>
          <w:sz w:val="22"/>
          <w:szCs w:val="22"/>
        </w:rPr>
        <w:t xml:space="preserve">Some operations legitimately must span tenants. These are limited and documented:</w:t>
      </w:r>
    </w:p>
    <w:p>
      <w:pPr>
        <w:pStyle w:val="ListParagraph"/>
        <w:numPr>
          <w:ilvl w:val="0"/>
          <w:numId w:val="2"/>
        </w:numPr>
        <w:spacing w:after="60" w:line="290"/>
      </w:pPr>
      <w:r>
        <w:rPr>
          <w:rFonts w:ascii="Calibri" w:cs="Calibri" w:eastAsia="Calibri" w:hAnsi="Calibri"/>
          <w:sz w:val="22"/>
          <w:szCs w:val="22"/>
        </w:rPr>
        <w:t xml:space="preserve">Tenant resolution itself, which by definition runs before a tenant context exists.</w:t>
      </w:r>
    </w:p>
    <w:p>
      <w:pPr>
        <w:pStyle w:val="ListParagraph"/>
        <w:numPr>
          <w:ilvl w:val="0"/>
          <w:numId w:val="2"/>
        </w:numPr>
        <w:spacing w:after="60" w:line="290"/>
      </w:pPr>
      <w:r>
        <w:rPr>
          <w:rFonts w:ascii="Calibri" w:cs="Calibri" w:eastAsia="Calibri" w:hAnsi="Calibri"/>
          <w:sz w:val="22"/>
          <w:szCs w:val="22"/>
        </w:rPr>
        <w:t xml:space="preserve">System-level admin tooling running as omnixtra_superadmin (separate connection, never the app role).</w:t>
      </w:r>
    </w:p>
    <w:p>
      <w:pPr>
        <w:pStyle w:val="ListParagraph"/>
        <w:numPr>
          <w:ilvl w:val="0"/>
          <w:numId w:val="2"/>
        </w:numPr>
        <w:spacing w:after="60" w:line="290"/>
      </w:pPr>
      <w:r>
        <w:rPr>
          <w:rFonts w:ascii="Calibri" w:cs="Calibri" w:eastAsia="Calibri" w:hAnsi="Calibri"/>
          <w:sz w:val="22"/>
          <w:szCs w:val="22"/>
        </w:rPr>
        <w:t xml:space="preserve">Cross-tenant marketplace queries (Phase 3), which use custom RLS policies, not bypass flags.</w:t>
      </w:r>
    </w:p>
    <w:p>
      <w:pPr>
        <w:spacing w:after="120" w:line="300"/>
      </w:pPr>
      <w:r>
        <w:rPr>
          <w:rFonts w:ascii="Calibri" w:cs="Calibri" w:eastAsia="Calibri" w:hAnsi="Calibri"/>
          <w:sz w:val="22"/>
          <w:szCs w:val="22"/>
        </w:rPr>
        <w:t xml:space="preserve">Application code does not bypass isolation for analytics, debugging, or convenience. Aggregate cross-tenant metrics for platform operations are computed in a separate read-only pipeline that runs against a read replica with the superadmin role.</w:t>
      </w:r>
    </w:p>
    <w:p>
      <w:r>
        <w:br w:type="page"/>
      </w:r>
    </w:p>
    <w:p>
      <w:pPr>
        <w:pStyle w:val="Heading1"/>
        <w:spacing w:after="180" w:before="360"/>
      </w:pPr>
      <w:r>
        <w:rPr>
          <w:rFonts w:ascii="Calibri" w:cs="Calibri" w:eastAsia="Calibri" w:hAnsi="Calibri"/>
          <w:b/>
          <w:bCs/>
          <w:color w:val="1F3A5F"/>
          <w:sz w:val="36"/>
          <w:szCs w:val="36"/>
        </w:rPr>
        <w:t xml:space="preserve">4. Testing Strategy</w:t>
      </w:r>
    </w:p>
    <w:p>
      <w:pPr>
        <w:spacing w:after="120" w:line="300"/>
      </w:pPr>
      <w:r>
        <w:rPr>
          <w:rFonts w:ascii="Calibri" w:cs="Calibri" w:eastAsia="Calibri" w:hAnsi="Calibri"/>
          <w:sz w:val="22"/>
          <w:szCs w:val="22"/>
        </w:rPr>
        <w:t xml:space="preserve">Charter §6.7 establishes the testing requirement; this section sets the shape. Implementation lives in sprint S1.</w:t>
      </w:r>
    </w:p>
    <w:p>
      <w:pPr>
        <w:pStyle w:val="Heading2"/>
        <w:spacing w:after="140" w:before="280"/>
      </w:pPr>
      <w:r>
        <w:rPr>
          <w:rFonts w:ascii="Calibri" w:cs="Calibri" w:eastAsia="Calibri" w:hAnsi="Calibri"/>
          <w:b/>
          <w:bCs/>
          <w:color w:val="2E5C8A"/>
          <w:sz w:val="28"/>
          <w:szCs w:val="28"/>
        </w:rPr>
        <w:t xml:space="preserve">4.1 Cross-tenant attack tests</w:t>
      </w:r>
    </w:p>
    <w:p>
      <w:pPr>
        <w:spacing w:after="120" w:line="300"/>
      </w:pPr>
      <w:r>
        <w:rPr>
          <w:rFonts w:ascii="Calibri" w:cs="Calibri" w:eastAsia="Calibri" w:hAnsi="Calibri"/>
          <w:sz w:val="22"/>
          <w:szCs w:val="22"/>
        </w:rPr>
        <w:t xml:space="preserve">Every endpoint that handles a tenant-owned resource gets a paired test that simulates a compromised Tenant B token attempting to access a Tenant A resource. The expected outcome is identical to the resource not existing — never a 403, never partial data, never an error message that confirms existence.</w:t>
      </w:r>
    </w:p>
    <w:p>
      <w:pPr>
        <w:spacing w:after="120" w:line="300"/>
      </w:pPr>
      <w:r>
        <w:rPr>
          <w:rFonts w:ascii="Calibri" w:cs="Calibri" w:eastAsia="Calibri" w:hAnsi="Calibri"/>
          <w:sz w:val="22"/>
          <w:szCs w:val="22"/>
        </w:rPr>
        <w:t xml:space="preserve">Each tested endpoint covers, at minimum, four scenarios:</w:t>
      </w:r>
    </w:p>
    <w:p>
      <w:pPr>
        <w:pStyle w:val="ListParagraph"/>
        <w:numPr>
          <w:ilvl w:val="0"/>
          <w:numId w:val="2"/>
        </w:numPr>
        <w:spacing w:after="60" w:line="290"/>
      </w:pPr>
      <w:r>
        <w:rPr>
          <w:rFonts w:ascii="Calibri" w:cs="Calibri" w:eastAsia="Calibri" w:hAnsi="Calibri"/>
          <w:sz w:val="22"/>
          <w:szCs w:val="22"/>
        </w:rPr>
        <w:t xml:space="preserve">Direct read by ID — Tenant B requests Tenant A's resource by its known ID, expects 404.</w:t>
      </w:r>
    </w:p>
    <w:p>
      <w:pPr>
        <w:pStyle w:val="ListParagraph"/>
        <w:numPr>
          <w:ilvl w:val="0"/>
          <w:numId w:val="2"/>
        </w:numPr>
        <w:spacing w:after="60" w:line="290"/>
      </w:pPr>
      <w:r>
        <w:rPr>
          <w:rFonts w:ascii="Calibri" w:cs="Calibri" w:eastAsia="Calibri" w:hAnsi="Calibri"/>
          <w:sz w:val="22"/>
          <w:szCs w:val="22"/>
        </w:rPr>
        <w:t xml:space="preserve">Direct write by ID — PATCH or DELETE on Tenant A's resource using Tenant B's credentials, expects 404 and the resource is not modified.</w:t>
      </w:r>
    </w:p>
    <w:p>
      <w:pPr>
        <w:pStyle w:val="ListParagraph"/>
        <w:numPr>
          <w:ilvl w:val="0"/>
          <w:numId w:val="2"/>
        </w:numPr>
        <w:spacing w:after="60" w:line="290"/>
      </w:pPr>
      <w:r>
        <w:rPr>
          <w:rFonts w:ascii="Calibri" w:cs="Calibri" w:eastAsia="Calibri" w:hAnsi="Calibri"/>
          <w:sz w:val="22"/>
          <w:szCs w:val="22"/>
        </w:rPr>
        <w:t xml:space="preserve">Listing — Tenant B lists the resource collection, expects an empty list even when Tenant A's records exist.</w:t>
      </w:r>
    </w:p>
    <w:p>
      <w:pPr>
        <w:pStyle w:val="ListParagraph"/>
        <w:numPr>
          <w:ilvl w:val="0"/>
          <w:numId w:val="2"/>
        </w:numPr>
        <w:spacing w:after="60" w:line="290"/>
      </w:pPr>
      <w:r>
        <w:rPr>
          <w:rFonts w:ascii="Calibri" w:cs="Calibri" w:eastAsia="Calibri" w:hAnsi="Calibri"/>
          <w:sz w:val="22"/>
          <w:szCs w:val="22"/>
        </w:rPr>
        <w:t xml:space="preserve">Search — Tenant B searches by a string known to match Tenant A's content, expects no results.</w:t>
      </w:r>
    </w:p>
    <w:p>
      <w:pPr>
        <w:pStyle w:val="Heading2"/>
        <w:spacing w:after="140" w:before="280"/>
      </w:pPr>
      <w:r>
        <w:rPr>
          <w:rFonts w:ascii="Calibri" w:cs="Calibri" w:eastAsia="Calibri" w:hAnsi="Calibri"/>
          <w:b/>
          <w:bCs/>
          <w:color w:val="2E5C8A"/>
          <w:sz w:val="28"/>
          <w:szCs w:val="28"/>
        </w:rPr>
        <w:t xml:space="preserve">4.2 RLS-as-last-defence test</w:t>
      </w:r>
    </w:p>
    <w:p>
      <w:pPr>
        <w:spacing w:after="120" w:line="300"/>
      </w:pPr>
      <w:r>
        <w:rPr>
          <w:rFonts w:ascii="Calibri" w:cs="Calibri" w:eastAsia="Calibri" w:hAnsi="Calibri"/>
          <w:sz w:val="22"/>
          <w:szCs w:val="22"/>
        </w:rPr>
        <w:t xml:space="preserve">At least one test in the isolation suite deliberately bypasses Layer 1 (no request context set) and Layer 2 (raw SQL via the application role) to prove Layer 3 alone still returns zero rows. This is the most important test in the suite — it proves that even with a completely buggy application, the database refuses to leak.</w:t>
      </w:r>
    </w:p>
    <w:p>
      <w:pPr>
        <w:spacing w:after="120" w:line="300"/>
      </w:pPr>
      <w:r>
        <w:rPr>
          <w:rFonts w:ascii="Calibri" w:cs="Calibri" w:eastAsia="Calibri" w:hAnsi="Calibri"/>
          <w:sz w:val="22"/>
          <w:szCs w:val="22"/>
        </w:rPr>
        <w:t xml:space="preserve">A second variant of the same test runs with two tenants' data in place and proves the application role connected with one tenant's context cannot see the other tenant's rows via raw SQL.</w:t>
      </w:r>
    </w:p>
    <w:p>
      <w:pPr>
        <w:pStyle w:val="Heading2"/>
        <w:spacing w:after="140" w:before="280"/>
      </w:pPr>
      <w:r>
        <w:rPr>
          <w:rFonts w:ascii="Calibri" w:cs="Calibri" w:eastAsia="Calibri" w:hAnsi="Calibri"/>
          <w:b/>
          <w:bCs/>
          <w:color w:val="2E5C8A"/>
          <w:sz w:val="28"/>
          <w:szCs w:val="28"/>
        </w:rPr>
        <w:t xml:space="preserve">4.3 Negative-space tests</w:t>
      </w:r>
    </w:p>
    <w:p>
      <w:pPr>
        <w:spacing w:after="120" w:line="300"/>
      </w:pPr>
      <w:r>
        <w:rPr>
          <w:rFonts w:ascii="Calibri" w:cs="Calibri" w:eastAsia="Calibri" w:hAnsi="Calibri"/>
          <w:sz w:val="22"/>
          <w:szCs w:val="22"/>
        </w:rPr>
        <w:t xml:space="preserve">Beyond proving that cross-tenant reads fail, the suite also tests properties that would indicate a leak even without a successful read:</w:t>
      </w:r>
    </w:p>
    <w:p>
      <w:pPr>
        <w:pStyle w:val="ListParagraph"/>
        <w:numPr>
          <w:ilvl w:val="0"/>
          <w:numId w:val="2"/>
        </w:numPr>
        <w:spacing w:after="60" w:line="290"/>
      </w:pPr>
      <w:r>
        <w:rPr>
          <w:rFonts w:ascii="Calibri" w:cs="Calibri" w:eastAsia="Calibri" w:hAnsi="Calibri"/>
          <w:sz w:val="22"/>
          <w:szCs w:val="22"/>
        </w:rPr>
        <w:t xml:space="preserve">Timing: response times for hits and misses on Tenant A resources are statistically indistinguishable to a Tenant B caller. Defeats existence-oracle attacks.</w:t>
      </w:r>
    </w:p>
    <w:p>
      <w:pPr>
        <w:pStyle w:val="ListParagraph"/>
        <w:numPr>
          <w:ilvl w:val="0"/>
          <w:numId w:val="2"/>
        </w:numPr>
        <w:spacing w:after="60" w:line="290"/>
      </w:pPr>
      <w:r>
        <w:rPr>
          <w:rFonts w:ascii="Calibri" w:cs="Calibri" w:eastAsia="Calibri" w:hAnsi="Calibri"/>
          <w:sz w:val="22"/>
          <w:szCs w:val="22"/>
        </w:rPr>
        <w:t xml:space="preserve">Error-message identity: 404 responses are byte-identical whether the resource doesn't exist, exists in another tenant, or is soft-deleted.</w:t>
      </w:r>
    </w:p>
    <w:p>
      <w:pPr>
        <w:pStyle w:val="ListParagraph"/>
        <w:numPr>
          <w:ilvl w:val="0"/>
          <w:numId w:val="2"/>
        </w:numPr>
        <w:spacing w:after="60" w:line="290"/>
      </w:pPr>
      <w:r>
        <w:rPr>
          <w:rFonts w:ascii="Calibri" w:cs="Calibri" w:eastAsia="Calibri" w:hAnsi="Calibri"/>
          <w:sz w:val="22"/>
          <w:szCs w:val="22"/>
        </w:rPr>
        <w:t xml:space="preserve">Pagination metadata: list endpoints return identical pagination cursors and counts regardless of cross-tenant rows.</w:t>
      </w:r>
    </w:p>
    <w:p>
      <w:pPr>
        <w:pStyle w:val="Heading2"/>
        <w:spacing w:after="140" w:before="280"/>
      </w:pPr>
      <w:r>
        <w:rPr>
          <w:rFonts w:ascii="Calibri" w:cs="Calibri" w:eastAsia="Calibri" w:hAnsi="Calibri"/>
          <w:b/>
          <w:bCs/>
          <w:color w:val="2E5C8A"/>
          <w:sz w:val="28"/>
          <w:szCs w:val="28"/>
        </w:rPr>
        <w:t xml:space="preserve">4.4 CI coverage gate</w:t>
      </w:r>
    </w:p>
    <w:p>
      <w:pPr>
        <w:spacing w:after="120" w:line="300"/>
      </w:pPr>
      <w:r>
        <w:rPr>
          <w:rFonts w:ascii="Calibri" w:cs="Calibri" w:eastAsia="Calibri" w:hAnsi="Calibri"/>
          <w:sz w:val="22"/>
          <w:szCs w:val="22"/>
        </w:rPr>
        <w:t xml:space="preserve">A custom check runs on every PR. It reconciles the application's route inventory against a registry of isolation-test coverage declarations, and fails the build if a route is missing its paired test. The route inventory is sourced from the OpenAPI schema generated by the application; the coverage registry is built from decorators on the isolation tests themselves. New routes without isolation tests cannot be merged.</w:t>
      </w:r>
    </w:p>
    <w:p>
      <w:pPr>
        <w:spacing w:after="120" w:line="300"/>
      </w:pPr>
      <w:r>
        <w:rPr>
          <w:rFonts w:ascii="Calibri" w:cs="Calibri" w:eastAsia="Calibri" w:hAnsi="Calibri"/>
          <w:sz w:val="22"/>
          <w:szCs w:val="22"/>
        </w:rPr>
        <w:t xml:space="preserve">The full isolation suite runs on every PR. A nightly extended run executes the suite against a database seeded with ~10,000 cross-tenant resources to catch issues that only manifest at scale (most commonly, a missing index on tenant_id that causes RLS to fall back to a full scan).</w:t>
      </w:r>
    </w:p>
    <w:p>
      <w:pPr>
        <w:spacing w:after="120" w:line="300"/>
      </w:pPr>
      <w:r>
        <w:rPr>
          <w:rFonts w:ascii="Calibri" w:cs="Calibri" w:eastAsia="Calibri" w:hAnsi="Calibri"/>
          <w:sz w:val="22"/>
          <w:szCs w:val="22"/>
        </w:rPr>
        <w:t xml:space="preserve">Before Phase 3 launch, an external penetration test scoped to multi-tenant isolation is commissioned. This is non-negotiable and is on the Phase 3 roadmap.</w:t>
      </w:r>
    </w:p>
    <w:p>
      <w:r>
        <w:br w:type="page"/>
      </w:r>
    </w:p>
    <w:p>
      <w:pPr>
        <w:pStyle w:val="Heading1"/>
        <w:spacing w:after="180" w:before="360"/>
      </w:pPr>
      <w:r>
        <w:rPr>
          <w:rFonts w:ascii="Calibri" w:cs="Calibri" w:eastAsia="Calibri" w:hAnsi="Calibri"/>
          <w:b/>
          <w:bCs/>
          <w:color w:val="1F3A5F"/>
          <w:sz w:val="36"/>
          <w:szCs w:val="36"/>
        </w:rPr>
        <w:t xml:space="preserve">5. Consequences</w:t>
      </w:r>
    </w:p>
    <w:p>
      <w:pPr>
        <w:pStyle w:val="Heading2"/>
        <w:spacing w:after="140" w:before="280"/>
      </w:pPr>
      <w:r>
        <w:rPr>
          <w:rFonts w:ascii="Calibri" w:cs="Calibri" w:eastAsia="Calibri" w:hAnsi="Calibri"/>
          <w:b/>
          <w:bCs/>
          <w:color w:val="2E5C8A"/>
          <w:sz w:val="28"/>
          <w:szCs w:val="28"/>
        </w:rPr>
        <w:t xml:space="preserve">5.1 Positive</w:t>
      </w:r>
    </w:p>
    <w:p>
      <w:pPr>
        <w:pStyle w:val="ListParagraph"/>
        <w:numPr>
          <w:ilvl w:val="0"/>
          <w:numId w:val="2"/>
        </w:numPr>
        <w:spacing w:after="60" w:line="290"/>
      </w:pPr>
      <w:r>
        <w:rPr>
          <w:rFonts w:ascii="Calibri" w:cs="Calibri" w:eastAsia="Calibri" w:hAnsi="Calibri"/>
          <w:b/>
          <w:bCs/>
          <w:sz w:val="22"/>
          <w:szCs w:val="22"/>
        </w:rPr>
        <w:t xml:space="preserve">Existential safety net</w:t>
      </w:r>
      <w:r>
        <w:rPr>
          <w:rFonts w:ascii="Calibri" w:cs="Calibri" w:eastAsia="Calibri" w:hAnsi="Calibri"/>
          <w:sz w:val="22"/>
          <w:szCs w:val="22"/>
        </w:rPr>
        <w:t xml:space="preserve">. Three independent enforcement points; a single layer's bug does not cause a cross-tenant leak.</w:t>
      </w:r>
    </w:p>
    <w:p>
      <w:pPr>
        <w:pStyle w:val="ListParagraph"/>
        <w:numPr>
          <w:ilvl w:val="0"/>
          <w:numId w:val="2"/>
        </w:numPr>
        <w:spacing w:after="60" w:line="290"/>
      </w:pPr>
      <w:r>
        <w:rPr>
          <w:rFonts w:ascii="Calibri" w:cs="Calibri" w:eastAsia="Calibri" w:hAnsi="Calibri"/>
          <w:b/>
          <w:bCs/>
          <w:sz w:val="22"/>
          <w:szCs w:val="22"/>
        </w:rPr>
        <w:t xml:space="preserve">Raw-SQL coverage</w:t>
      </w:r>
      <w:r>
        <w:rPr>
          <w:rFonts w:ascii="Calibri" w:cs="Calibri" w:eastAsia="Calibri" w:hAnsi="Calibri"/>
          <w:sz w:val="22"/>
          <w:szCs w:val="22"/>
        </w:rPr>
        <w:t xml:space="preserve">. RLS protects against ad-hoc data fixes, support tooling errors, and migration mistakes — paths Layer 2 cannot see.</w:t>
      </w:r>
    </w:p>
    <w:p>
      <w:pPr>
        <w:pStyle w:val="ListParagraph"/>
        <w:numPr>
          <w:ilvl w:val="0"/>
          <w:numId w:val="2"/>
        </w:numPr>
        <w:spacing w:after="60" w:line="290"/>
      </w:pPr>
      <w:r>
        <w:rPr>
          <w:rFonts w:ascii="Calibri" w:cs="Calibri" w:eastAsia="Calibri" w:hAnsi="Calibri"/>
          <w:b/>
          <w:bCs/>
          <w:sz w:val="22"/>
          <w:szCs w:val="22"/>
        </w:rPr>
        <w:t xml:space="preserve">Auditable bypass surface</w:t>
      </w:r>
      <w:r>
        <w:rPr>
          <w:rFonts w:ascii="Calibri" w:cs="Calibri" w:eastAsia="Calibri" w:hAnsi="Calibri"/>
          <w:sz w:val="22"/>
          <w:szCs w:val="22"/>
        </w:rPr>
        <w:t xml:space="preserve">. Every legitimate cross-tenant access path is explicit, named, and small enough to enumerate in a code review.</w:t>
      </w:r>
    </w:p>
    <w:p>
      <w:pPr>
        <w:pStyle w:val="ListParagraph"/>
        <w:numPr>
          <w:ilvl w:val="0"/>
          <w:numId w:val="2"/>
        </w:numPr>
        <w:spacing w:after="60" w:line="290"/>
      </w:pPr>
      <w:r>
        <w:rPr>
          <w:rFonts w:ascii="Calibri" w:cs="Calibri" w:eastAsia="Calibri" w:hAnsi="Calibri"/>
          <w:b/>
          <w:bCs/>
          <w:sz w:val="22"/>
          <w:szCs w:val="22"/>
        </w:rPr>
        <w:t xml:space="preserve">Testable by design</w:t>
      </w:r>
      <w:r>
        <w:rPr>
          <w:rFonts w:ascii="Calibri" w:cs="Calibri" w:eastAsia="Calibri" w:hAnsi="Calibri"/>
          <w:sz w:val="22"/>
          <w:szCs w:val="22"/>
        </w:rPr>
        <w:t xml:space="preserve">. The CI coverage gate prevents the test suite from drifting behind the route inventory.</w:t>
      </w:r>
    </w:p>
    <w:p>
      <w:pPr>
        <w:pStyle w:val="ListParagraph"/>
        <w:numPr>
          <w:ilvl w:val="0"/>
          <w:numId w:val="2"/>
        </w:numPr>
        <w:spacing w:after="60" w:line="290"/>
      </w:pPr>
      <w:r>
        <w:rPr>
          <w:rFonts w:ascii="Calibri" w:cs="Calibri" w:eastAsia="Calibri" w:hAnsi="Calibri"/>
          <w:b/>
          <w:bCs/>
          <w:sz w:val="22"/>
          <w:szCs w:val="22"/>
        </w:rPr>
        <w:t xml:space="preserve">Operational simplicity</w:t>
      </w:r>
      <w:r>
        <w:rPr>
          <w:rFonts w:ascii="Calibri" w:cs="Calibri" w:eastAsia="Calibri" w:hAnsi="Calibri"/>
          <w:sz w:val="22"/>
          <w:szCs w:val="22"/>
        </w:rPr>
        <w:t xml:space="preserve">. One database, one schema, standard backups, standard tooling. Managed-Postgres providers (Neon, Supabase) all support RLS out of the box.</w:t>
      </w:r>
    </w:p>
    <w:p>
      <w:pPr>
        <w:pStyle w:val="Heading2"/>
        <w:spacing w:after="140" w:before="280"/>
      </w:pPr>
      <w:r>
        <w:rPr>
          <w:rFonts w:ascii="Calibri" w:cs="Calibri" w:eastAsia="Calibri" w:hAnsi="Calibri"/>
          <w:b/>
          <w:bCs/>
          <w:color w:val="2E5C8A"/>
          <w:sz w:val="28"/>
          <w:szCs w:val="28"/>
        </w:rPr>
        <w:t xml:space="preserve">5.2 Negative</w:t>
      </w:r>
    </w:p>
    <w:p>
      <w:pPr>
        <w:pStyle w:val="ListParagraph"/>
        <w:numPr>
          <w:ilvl w:val="0"/>
          <w:numId w:val="2"/>
        </w:numPr>
        <w:spacing w:after="60" w:line="290"/>
      </w:pPr>
      <w:r>
        <w:rPr>
          <w:rFonts w:ascii="Calibri" w:cs="Calibri" w:eastAsia="Calibri" w:hAnsi="Calibri"/>
          <w:b/>
          <w:bCs/>
          <w:sz w:val="22"/>
          <w:szCs w:val="22"/>
        </w:rPr>
        <w:t xml:space="preserve">RLS query overhead</w:t>
      </w:r>
      <w:r>
        <w:rPr>
          <w:rFonts w:ascii="Calibri" w:cs="Calibri" w:eastAsia="Calibri" w:hAnsi="Calibri"/>
          <w:sz w:val="22"/>
          <w:szCs w:val="22"/>
        </w:rPr>
        <w:t xml:space="preserve">. Each query carries an extra predicate; benchmarks indicate ~3–5% overhead on hot paths. Index design (compound indexes leading with tenant_id) is required to keep this within budget — to be benchmarked in sprint S1.</w:t>
      </w:r>
    </w:p>
    <w:p>
      <w:pPr>
        <w:pStyle w:val="ListParagraph"/>
        <w:numPr>
          <w:ilvl w:val="0"/>
          <w:numId w:val="2"/>
        </w:numPr>
        <w:spacing w:after="60" w:line="290"/>
      </w:pPr>
      <w:r>
        <w:rPr>
          <w:rFonts w:ascii="Calibri" w:cs="Calibri" w:eastAsia="Calibri" w:hAnsi="Calibri"/>
          <w:b/>
          <w:bCs/>
          <w:sz w:val="22"/>
          <w:szCs w:val="22"/>
        </w:rPr>
        <w:t xml:space="preserve">Connection-pool variable management is the fragile point</w:t>
      </w:r>
      <w:r>
        <w:rPr>
          <w:rFonts w:ascii="Calibri" w:cs="Calibri" w:eastAsia="Calibri" w:hAnsi="Calibri"/>
          <w:sz w:val="22"/>
          <w:szCs w:val="22"/>
        </w:rPr>
        <w:t xml:space="preserve">. Any regression that omits the per-query variable set could leak. The RLS-as-last-defence test runs on every PR specifically to catch this.</w:t>
      </w:r>
    </w:p>
    <w:p>
      <w:pPr>
        <w:pStyle w:val="ListParagraph"/>
        <w:numPr>
          <w:ilvl w:val="0"/>
          <w:numId w:val="2"/>
        </w:numPr>
        <w:spacing w:after="60" w:line="290"/>
      </w:pPr>
      <w:r>
        <w:rPr>
          <w:rFonts w:ascii="Calibri" w:cs="Calibri" w:eastAsia="Calibri" w:hAnsi="Calibri"/>
          <w:b/>
          <w:bCs/>
          <w:sz w:val="22"/>
          <w:szCs w:val="22"/>
        </w:rPr>
        <w:t xml:space="preserve">Migration discipline required</w:t>
      </w:r>
      <w:r>
        <w:rPr>
          <w:rFonts w:ascii="Calibri" w:cs="Calibri" w:eastAsia="Calibri" w:hAnsi="Calibri"/>
          <w:sz w:val="22"/>
          <w:szCs w:val="22"/>
        </w:rPr>
        <w:t xml:space="preserve">. Every new tenant-owned table needs the RLS enablement step. CI enforcement mitigates but does not eliminate the risk of a missed call.</w:t>
      </w:r>
    </w:p>
    <w:p>
      <w:pPr>
        <w:pStyle w:val="ListParagraph"/>
        <w:numPr>
          <w:ilvl w:val="0"/>
          <w:numId w:val="2"/>
        </w:numPr>
        <w:spacing w:after="60" w:line="290"/>
      </w:pPr>
      <w:r>
        <w:rPr>
          <w:rFonts w:ascii="Calibri" w:cs="Calibri" w:eastAsia="Calibri" w:hAnsi="Calibri"/>
          <w:b/>
          <w:bCs/>
          <w:sz w:val="22"/>
          <w:szCs w:val="22"/>
        </w:rPr>
        <w:t xml:space="preserve">Cross-tenant features need deliberate design</w:t>
      </w:r>
      <w:r>
        <w:rPr>
          <w:rFonts w:ascii="Calibri" w:cs="Calibri" w:eastAsia="Calibri" w:hAnsi="Calibri"/>
          <w:sz w:val="22"/>
          <w:szCs w:val="22"/>
        </w:rPr>
        <w:t xml:space="preserve">. A future 'discover other public courses' feature cannot be tacked on — it requires a separate ADR and likely a separate, deliberately cross-tenant table.</w:t>
      </w:r>
    </w:p>
    <w:p>
      <w:pPr>
        <w:pStyle w:val="ListParagraph"/>
        <w:numPr>
          <w:ilvl w:val="0"/>
          <w:numId w:val="2"/>
        </w:numPr>
        <w:spacing w:after="60" w:line="290"/>
      </w:pPr>
      <w:r>
        <w:rPr>
          <w:rFonts w:ascii="Calibri" w:cs="Calibri" w:eastAsia="Calibri" w:hAnsi="Calibri"/>
          <w:b/>
          <w:bCs/>
          <w:sz w:val="22"/>
          <w:szCs w:val="22"/>
        </w:rPr>
        <w:t xml:space="preserve">ORM-only Layer 2</w:t>
      </w:r>
      <w:r>
        <w:rPr>
          <w:rFonts w:ascii="Calibri" w:cs="Calibri" w:eastAsia="Calibri" w:hAnsi="Calibri"/>
          <w:sz w:val="22"/>
          <w:szCs w:val="22"/>
        </w:rPr>
        <w:t xml:space="preserve">. Raw text queries bypass Layer 2 entirely and rely solely on Layer 3. This is by design but tightens the codebase rule (Charter §2.2) that forbids raw SQL outside of migrations and pgvector retrieval.</w:t>
      </w:r>
    </w:p>
    <w:p>
      <w:pPr>
        <w:pStyle w:val="Heading2"/>
        <w:spacing w:after="140" w:before="280"/>
      </w:pPr>
      <w:r>
        <w:rPr>
          <w:rFonts w:ascii="Calibri" w:cs="Calibri" w:eastAsia="Calibri" w:hAnsi="Calibri"/>
          <w:b/>
          <w:bCs/>
          <w:color w:val="2E5C8A"/>
          <w:sz w:val="28"/>
          <w:szCs w:val="28"/>
        </w:rPr>
        <w:t xml:space="preserve">5.3 Operational</w:t>
      </w:r>
    </w:p>
    <w:p>
      <w:pPr>
        <w:pStyle w:val="ListParagraph"/>
        <w:numPr>
          <w:ilvl w:val="0"/>
          <w:numId w:val="2"/>
        </w:numPr>
        <w:spacing w:after="60" w:line="290"/>
      </w:pPr>
      <w:r>
        <w:rPr>
          <w:rFonts w:ascii="Calibri" w:cs="Calibri" w:eastAsia="Calibri" w:hAnsi="Calibri"/>
          <w:sz w:val="22"/>
          <w:szCs w:val="22"/>
        </w:rPr>
        <w:t xml:space="preserve">New developer onboarding gains roughly a half-hour to read this ADR and the §6 chapter of the Charter.</w:t>
      </w:r>
    </w:p>
    <w:p>
      <w:pPr>
        <w:pStyle w:val="ListParagraph"/>
        <w:numPr>
          <w:ilvl w:val="0"/>
          <w:numId w:val="2"/>
        </w:numPr>
        <w:spacing w:after="60" w:line="290"/>
      </w:pPr>
      <w:r>
        <w:rPr>
          <w:rFonts w:ascii="Calibri" w:cs="Calibri" w:eastAsia="Calibri" w:hAnsi="Calibri"/>
          <w:sz w:val="22"/>
          <w:szCs w:val="22"/>
        </w:rPr>
        <w:t xml:space="preserve">Debugging an 'empty result set' often comes down to a missing tenant context. Helpful error messages in the context accessor mitigate this — the function should raise loudly with a clear message rather than returning None and letting the query silently fail to find anything.</w:t>
      </w:r>
    </w:p>
    <w:p>
      <w:pPr>
        <w:pStyle w:val="ListParagraph"/>
        <w:numPr>
          <w:ilvl w:val="0"/>
          <w:numId w:val="2"/>
        </w:numPr>
        <w:spacing w:after="60" w:line="290"/>
      </w:pPr>
      <w:r>
        <w:rPr>
          <w:rFonts w:ascii="Calibri" w:cs="Calibri" w:eastAsia="Calibri" w:hAnsi="Calibri"/>
          <w:sz w:val="22"/>
          <w:szCs w:val="22"/>
        </w:rPr>
        <w:t xml:space="preserve">Support tooling needing cross-tenant visibility is a deliberate carve-out (omnixtra_superadmin), not the default. Building support tooling requires a small extra effort that is acceptable for the safety it buys.</w:t>
      </w:r>
    </w:p>
    <w:p>
      <w:r>
        <w:br w:type="page"/>
      </w:r>
    </w:p>
    <w:p>
      <w:pPr>
        <w:pStyle w:val="Heading1"/>
        <w:spacing w:after="180" w:before="360"/>
      </w:pPr>
      <w:r>
        <w:rPr>
          <w:rFonts w:ascii="Calibri" w:cs="Calibri" w:eastAsia="Calibri" w:hAnsi="Calibri"/>
          <w:b/>
          <w:bCs/>
          <w:color w:val="1F3A5F"/>
          <w:sz w:val="36"/>
          <w:szCs w:val="36"/>
        </w:rPr>
        <w:t xml:space="preserve">6. Rollout &amp; Rollback</w:t>
      </w:r>
    </w:p>
    <w:p>
      <w:pPr>
        <w:pStyle w:val="Heading2"/>
        <w:spacing w:after="140" w:before="280"/>
      </w:pPr>
      <w:r>
        <w:rPr>
          <w:rFonts w:ascii="Calibri" w:cs="Calibri" w:eastAsia="Calibri" w:hAnsi="Calibri"/>
          <w:b/>
          <w:bCs/>
          <w:color w:val="2E5C8A"/>
          <w:sz w:val="28"/>
          <w:szCs w:val="28"/>
        </w:rPr>
        <w:t xml:space="preserve">6.1 Rollout (Sprint S1)</w:t>
      </w:r>
    </w:p>
    <w:p>
      <w:pPr>
        <w:pStyle w:val="ListParagraph"/>
        <w:numPr>
          <w:ilvl w:val="0"/>
          <w:numId w:val="3"/>
        </w:numPr>
        <w:spacing w:after="80" w:line="290"/>
      </w:pPr>
      <w:r>
        <w:rPr>
          <w:rFonts w:ascii="Calibri" w:cs="Calibri" w:eastAsia="Calibri" w:hAnsi="Calibri"/>
          <w:sz w:val="22"/>
          <w:szCs w:val="22"/>
        </w:rPr>
        <w:t xml:space="preserve">Migration creates the three database roles and the global tenant table.</w:t>
      </w:r>
    </w:p>
    <w:p>
      <w:pPr>
        <w:pStyle w:val="ListParagraph"/>
        <w:numPr>
          <w:ilvl w:val="0"/>
          <w:numId w:val="3"/>
        </w:numPr>
        <w:spacing w:after="80" w:line="290"/>
      </w:pPr>
      <w:r>
        <w:rPr>
          <w:rFonts w:ascii="Calibri" w:cs="Calibri" w:eastAsia="Calibri" w:hAnsi="Calibri"/>
          <w:sz w:val="22"/>
          <w:szCs w:val="22"/>
        </w:rPr>
        <w:t xml:space="preserve">Tenant context module and resolver implemented; middleware wired into the application startup.</w:t>
      </w:r>
    </w:p>
    <w:p>
      <w:pPr>
        <w:pStyle w:val="ListParagraph"/>
        <w:numPr>
          <w:ilvl w:val="0"/>
          <w:numId w:val="3"/>
        </w:numPr>
        <w:spacing w:after="80" w:line="290"/>
      </w:pPr>
      <w:r>
        <w:rPr>
          <w:rFonts w:ascii="Calibri" w:cs="Calibri" w:eastAsia="Calibri" w:hAnsi="Calibri"/>
          <w:sz w:val="22"/>
          <w:szCs w:val="22"/>
        </w:rPr>
        <w:t xml:space="preserve">ORM event hooks implemented (query filter for SELECT/UPDATE/DELETE, auto-populate for INSERT, RLS variable set per cursor).</w:t>
      </w:r>
    </w:p>
    <w:p>
      <w:pPr>
        <w:pStyle w:val="ListParagraph"/>
        <w:numPr>
          <w:ilvl w:val="0"/>
          <w:numId w:val="3"/>
        </w:numPr>
        <w:spacing w:after="80" w:line="290"/>
      </w:pPr>
      <w:r>
        <w:rPr>
          <w:rFonts w:ascii="Calibri" w:cs="Calibri" w:eastAsia="Calibri" w:hAnsi="Calibri"/>
          <w:sz w:val="22"/>
          <w:szCs w:val="22"/>
        </w:rPr>
        <w:t xml:space="preserve">RLS migration helper implemented; CI check added for new CREATE TABLE statements.</w:t>
      </w:r>
    </w:p>
    <w:p>
      <w:pPr>
        <w:pStyle w:val="ListParagraph"/>
        <w:numPr>
          <w:ilvl w:val="0"/>
          <w:numId w:val="3"/>
        </w:numPr>
        <w:spacing w:after="80" w:line="290"/>
      </w:pPr>
      <w:r>
        <w:rPr>
          <w:rFonts w:ascii="Calibri" w:cs="Calibri" w:eastAsia="Calibri" w:hAnsi="Calibri"/>
          <w:sz w:val="22"/>
          <w:szCs w:val="22"/>
        </w:rPr>
        <w:t xml:space="preserve">First tenant-owned table (User) created using the helper, with paired isolation tests.</w:t>
      </w:r>
    </w:p>
    <w:p>
      <w:pPr>
        <w:pStyle w:val="ListParagraph"/>
        <w:numPr>
          <w:ilvl w:val="0"/>
          <w:numId w:val="3"/>
        </w:numPr>
        <w:spacing w:after="80" w:line="290"/>
      </w:pPr>
      <w:r>
        <w:rPr>
          <w:rFonts w:ascii="Calibri" w:cs="Calibri" w:eastAsia="Calibri" w:hAnsi="Calibri"/>
          <w:sz w:val="22"/>
          <w:szCs w:val="22"/>
        </w:rPr>
        <w:t xml:space="preserve">CI coverage gate implemented; route inventory reconciled against test coverage declarations.</w:t>
      </w:r>
    </w:p>
    <w:p>
      <w:pPr>
        <w:pStyle w:val="ListParagraph"/>
        <w:numPr>
          <w:ilvl w:val="0"/>
          <w:numId w:val="3"/>
        </w:numPr>
        <w:spacing w:after="80" w:line="290"/>
      </w:pPr>
      <w:r>
        <w:rPr>
          <w:rFonts w:ascii="Calibri" w:cs="Calibri" w:eastAsia="Calibri" w:hAnsi="Calibri"/>
          <w:sz w:val="22"/>
          <w:szCs w:val="22"/>
        </w:rPr>
        <w:t xml:space="preserve">Runbook for 'adding a new tenant-owned table' added to /docs/runbooks/.</w:t>
      </w:r>
    </w:p>
    <w:p>
      <w:pPr>
        <w:pStyle w:val="ListParagraph"/>
        <w:numPr>
          <w:ilvl w:val="0"/>
          <w:numId w:val="3"/>
        </w:numPr>
        <w:spacing w:after="80" w:line="290"/>
      </w:pPr>
      <w:r>
        <w:rPr>
          <w:rFonts w:ascii="Calibri" w:cs="Calibri" w:eastAsia="Calibri" w:hAnsi="Calibri"/>
          <w:sz w:val="22"/>
          <w:szCs w:val="22"/>
        </w:rPr>
        <w:t xml:space="preserve">Benchmark on a 100k-tenant synthetic dataset; query latency overhead measured and reported in the sprint review.</w:t>
      </w:r>
    </w:p>
    <w:p>
      <w:pPr>
        <w:pStyle w:val="ListParagraph"/>
        <w:numPr>
          <w:ilvl w:val="0"/>
          <w:numId w:val="3"/>
        </w:numPr>
        <w:spacing w:after="80" w:line="290"/>
      </w:pPr>
      <w:r>
        <w:rPr>
          <w:rFonts w:ascii="Calibri" w:cs="Calibri" w:eastAsia="Calibri" w:hAnsi="Calibri"/>
          <w:sz w:val="22"/>
          <w:szCs w:val="22"/>
        </w:rPr>
        <w:t xml:space="preserve">Manual penetration test on staging: two tenants registered, every existing endpoint attacked from the other tenant's session, all return 404.</w:t>
      </w:r>
    </w:p>
    <w:p>
      <w:pPr>
        <w:pStyle w:val="Heading2"/>
        <w:spacing w:after="140" w:before="280"/>
      </w:pPr>
      <w:r>
        <w:rPr>
          <w:rFonts w:ascii="Calibri" w:cs="Calibri" w:eastAsia="Calibri" w:hAnsi="Calibri"/>
          <w:b/>
          <w:bCs/>
          <w:color w:val="2E5C8A"/>
          <w:sz w:val="28"/>
          <w:szCs w:val="28"/>
        </w:rPr>
        <w:t xml:space="preserve">6.2 Rollback options</w:t>
      </w:r>
    </w:p>
    <w:p>
      <w:pPr>
        <w:spacing w:after="120" w:line="300"/>
      </w:pPr>
      <w:r>
        <w:rPr>
          <w:rFonts w:ascii="Calibri" w:cs="Calibri" w:eastAsia="Calibri" w:hAnsi="Calibri"/>
          <w:sz w:val="22"/>
          <w:szCs w:val="22"/>
        </w:rPr>
        <w:t xml:space="preserve">The three layers are independent. Each can be selectively disabled without dropping the others, which preserves a path through any production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If</w:t>
            </w:r>
          </w:p>
        </w:tc>
        <w:tc>
          <w:tcPr>
            <w:tcW w:type="dxa" w:w="440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Then</w:t>
            </w:r>
          </w:p>
        </w:tc>
        <w:tc>
          <w:tcPr>
            <w:tcW w:type="dxa" w:w="2560"/>
            <w:tcBorders>
              <w:top w:val="single" w:color="BFBFBF" w:sz="4"/>
              <w:left w:val="single" w:color="BFBFBF" w:sz="4"/>
              <w:bottom w:val="single" w:color="BFBFBF" w:sz="4"/>
              <w:right w:val="single" w:color="BFBFBF" w:sz="4"/>
            </w:tcBorders>
            <w:shd w:fill="1F3A5F" w:color="auto" w:val="clear"/>
            <w:tcMar>
              <w:top w:type="dxa" w:w="100"/>
              <w:left w:type="dxa" w:w="140"/>
              <w:bottom w:type="dxa" w:w="100"/>
              <w:right w:type="dxa" w:w="140"/>
            </w:tcMar>
          </w:tcPr>
          <w:p>
            <w:r>
              <w:rPr>
                <w:rFonts w:ascii="Calibri" w:cs="Calibri" w:eastAsia="Calibri" w:hAnsi="Calibri"/>
                <w:b/>
                <w:bCs/>
                <w:color w:val="FFFFFF"/>
                <w:sz w:val="22"/>
                <w:szCs w:val="22"/>
              </w:rPr>
              <w:t xml:space="preserve">Notes</w:t>
            </w:r>
          </w:p>
        </w:tc>
      </w:tr>
      <w:tr>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RLS causes a query-plan regression in production</w:t>
            </w:r>
          </w:p>
        </w:tc>
        <w:tc>
          <w:tcPr>
            <w:tcW w:type="dxa" w:w="4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Disable FORCE on the affected table; Layer 1 + Layer 2 continue to enforce isolation; policies remain in place for fast re-enablement</w:t>
            </w:r>
          </w:p>
        </w:tc>
        <w:tc>
          <w:tcPr>
            <w:tcW w:type="dxa" w:w="25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ALTER TABLE x NO FORCE ROW LEVEL SECURITY — non-destructive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A bug in the ORM filter causes false negatives across all queries</w:t>
            </w:r>
          </w:p>
        </w:tc>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Bypass Layer 2 for a specific endpoint via the named execution option; Layer 3 continues to enforce; ship a hotfix and re-enable</w:t>
            </w:r>
          </w:p>
        </w:tc>
        <w:tc>
          <w:tcPr>
            <w:tcW w:type="dxa" w:w="2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Bypass must be audit-logged and time-boxed</w:t>
            </w:r>
          </w:p>
        </w:tc>
      </w:tr>
      <w:tr>
        <w:tc>
          <w:tcPr>
            <w:tcW w:type="dxa" w:w="2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Connection-pool variable leak detected</w:t>
            </w:r>
          </w:p>
        </w:tc>
        <w:tc>
          <w:tcPr>
            <w:tcW w:type="dxa" w:w="440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Switch the pool to one-connection-per-request mode until fixed</w:t>
            </w:r>
          </w:p>
        </w:tc>
        <w:tc>
          <w:tcPr>
            <w:tcW w:type="dxa" w:w="2560"/>
            <w:tcBorders>
              <w:top w:val="single" w:color="BFBFBF" w:sz="4"/>
              <w:left w:val="single" w:color="BFBFBF" w:sz="4"/>
              <w:bottom w:val="single" w:color="BFBFBF" w:sz="4"/>
              <w:right w:val="single" w:color="BFBFBF" w:sz="4"/>
            </w:tcBorders>
            <w:shd w:fill="F4F6FA" w:color="auto" w:val="clear"/>
            <w:tcMar>
              <w:top w:type="dxa" w:w="80"/>
              <w:left w:type="dxa" w:w="140"/>
              <w:bottom w:type="dxa" w:w="80"/>
              <w:right w:type="dxa" w:w="140"/>
            </w:tcMar>
          </w:tcPr>
          <w:p>
            <w:r>
              <w:rPr>
                <w:rFonts w:ascii="Calibri" w:cs="Calibri" w:eastAsia="Calibri" w:hAnsi="Calibri"/>
                <w:b w:val="false"/>
                <w:bCs w:val="false"/>
                <w:sz w:val="20"/>
                <w:szCs w:val="20"/>
              </w:rPr>
              <w:t xml:space="preserve">Performance impact, but correctness preserved</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Pre-launch only: full ADR reversal</w:t>
            </w:r>
          </w:p>
        </w:tc>
        <w:tc>
          <w:tcPr>
            <w:tcW w:type="dxa" w:w="4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Run alembic downgrade; drops the roles, tenant table, and all dependents</w:t>
            </w:r>
          </w:p>
        </w:tc>
        <w:tc>
          <w:tcPr>
            <w:tcW w:type="dxa" w:w="256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rFonts w:ascii="Calibri" w:cs="Calibri" w:eastAsia="Calibri" w:hAnsi="Calibri"/>
                <w:b w:val="false"/>
                <w:bCs w:val="false"/>
                <w:sz w:val="20"/>
                <w:szCs w:val="20"/>
              </w:rPr>
              <w:t xml:space="preserve">Destructive — only safe before any production tenant exists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12"/>
              <w:left w:val="single" w:color="B91C1C" w:sz="24"/>
              <w:bottom w:val="single" w:color="B91C1C" w:sz="12"/>
              <w:right w:val="single" w:color="B91C1C" w:sz="12"/>
            </w:tcBorders>
            <w:shd w:fill="FFE4E1" w:color="auto" w:val="clear"/>
            <w:tcMar>
              <w:top w:type="dxa" w:w="160"/>
              <w:left w:type="dxa" w:w="200"/>
              <w:bottom w:type="dxa" w:w="160"/>
              <w:right w:type="dxa" w:w="200"/>
            </w:tcMar>
          </w:tcPr>
          <w:p>
            <w:pPr>
              <w:spacing w:after="80"/>
            </w:pPr>
            <w:r>
              <w:rPr>
                <w:rFonts w:ascii="Calibri" w:cs="Calibri" w:eastAsia="Calibri" w:hAnsi="Calibri"/>
                <w:b/>
                <w:bCs/>
                <w:color w:val="5C4419"/>
                <w:sz w:val="22"/>
                <w:szCs w:val="22"/>
              </w:rPr>
              <w:t xml:space="preserve">Post-launch rollback is degradation, not reversal</w:t>
            </w:r>
          </w:p>
          <w:p>
            <w:r>
              <w:rPr>
                <w:rFonts w:ascii="Calibri" w:cs="Calibri" w:eastAsia="Calibri" w:hAnsi="Calibri"/>
                <w:color w:val="333333"/>
                <w:sz w:val="22"/>
                <w:szCs w:val="22"/>
              </w:rPr>
              <w:t xml:space="preserve">Once production tenants exist, dropping RLS or the role configuration is destructive. The rollback paths above are designed to degrade isolation gracefully while preserving data and continuing to enforce at least one layer. A full reversal of this ADR is impossible after the first production tenant — any change at that point becomes a forward-migration (e.g. moving to schema-per-tenant or database-per-tenant for an Enterprise tier).</w:t>
            </w:r>
          </w:p>
        </w:tc>
      </w:tr>
    </w:tbl>
    <w:p>
      <w:r>
        <w:br w:type="page"/>
      </w:r>
    </w:p>
    <w:p>
      <w:pPr>
        <w:pStyle w:val="Heading1"/>
        <w:spacing w:after="180" w:before="360"/>
      </w:pPr>
      <w:r>
        <w:rPr>
          <w:rFonts w:ascii="Calibri" w:cs="Calibri" w:eastAsia="Calibri" w:hAnsi="Calibri"/>
          <w:b/>
          <w:bCs/>
          <w:color w:val="1F3A5F"/>
          <w:sz w:val="36"/>
          <w:szCs w:val="36"/>
        </w:rPr>
        <w:t xml:space="preserve">7. Alternatives Considered</w:t>
      </w:r>
    </w:p>
    <w:p>
      <w:pPr>
        <w:pStyle w:val="Heading2"/>
        <w:spacing w:after="140" w:before="280"/>
      </w:pPr>
      <w:r>
        <w:rPr>
          <w:rFonts w:ascii="Calibri" w:cs="Calibri" w:eastAsia="Calibri" w:hAnsi="Calibri"/>
          <w:b/>
          <w:bCs/>
          <w:color w:val="2E5C8A"/>
          <w:sz w:val="28"/>
          <w:szCs w:val="28"/>
        </w:rPr>
        <w:t xml:space="preserve">7.1 Schema-per-tenant</w:t>
      </w:r>
    </w:p>
    <w:p>
      <w:pPr>
        <w:spacing w:after="120" w:line="300"/>
      </w:pPr>
      <w:r>
        <w:rPr>
          <w:rFonts w:ascii="Calibri" w:cs="Calibri" w:eastAsia="Calibri" w:hAnsi="Calibri"/>
          <w:sz w:val="22"/>
          <w:szCs w:val="22"/>
        </w:rPr>
        <w:t xml:space="preserve">Each tenant gets its own Postgres schema; the application sets search_path per request. Pros: clear physical separation, easy to grant tenant admins direct DB access if ever needed, natural per-tenant backup. Cons: migration time grows with tenant count (1000 tenants × 30 seconds per migration is over eight hours), connection-pool fragmentation, awkward shared types and global tables.</w:t>
      </w:r>
    </w:p>
    <w:p>
      <w:pPr>
        <w:spacing w:after="120" w:line="300"/>
      </w:pPr>
      <w:r>
        <w:rPr>
          <w:rFonts w:ascii="Calibri" w:cs="Calibri" w:eastAsia="Calibri" w:hAnsi="Calibri"/>
          <w:sz w:val="22"/>
          <w:szCs w:val="22"/>
        </w:rPr>
        <w:t xml:space="preserve">Rejected for the SMB self-serve persona. Would be the right choice if expected tenants were under ~100 and each were large.</w:t>
      </w:r>
    </w:p>
    <w:p>
      <w:pPr>
        <w:pStyle w:val="Heading2"/>
        <w:spacing w:after="140" w:before="280"/>
      </w:pPr>
      <w:r>
        <w:rPr>
          <w:rFonts w:ascii="Calibri" w:cs="Calibri" w:eastAsia="Calibri" w:hAnsi="Calibri"/>
          <w:b/>
          <w:bCs/>
          <w:color w:val="2E5C8A"/>
          <w:sz w:val="28"/>
          <w:szCs w:val="28"/>
        </w:rPr>
        <w:t xml:space="preserve">7.2 Database-per-tenant</w:t>
      </w:r>
    </w:p>
    <w:p>
      <w:pPr>
        <w:spacing w:after="120" w:line="300"/>
      </w:pPr>
      <w:r>
        <w:rPr>
          <w:rFonts w:ascii="Calibri" w:cs="Calibri" w:eastAsia="Calibri" w:hAnsi="Calibri"/>
          <w:sz w:val="22"/>
          <w:szCs w:val="22"/>
        </w:rPr>
        <w:t xml:space="preserve">Each tenant gets a dedicated Postgres database. Pros: maximum isolation, per-tenant performance tuning, per-tenant point-in-time recovery. Cons: operational cost scales linearly, managed-Postgres costs become prohibitive, no efficient cross-tenant analytics, tenant provisioning is a multi-minute operation.</w:t>
      </w:r>
    </w:p>
    <w:p>
      <w:pPr>
        <w:spacing w:after="120" w:line="300"/>
      </w:pPr>
      <w:r>
        <w:rPr>
          <w:rFonts w:ascii="Calibri" w:cs="Calibri" w:eastAsia="Calibri" w:hAnsi="Calibri"/>
          <w:sz w:val="22"/>
          <w:szCs w:val="22"/>
        </w:rPr>
        <w:t xml:space="preserve">Deferred to a future Enterprise tier where customers pay for dedicated infrastructure. Not a v1 fit.</w:t>
      </w:r>
    </w:p>
    <w:p>
      <w:pPr>
        <w:pStyle w:val="Heading2"/>
        <w:spacing w:after="140" w:before="280"/>
      </w:pPr>
      <w:r>
        <w:rPr>
          <w:rFonts w:ascii="Calibri" w:cs="Calibri" w:eastAsia="Calibri" w:hAnsi="Calibri"/>
          <w:b/>
          <w:bCs/>
          <w:color w:val="2E5C8A"/>
          <w:sz w:val="28"/>
          <w:szCs w:val="28"/>
        </w:rPr>
        <w:t xml:space="preserve">7.3 Application-only filtering, no RLS</w:t>
      </w:r>
    </w:p>
    <w:p>
      <w:pPr>
        <w:spacing w:after="120" w:line="300"/>
      </w:pPr>
      <w:r>
        <w:rPr>
          <w:rFonts w:ascii="Calibri" w:cs="Calibri" w:eastAsia="Calibri" w:hAnsi="Calibri"/>
          <w:sz w:val="22"/>
          <w:szCs w:val="22"/>
        </w:rPr>
        <w:t xml:space="preserve">Skip Layer 3 entirely; rely on Layers 1 and 2. Pros: no query overhead, simpler operationally. Cons: a single forgotten WHERE clause, a misconfigured query, or a data migration written in raw SQL leaks across tenants. There is no safety net. For a multi-tenant SaaS where a leak is existential, this is unacceptable.</w:t>
      </w:r>
    </w:p>
    <w:p>
      <w:pPr>
        <w:spacing w:after="120" w:line="300"/>
      </w:pPr>
      <w:r>
        <w:rPr>
          <w:rFonts w:ascii="Calibri" w:cs="Calibri" w:eastAsia="Calibri" w:hAnsi="Calibri"/>
          <w:sz w:val="22"/>
          <w:szCs w:val="22"/>
        </w:rPr>
        <w:t xml:space="preserve">Rejected. The 3–5% RLS overhead buys an existential safety net.</w:t>
      </w:r>
    </w:p>
    <w:p>
      <w:pPr>
        <w:pStyle w:val="Heading2"/>
        <w:spacing w:after="140" w:before="280"/>
      </w:pPr>
      <w:r>
        <w:rPr>
          <w:rFonts w:ascii="Calibri" w:cs="Calibri" w:eastAsia="Calibri" w:hAnsi="Calibri"/>
          <w:b/>
          <w:bCs/>
          <w:color w:val="2E5C8A"/>
          <w:sz w:val="28"/>
          <w:szCs w:val="28"/>
        </w:rPr>
        <w:t xml:space="preserve">7.4 Citus or logical sharding</w:t>
      </w:r>
    </w:p>
    <w:p>
      <w:pPr>
        <w:spacing w:after="120" w:line="300"/>
      </w:pPr>
      <w:r>
        <w:rPr>
          <w:rFonts w:ascii="Calibri" w:cs="Calibri" w:eastAsia="Calibri" w:hAnsi="Calibri"/>
          <w:sz w:val="22"/>
          <w:szCs w:val="22"/>
        </w:rPr>
        <w:t xml:space="preserve">Distribute tenants across shards using an extension like Citus. Pros: built-in sharding, scales to very large tenant counts and data volumes. Cons: operational complexity, managed-Postgres providers (Neon, Supabase) do not offer Citus, locks the project out of the cheapest hosting tier, premature optimisation.</w:t>
      </w:r>
    </w:p>
    <w:p>
      <w:pPr>
        <w:spacing w:after="120" w:line="300"/>
      </w:pPr>
      <w:r>
        <w:rPr>
          <w:rFonts w:ascii="Calibri" w:cs="Calibri" w:eastAsia="Calibri" w:hAnsi="Calibri"/>
          <w:sz w:val="22"/>
          <w:szCs w:val="22"/>
        </w:rPr>
        <w:t xml:space="preserve">Rejected for v1. Re-evaluate if a single tenant ever exceeds ~100 GB of data, which is not in sight on the current roadmap.</w:t>
      </w:r>
    </w:p>
    <w:p>
      <w:r>
        <w:br w:type="page"/>
      </w:r>
    </w:p>
    <w:p>
      <w:pPr>
        <w:pStyle w:val="Heading1"/>
        <w:spacing w:after="180" w:before="360"/>
      </w:pPr>
      <w:r>
        <w:rPr>
          <w:rFonts w:ascii="Calibri" w:cs="Calibri" w:eastAsia="Calibri" w:hAnsi="Calibri"/>
          <w:b/>
          <w:bCs/>
          <w:color w:val="1F3A5F"/>
          <w:sz w:val="36"/>
          <w:szCs w:val="36"/>
        </w:rPr>
        <w:t xml:space="preserve">8. Open Questions</w:t>
      </w:r>
    </w:p>
    <w:p>
      <w:pPr>
        <w:pStyle w:val="ListParagraph"/>
        <w:numPr>
          <w:ilvl w:val="0"/>
          <w:numId w:val="3"/>
        </w:numPr>
        <w:spacing w:after="80" w:line="290"/>
      </w:pPr>
      <w:r>
        <w:rPr>
          <w:rFonts w:ascii="Calibri" w:cs="Calibri" w:eastAsia="Calibri" w:hAnsi="Calibri"/>
          <w:sz w:val="22"/>
          <w:szCs w:val="22"/>
        </w:rPr>
        <w:t xml:space="preserve">Should the superadmin role have full read access, or read access only to a redacted subset (no PII fields)? Recommendation: full read in MVP for support velocity, tighten in Phase 2 with row-level auditing on the superadmin role.</w:t>
      </w:r>
    </w:p>
    <w:p>
      <w:pPr>
        <w:pStyle w:val="ListParagraph"/>
        <w:numPr>
          <w:ilvl w:val="0"/>
          <w:numId w:val="3"/>
        </w:numPr>
        <w:spacing w:after="80" w:line="290"/>
      </w:pPr>
      <w:r>
        <w:rPr>
          <w:rFonts w:ascii="Calibri" w:cs="Calibri" w:eastAsia="Calibri" w:hAnsi="Calibri"/>
          <w:sz w:val="22"/>
          <w:szCs w:val="22"/>
        </w:rPr>
        <w:t xml:space="preserve">How are intentionally cross-tenant features (Phase 3 marketplace) modelled? Likely answer: a separate cross-tenant table with a custom RLS policy that admits both buyer and seller, populated by a publishing event. Detailed design deferred to ADR-008.</w:t>
      </w:r>
    </w:p>
    <w:p>
      <w:pPr>
        <w:pStyle w:val="ListParagraph"/>
        <w:numPr>
          <w:ilvl w:val="0"/>
          <w:numId w:val="3"/>
        </w:numPr>
        <w:spacing w:after="80" w:line="290"/>
      </w:pPr>
      <w:r>
        <w:rPr>
          <w:rFonts w:ascii="Calibri" w:cs="Calibri" w:eastAsia="Calibri" w:hAnsi="Calibri"/>
          <w:sz w:val="22"/>
          <w:szCs w:val="22"/>
        </w:rPr>
        <w:t xml:space="preserve">Hard delete or soft delete for tenant removal? Recommendation: soft delete with a scheduled 30-day-later hard delete to satisfy GDPR Article 17. The tenant resolver already filters out soft-deleted rows.</w:t>
      </w:r>
    </w:p>
    <w:p>
      <w:pPr>
        <w:pStyle w:val="ListParagraph"/>
        <w:numPr>
          <w:ilvl w:val="0"/>
          <w:numId w:val="3"/>
        </w:numPr>
        <w:spacing w:after="80" w:line="290"/>
      </w:pPr>
      <w:r>
        <w:rPr>
          <w:rFonts w:ascii="Calibri" w:cs="Calibri" w:eastAsia="Calibri" w:hAnsi="Calibri"/>
          <w:sz w:val="22"/>
          <w:szCs w:val="22"/>
        </w:rPr>
        <w:t xml:space="preserve">RLS performance at scale — to be benchmarked in sprint S1 with 100k synthetic tenants. If overhead exceeds 5%, consider compound indexes leading with tenant_id or partial indexes for the most active tenants. This benchmark is the single most important sprint-S1 data point because the answer informs every subsequent index decision.</w:t>
      </w:r>
    </w:p>
    <w:p>
      <w:pPr>
        <w:spacing w:after="80"/>
      </w:pPr>
      <w:r>
        <w:t xml:space="preserve"/>
      </w:r>
    </w:p>
    <w:p>
      <w:pPr>
        <w:spacing w:after="80"/>
      </w:pPr>
      <w:r>
        <w:t xml:space="preserve"/>
      </w:r>
    </w:p>
    <w:p>
      <w:pPr>
        <w:jc w:val="center"/>
      </w:pPr>
      <w:r>
        <w:rPr>
          <w:rFonts w:ascii="Calibri" w:cs="Calibri" w:eastAsia="Calibri" w:hAnsi="Calibri"/>
          <w:i/>
          <w:iCs/>
          <w:color w:val="999999"/>
          <w:sz w:val="22"/>
          <w:szCs w:val="22"/>
        </w:rPr>
        <w:t xml:space="preserve">— End of ADR-002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8"/>
        <w:szCs w:val="18"/>
      </w:rPr>
      <w:t xml:space="preserve">ADR-002 — Multi-Tenant Isolation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ADR-002: Multi-Tenant Isolation</dc:title>
  <dc:creator>OmniXtra Project Lead</dc:creator>
  <dc:description>Architecture Decision Record for OmniXtra's three-layer tenant isolation model.</dc:description>
  <cp:lastModifiedBy>Un-named</cp:lastModifiedBy>
  <cp:revision>1</cp:revision>
  <dcterms:created xsi:type="dcterms:W3CDTF">2026-05-26T10:05:35.394Z</dcterms:created>
  <dcterms:modified xsi:type="dcterms:W3CDTF">2026-05-26T10:05:35.406Z</dcterms:modified>
</cp:coreProperties>
</file>

<file path=docProps/custom.xml><?xml version="1.0" encoding="utf-8"?>
<Properties xmlns="http://schemas.openxmlformats.org/officeDocument/2006/custom-properties" xmlns:vt="http://schemas.openxmlformats.org/officeDocument/2006/docPropsVTypes"/>
</file>