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Calibri" w:cs="Calibri" w:eastAsia="Calibri" w:hAnsi="Calibri"/>
          <w:b/>
          <w:bCs/>
          <w:color w:val="1F3A5F"/>
          <w:sz w:val="96"/>
          <w:szCs w:val="96"/>
        </w:rPr>
        <w:t xml:space="preserve">OMNIXTRA</w:t>
      </w:r>
    </w:p>
    <w:p>
      <w:pPr>
        <w:spacing w:after="600" w:before="120"/>
        <w:jc w:val="center"/>
      </w:pPr>
      <w:r>
        <w:rPr>
          <w:rFonts w:ascii="Calibri" w:cs="Calibri" w:eastAsia="Calibri" w:hAnsi="Calibri"/>
          <w:i/>
          <w:iCs/>
          <w:color w:val="2E5C8A"/>
          <w:sz w:val="32"/>
          <w:szCs w:val="32"/>
        </w:rPr>
        <w:t xml:space="preserve">AI-Native Learning Management Platform</w:t>
      </w:r>
    </w:p>
    <w:p>
      <w:pPr>
        <w:spacing w:after="200"/>
        <w:jc w:val="center"/>
      </w:pPr>
      <w:r>
        <w:rPr>
          <w:rFonts w:ascii="Calibri" w:cs="Calibri" w:eastAsia="Calibri" w:hAnsi="Calibri"/>
          <w:b/>
          <w:bCs/>
          <w:color w:val="333333"/>
          <w:sz w:val="28"/>
          <w:szCs w:val="28"/>
        </w:rPr>
        <w:t xml:space="preserve">Project Charter &amp; Engineering Source-of-Truth</w:t>
      </w:r>
    </w:p>
    <w:p>
      <w:pPr>
        <w:spacing w:after="1400"/>
        <w:jc w:val="center"/>
      </w:pPr>
      <w:r>
        <w:rPr>
          <w:rFonts w:ascii="Calibri" w:cs="Calibri" w:eastAsia="Calibri" w:hAnsi="Calibri"/>
          <w:color w:val="666666"/>
          <w:sz w:val="22"/>
          <w:szCs w:val="22"/>
        </w:rPr>
        <w:t xml:space="preserve">Version 1.2  ·  Pre-Kickoff Draft</w:t>
      </w:r>
    </w:p>
    <w:p>
      <w:pPr>
        <w:spacing w:after="80"/>
        <w:jc w:val="center"/>
      </w:pPr>
      <w:r>
        <w:rPr>
          <w:rFonts w:ascii="Calibri" w:cs="Calibri" w:eastAsia="Calibri" w:hAnsi="Calibri"/>
          <w:sz w:val="22"/>
          <w:szCs w:val="22"/>
        </w:rPr>
        <w:t xml:space="preserve">Document Owner: Project Lead</w:t>
      </w:r>
    </w:p>
    <w:p>
      <w:pPr>
        <w:spacing w:after="80"/>
        <w:jc w:val="center"/>
      </w:pPr>
      <w:r>
        <w:rPr>
          <w:rFonts w:ascii="Calibri" w:cs="Calibri" w:eastAsia="Calibri" w:hAnsi="Calibri"/>
          <w:b/>
          <w:bCs/>
          <w:color w:val="B8860B"/>
          <w:sz w:val="22"/>
          <w:szCs w:val="22"/>
        </w:rPr>
        <w:t xml:space="preserve">Status: DRAFT — awaiting sign-off</w:t>
      </w:r>
    </w:p>
    <w:p>
      <w:pPr>
        <w:spacing w:after="240"/>
        <w:jc w:val="center"/>
      </w:pPr>
      <w:r>
        <w:rPr>
          <w:rFonts w:ascii="Calibri" w:cs="Calibri" w:eastAsia="Calibri" w:hAnsi="Calibri"/>
          <w:sz w:val="22"/>
          <w:szCs w:val="22"/>
        </w:rPr>
        <w:t xml:space="preserve">Last updated: 16 May 2026</w:t>
      </w:r>
    </w:p>
    <w:p>
      <w:pPr>
        <w:jc w:val="center"/>
      </w:pPr>
      <w:r>
        <w:rPr>
          <w:rFonts w:ascii="Calibri" w:cs="Calibri" w:eastAsia="Calibri" w:hAnsi="Calibri"/>
          <w:i/>
          <w:iCs/>
          <w:color w:val="888888"/>
          <w:sz w:val="20"/>
          <w:szCs w:val="20"/>
        </w:rPr>
        <w:t xml:space="preserve">v1.2 adds enterprise-grade audit immutability, token-bucket rate limiting, zero-trust isolation testing, and phased data residency.</w:t>
      </w:r>
    </w:p>
    <w:p>
      <w:r>
        <w:br w:type="page"/>
      </w:r>
    </w:p>
    <w:p>
      <w:pPr>
        <w:pStyle w:val="Heading1"/>
        <w:spacing w:after="180" w:before="360"/>
      </w:pPr>
      <w:r>
        <w:rPr>
          <w:rFonts w:ascii="Calibri" w:cs="Calibri" w:eastAsia="Calibri" w:hAnsi="Calibri"/>
          <w:b/>
          <w:bCs/>
          <w:color w:val="1F3A5F"/>
          <w:sz w:val="36"/>
          <w:szCs w:val="36"/>
        </w:rPr>
        <w:t xml:space="preserve">1. Executive Summary</w:t>
      </w:r>
    </w:p>
    <w:p>
      <w:pPr>
        <w:spacing w:after="120" w:line="300"/>
      </w:pPr>
      <w:r>
        <w:rPr>
          <w:rFonts w:ascii="Calibri" w:cs="Calibri" w:eastAsia="Calibri" w:hAnsi="Calibri"/>
          <w:sz w:val="22"/>
          <w:szCs w:val="22"/>
        </w:rPr>
        <w:t xml:space="preserve">OmniXtra is an AI-native, multi-tenant Learning Management System (LMS) targeted at small-to-medium businesses and startups who need to spin up internal training, customer education, or partner enablement quickly — without the cost or rigidity of incumbents like TalentLMS, Docebo, or LearnWorlds.</w:t>
      </w:r>
    </w:p>
    <w:p>
      <w:pPr>
        <w:spacing w:after="120" w:line="300"/>
      </w:pPr>
      <w:r>
        <w:rPr>
          <w:rFonts w:ascii="Calibri" w:cs="Calibri" w:eastAsia="Calibri" w:hAnsi="Calibri"/>
          <w:sz w:val="22"/>
          <w:szCs w:val="22"/>
        </w:rPr>
        <w:t xml:space="preserve">The product differentiates on three axes:</w:t>
      </w:r>
    </w:p>
    <w:p>
      <w:pPr>
        <w:pStyle w:val="ListParagraph"/>
        <w:numPr>
          <w:ilvl w:val="0"/>
          <w:numId w:val="2"/>
        </w:numPr>
        <w:spacing w:after="60" w:line="290"/>
      </w:pPr>
      <w:r>
        <w:rPr>
          <w:rFonts w:ascii="Calibri" w:cs="Calibri" w:eastAsia="Calibri" w:hAnsi="Calibri"/>
          <w:b/>
          <w:bCs/>
          <w:sz w:val="22"/>
          <w:szCs w:val="22"/>
        </w:rPr>
        <w:t xml:space="preserve">AI-native, not AI-bolted-on</w:t>
      </w:r>
      <w:r>
        <w:rPr>
          <w:rFonts w:ascii="Calibri" w:cs="Calibri" w:eastAsia="Calibri" w:hAnsi="Calibri"/>
          <w:sz w:val="22"/>
          <w:szCs w:val="22"/>
        </w:rPr>
        <w:t xml:space="preserve"> — an AI tutor, AI-assisted course authoring, and an agentic skill engine are first-class citizens, built on LangGraph, MCP, and pgVector from day one rather than retrofitted.</w:t>
      </w:r>
    </w:p>
    <w:p>
      <w:pPr>
        <w:pStyle w:val="ListParagraph"/>
        <w:numPr>
          <w:ilvl w:val="0"/>
          <w:numId w:val="2"/>
        </w:numPr>
        <w:spacing w:after="60" w:line="290"/>
      </w:pPr>
      <w:r>
        <w:rPr>
          <w:rFonts w:ascii="Calibri" w:cs="Calibri" w:eastAsia="Calibri" w:hAnsi="Calibri"/>
          <w:b/>
          <w:bCs/>
          <w:sz w:val="22"/>
          <w:szCs w:val="22"/>
        </w:rPr>
        <w:t xml:space="preserve">Genuine self-serve onboarding</w:t>
      </w:r>
      <w:r>
        <w:rPr>
          <w:rFonts w:ascii="Calibri" w:cs="Calibri" w:eastAsia="Calibri" w:hAnsi="Calibri"/>
          <w:sz w:val="22"/>
          <w:szCs w:val="22"/>
        </w:rPr>
        <w:t xml:space="preserve"> — a customer can sign up, brand their tenant, upload a course, and invite learners in under 15 minutes. No sales call required.</w:t>
      </w:r>
    </w:p>
    <w:p>
      <w:pPr>
        <w:pStyle w:val="ListParagraph"/>
        <w:numPr>
          <w:ilvl w:val="0"/>
          <w:numId w:val="2"/>
        </w:numPr>
        <w:spacing w:after="60" w:line="290"/>
      </w:pPr>
      <w:r>
        <w:rPr>
          <w:rFonts w:ascii="Calibri" w:cs="Calibri" w:eastAsia="Calibri" w:hAnsi="Calibri"/>
          <w:b/>
          <w:bCs/>
          <w:sz w:val="22"/>
          <w:szCs w:val="22"/>
        </w:rPr>
        <w:t xml:space="preserve">Modern, opinionated stack</w:t>
      </w:r>
      <w:r>
        <w:rPr>
          <w:rFonts w:ascii="Calibri" w:cs="Calibri" w:eastAsia="Calibri" w:hAnsi="Calibri"/>
          <w:sz w:val="22"/>
          <w:szCs w:val="22"/>
        </w:rPr>
        <w:t xml:space="preserve"> — Python/FastAPI + Next.js + Postgres/pgVector + Redis, deployed on managed cloud services. Fewer moving parts, faster iteration, lower run cost.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B923" w:sz="12"/>
              <w:left w:val="single" w:color="E8B923" w:sz="24"/>
              <w:bottom w:val="single" w:color="E8B923" w:sz="12"/>
              <w:right w:val="single" w:color="E8B923" w:sz="12"/>
            </w:tcBorders>
            <w:shd w:fill="FFF7E0" w:color="auto" w:val="clear"/>
            <w:tcMar>
              <w:top w:type="dxa" w:w="160"/>
              <w:left w:type="dxa" w:w="200"/>
              <w:bottom w:type="dxa" w:w="160"/>
              <w:right w:type="dxa" w:w="200"/>
            </w:tcMar>
          </w:tcPr>
          <w:p>
            <w:pPr>
              <w:spacing w:after="80"/>
            </w:pPr>
            <w:r>
              <w:rPr>
                <w:rFonts w:ascii="Calibri" w:cs="Calibri" w:eastAsia="Calibri" w:hAnsi="Calibri"/>
                <w:b/>
                <w:bCs/>
                <w:color w:val="5C4419"/>
                <w:sz w:val="22"/>
                <w:szCs w:val="22"/>
              </w:rPr>
              <w:t xml:space="preserve">⚠ Honest scope assessment</w:t>
            </w:r>
          </w:p>
          <w:p>
            <w:r>
              <w:rPr>
                <w:rFonts w:ascii="Calibri" w:cs="Calibri" w:eastAsia="Calibri" w:hAnsi="Calibri"/>
                <w:color w:val="333333"/>
                <w:sz w:val="22"/>
                <w:szCs w:val="22"/>
              </w:rPr>
              <w:t xml:space="preserve">The full feature set (multi-tenant LMS + AI tutor + SCORM/xAPI + live classes + payments/marketplace + deep analytics) represents 9–12 months of work for a small team. Compressing this into 8–12 weeks with a solo or near-solo founder is not realistic and would produce a fragile product. This Charter structures delivery into three phases: a 10-week MVP that gets to a first paying customer, then Phase 2 and Phase 3. SCORM, live classes, and the marketplace are explicitly deferred from MVP.</w:t>
            </w:r>
          </w:p>
        </w:tc>
      </w:tr>
    </w:tbl>
    <w:p>
      <w:pPr>
        <w:pStyle w:val="Heading2"/>
        <w:spacing w:after="140" w:before="280"/>
      </w:pPr>
      <w:r>
        <w:rPr>
          <w:rFonts w:ascii="Calibri" w:cs="Calibri" w:eastAsia="Calibri" w:hAnsi="Calibri"/>
          <w:b/>
          <w:bCs/>
          <w:color w:val="2E5C8A"/>
          <w:sz w:val="28"/>
          <w:szCs w:val="28"/>
        </w:rPr>
        <w:t xml:space="preserve">1.1 Strategic Bets</w:t>
      </w:r>
    </w:p>
    <w:p>
      <w:pPr>
        <w:pStyle w:val="ListParagraph"/>
        <w:numPr>
          <w:ilvl w:val="0"/>
          <w:numId w:val="3"/>
        </w:numPr>
        <w:spacing w:after="80" w:line="290"/>
      </w:pPr>
      <w:r>
        <w:rPr>
          <w:rFonts w:ascii="Calibri" w:cs="Calibri" w:eastAsia="Calibri" w:hAnsi="Calibri"/>
          <w:sz w:val="22"/>
          <w:szCs w:val="22"/>
        </w:rPr>
        <w:t xml:space="preserve">AI tutor is the wedge. Every learner gets a personalised AI tutor grounded in their organisation's course content via RAG. This is the headline feature; everything else is table stakes.</w:t>
      </w:r>
    </w:p>
    <w:p>
      <w:pPr>
        <w:pStyle w:val="ListParagraph"/>
        <w:numPr>
          <w:ilvl w:val="0"/>
          <w:numId w:val="3"/>
        </w:numPr>
        <w:spacing w:after="80" w:line="290"/>
      </w:pPr>
      <w:r>
        <w:rPr>
          <w:rFonts w:ascii="Calibri" w:cs="Calibri" w:eastAsia="Calibri" w:hAnsi="Calibri"/>
          <w:sz w:val="22"/>
          <w:szCs w:val="22"/>
        </w:rPr>
        <w:t xml:space="preserve">Self-serve trumps enterprise sales at this stage. Pricing, signup, and onboarding are optimised for a credit card and a Tuesday afternoon, not a 6-week procurement cycle.</w:t>
      </w:r>
    </w:p>
    <w:p>
      <w:pPr>
        <w:pStyle w:val="ListParagraph"/>
        <w:numPr>
          <w:ilvl w:val="0"/>
          <w:numId w:val="3"/>
        </w:numPr>
        <w:spacing w:after="80" w:line="290"/>
      </w:pPr>
      <w:r>
        <w:rPr>
          <w:rFonts w:ascii="Calibri" w:cs="Calibri" w:eastAsia="Calibri" w:hAnsi="Calibri"/>
          <w:sz w:val="22"/>
          <w:szCs w:val="22"/>
        </w:rPr>
        <w:t xml:space="preserve">Build for one excellent customer first. The MVP is shaped around a concrete design-partner profile (a 20–200 person company doing customer onboarding or internal compliance training).</w:t>
      </w:r>
    </w:p>
    <w:p>
      <w:pPr>
        <w:pStyle w:val="ListParagraph"/>
        <w:numPr>
          <w:ilvl w:val="0"/>
          <w:numId w:val="3"/>
        </w:numPr>
        <w:spacing w:after="80" w:line="290"/>
      </w:pPr>
      <w:r>
        <w:rPr>
          <w:rFonts w:ascii="Calibri" w:cs="Calibri" w:eastAsia="Calibri" w:hAnsi="Calibri"/>
          <w:sz w:val="22"/>
          <w:szCs w:val="22"/>
        </w:rPr>
        <w:t xml:space="preserve">Boring infrastructure, interesting product. Managed Postgres, managed Redis, Vercel for the frontend. No Kubernetes, no service mesh, no premature microservices.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C8A" w:sz="12"/>
              <w:left w:val="single" w:color="2E5C8A" w:sz="24"/>
              <w:bottom w:val="single" w:color="2E5C8A" w:sz="12"/>
              <w:right w:val="single" w:color="2E5C8A" w:sz="12"/>
            </w:tcBorders>
            <w:shd w:fill="E8F1FF" w:color="auto" w:val="clear"/>
            <w:tcMar>
              <w:top w:type="dxa" w:w="160"/>
              <w:left w:type="dxa" w:w="200"/>
              <w:bottom w:type="dxa" w:w="160"/>
              <w:right w:type="dxa" w:w="200"/>
            </w:tcMar>
          </w:tcPr>
          <w:p>
            <w:pPr>
              <w:spacing w:after="80"/>
            </w:pPr>
            <w:r>
              <w:rPr>
                <w:rFonts w:ascii="Calibri" w:cs="Calibri" w:eastAsia="Calibri" w:hAnsi="Calibri"/>
                <w:b/>
                <w:bCs/>
                <w:color w:val="5C4419"/>
                <w:sz w:val="22"/>
                <w:szCs w:val="22"/>
              </w:rPr>
              <w:t xml:space="preserve">Design principle (carried throughout)</w:t>
            </w:r>
          </w:p>
          <w:p>
            <w:r>
              <w:rPr>
                <w:rFonts w:ascii="Calibri" w:cs="Calibri" w:eastAsia="Calibri" w:hAnsi="Calibri"/>
                <w:color w:val="333333"/>
                <w:sz w:val="22"/>
                <w:szCs w:val="22"/>
              </w:rPr>
              <w:t xml:space="preserve">Design for extraction, not distribution. A well-built modular monolith that never needs to become microservices is a success, not a failure. Extract services only when scale demands it.</w:t>
            </w:r>
          </w:p>
        </w:tc>
      </w:tr>
    </w:tbl>
    <w:p>
      <w:pPr>
        <w:pStyle w:val="Heading2"/>
        <w:spacing w:after="140" w:before="280"/>
      </w:pPr>
      <w:r>
        <w:rPr>
          <w:rFonts w:ascii="Calibri" w:cs="Calibri" w:eastAsia="Calibri" w:hAnsi="Calibri"/>
          <w:b/>
          <w:bCs/>
          <w:color w:val="2E5C8A"/>
          <w:sz w:val="28"/>
          <w:szCs w:val="28"/>
        </w:rPr>
        <w:t xml:space="preserve">1.2 Out of Scope (and why)</w:t>
      </w:r>
    </w:p>
    <w:p>
      <w:pPr>
        <w:pStyle w:val="ListParagraph"/>
        <w:numPr>
          <w:ilvl w:val="0"/>
          <w:numId w:val="2"/>
        </w:numPr>
        <w:spacing w:after="60" w:line="290"/>
      </w:pPr>
      <w:r>
        <w:rPr>
          <w:rFonts w:ascii="Calibri" w:cs="Calibri" w:eastAsia="Calibri" w:hAnsi="Calibri"/>
          <w:b/>
          <w:bCs/>
          <w:sz w:val="22"/>
          <w:szCs w:val="22"/>
        </w:rPr>
        <w:t xml:space="preserve">Native mobile apps</w:t>
      </w:r>
      <w:r>
        <w:rPr>
          <w:rFonts w:ascii="Calibri" w:cs="Calibri" w:eastAsia="Calibri" w:hAnsi="Calibri"/>
          <w:sz w:val="22"/>
          <w:szCs w:val="22"/>
        </w:rPr>
        <w:t xml:space="preserve"> — PWA + responsive web covers 95% of the value at &lt;10% of the cost. Revisit when DAU &gt; 10k.</w:t>
      </w:r>
    </w:p>
    <w:p>
      <w:pPr>
        <w:pStyle w:val="ListParagraph"/>
        <w:numPr>
          <w:ilvl w:val="0"/>
          <w:numId w:val="2"/>
        </w:numPr>
        <w:spacing w:after="60" w:line="290"/>
      </w:pPr>
      <w:r>
        <w:rPr>
          <w:rFonts w:ascii="Calibri" w:cs="Calibri" w:eastAsia="Calibri" w:hAnsi="Calibri"/>
          <w:b/>
          <w:bCs/>
          <w:sz w:val="22"/>
          <w:szCs w:val="22"/>
        </w:rPr>
        <w:t xml:space="preserve">On-premise / air-gapped deployment</w:t>
      </w:r>
      <w:r>
        <w:rPr>
          <w:rFonts w:ascii="Calibri" w:cs="Calibri" w:eastAsia="Calibri" w:hAnsi="Calibri"/>
          <w:sz w:val="22"/>
          <w:szCs w:val="22"/>
        </w:rPr>
        <w:t xml:space="preserve"> — SMB customers do not need this. Defer until enterprise tier exists.</w:t>
      </w:r>
    </w:p>
    <w:p>
      <w:pPr>
        <w:pStyle w:val="ListParagraph"/>
        <w:numPr>
          <w:ilvl w:val="0"/>
          <w:numId w:val="2"/>
        </w:numPr>
        <w:spacing w:after="60" w:line="290"/>
      </w:pPr>
      <w:r>
        <w:rPr>
          <w:rFonts w:ascii="Calibri" w:cs="Calibri" w:eastAsia="Calibri" w:hAnsi="Calibri"/>
          <w:b/>
          <w:bCs/>
          <w:sz w:val="22"/>
          <w:szCs w:val="22"/>
        </w:rPr>
        <w:t xml:space="preserve">Authoring tool parity with Articulate / Rise</w:t>
      </w:r>
      <w:r>
        <w:rPr>
          <w:rFonts w:ascii="Calibri" w:cs="Calibri" w:eastAsia="Calibri" w:hAnsi="Calibri"/>
          <w:sz w:val="22"/>
          <w:szCs w:val="22"/>
        </w:rPr>
        <w:t xml:space="preserve"> — we provide a good-enough builder plus SCORM import (Phase 2). We do not compete on rich authoring.</w:t>
      </w:r>
    </w:p>
    <w:p>
      <w:pPr>
        <w:pStyle w:val="ListParagraph"/>
        <w:numPr>
          <w:ilvl w:val="0"/>
          <w:numId w:val="2"/>
        </w:numPr>
        <w:spacing w:after="60" w:line="290"/>
      </w:pPr>
      <w:r>
        <w:rPr>
          <w:rFonts w:ascii="Calibri" w:cs="Calibri" w:eastAsia="Calibri" w:hAnsi="Calibri"/>
          <w:b/>
          <w:bCs/>
          <w:sz w:val="22"/>
          <w:szCs w:val="22"/>
        </w:rPr>
        <w:t xml:space="preserve">Proctoring / anti-cheat</w:t>
      </w:r>
      <w:r>
        <w:rPr>
          <w:rFonts w:ascii="Calibri" w:cs="Calibri" w:eastAsia="Calibri" w:hAnsi="Calibri"/>
          <w:sz w:val="22"/>
          <w:szCs w:val="22"/>
        </w:rPr>
        <w:t xml:space="preserve"> — out of scope for v1; education-institutions vertical is not the target customer.</w:t>
      </w:r>
    </w:p>
    <w:p>
      <w:r>
        <w:br w:type="page"/>
      </w:r>
    </w:p>
    <w:p>
      <w:pPr>
        <w:pStyle w:val="Heading1"/>
        <w:spacing w:after="180" w:before="360"/>
      </w:pPr>
      <w:r>
        <w:rPr>
          <w:rFonts w:ascii="Calibri" w:cs="Calibri" w:eastAsia="Calibri" w:hAnsi="Calibri"/>
          <w:b/>
          <w:bCs/>
          <w:color w:val="1F3A5F"/>
          <w:sz w:val="36"/>
          <w:szCs w:val="36"/>
        </w:rPr>
        <w:t xml:space="preserve">2. Engineering Contract</w:t>
      </w:r>
    </w:p>
    <w:p>
      <w:pPr>
        <w:spacing w:after="120" w:line="300"/>
      </w:pPr>
      <w:r>
        <w:rPr>
          <w:rFonts w:ascii="Calibri" w:cs="Calibri" w:eastAsia="Calibri" w:hAnsi="Calibri"/>
          <w:sz w:val="22"/>
          <w:szCs w:val="22"/>
        </w:rPr>
        <w:t xml:space="preserve">This section defines the non-negotiable rules every contributor — human or AI agent — must follow when working on OmniXtra. These rules are enforced via code review, automated checks, and CI gates. Violations block merge.</w:t>
      </w:r>
    </w:p>
    <w:p>
      <w:pPr>
        <w:pStyle w:val="Heading2"/>
        <w:spacing w:after="140" w:before="280"/>
      </w:pPr>
      <w:r>
        <w:rPr>
          <w:rFonts w:ascii="Calibri" w:cs="Calibri" w:eastAsia="Calibri" w:hAnsi="Calibri"/>
          <w:b/>
          <w:bCs/>
          <w:color w:val="2E5C8A"/>
          <w:sz w:val="28"/>
          <w:szCs w:val="28"/>
        </w:rPr>
        <w:t xml:space="preserve">2.1 Coding Agent Execution Contract</w:t>
      </w:r>
    </w:p>
    <w:p>
      <w:pPr>
        <w:spacing w:after="120" w:line="300"/>
      </w:pPr>
      <w:r>
        <w:rPr>
          <w:rFonts w:ascii="Calibri" w:cs="Calibri" w:eastAsia="Calibri" w:hAnsi="Calibri"/>
          <w:sz w:val="22"/>
          <w:szCs w:val="22"/>
        </w:rPr>
        <w:t xml:space="preserve">All coding agents (human developers, AI pair-programmers, future automation) working on this codebase must:</w:t>
      </w:r>
    </w:p>
    <w:p>
      <w:pPr>
        <w:pStyle w:val="ListParagraph"/>
        <w:numPr>
          <w:ilvl w:val="0"/>
          <w:numId w:val="2"/>
        </w:numPr>
        <w:spacing w:after="60" w:line="290"/>
      </w:pPr>
      <w:r>
        <w:rPr>
          <w:rFonts w:ascii="Calibri" w:cs="Calibri" w:eastAsia="Calibri" w:hAnsi="Calibri"/>
          <w:b/>
          <w:bCs/>
          <w:color w:val="B91C1C"/>
          <w:sz w:val="22"/>
          <w:szCs w:val="22"/>
        </w:rPr>
        <w:t xml:space="preserve">Never</w:t>
      </w:r>
      <w:r>
        <w:rPr>
          <w:rFonts w:ascii="Calibri" w:cs="Calibri" w:eastAsia="Calibri" w:hAnsi="Calibri"/>
          <w:sz w:val="22"/>
          <w:szCs w:val="22"/>
        </w:rPr>
        <w:t xml:space="preserve"> bypass tenant isolation in queries or logic.</w:t>
      </w:r>
    </w:p>
    <w:p>
      <w:pPr>
        <w:pStyle w:val="ListParagraph"/>
        <w:numPr>
          <w:ilvl w:val="0"/>
          <w:numId w:val="2"/>
        </w:numPr>
        <w:spacing w:after="60" w:line="290"/>
      </w:pPr>
      <w:r>
        <w:rPr>
          <w:rFonts w:ascii="Calibri" w:cs="Calibri" w:eastAsia="Calibri" w:hAnsi="Calibri"/>
          <w:b/>
          <w:bCs/>
          <w:color w:val="B91C1C"/>
          <w:sz w:val="22"/>
          <w:szCs w:val="22"/>
        </w:rPr>
        <w:t xml:space="preserve">Never</w:t>
      </w:r>
      <w:r>
        <w:rPr>
          <w:rFonts w:ascii="Calibri" w:cs="Calibri" w:eastAsia="Calibri" w:hAnsi="Calibri"/>
          <w:sz w:val="22"/>
          <w:szCs w:val="22"/>
        </w:rPr>
        <w:t xml:space="preserve"> expose sensitive data (PII, payment data, course content for paid courses) in logs, error responses, or API outputs.</w:t>
      </w:r>
    </w:p>
    <w:p>
      <w:pPr>
        <w:pStyle w:val="ListParagraph"/>
        <w:numPr>
          <w:ilvl w:val="0"/>
          <w:numId w:val="2"/>
        </w:numPr>
        <w:spacing w:after="60" w:line="290"/>
      </w:pPr>
      <w:r>
        <w:rPr>
          <w:rFonts w:ascii="Calibri" w:cs="Calibri" w:eastAsia="Calibri" w:hAnsi="Calibri"/>
          <w:b/>
          <w:bCs/>
          <w:color w:val="B91C1C"/>
          <w:sz w:val="22"/>
          <w:szCs w:val="22"/>
        </w:rPr>
        <w:t xml:space="preserve">Never</w:t>
      </w:r>
      <w:r>
        <w:rPr>
          <w:rFonts w:ascii="Calibri" w:cs="Calibri" w:eastAsia="Calibri" w:hAnsi="Calibri"/>
          <w:sz w:val="22"/>
          <w:szCs w:val="22"/>
        </w:rPr>
        <w:t xml:space="preserve"> introduce synchronous AI calls in request handlers — all AI work runs through the async job queue.</w:t>
      </w:r>
    </w:p>
    <w:p>
      <w:pPr>
        <w:pStyle w:val="ListParagraph"/>
        <w:numPr>
          <w:ilvl w:val="0"/>
          <w:numId w:val="2"/>
        </w:numPr>
        <w:spacing w:after="60" w:line="290"/>
      </w:pPr>
      <w:r>
        <w:rPr>
          <w:rFonts w:ascii="Calibri" w:cs="Calibri" w:eastAsia="Calibri" w:hAnsi="Calibri"/>
          <w:b/>
          <w:bCs/>
          <w:color w:val="166534"/>
          <w:sz w:val="22"/>
          <w:szCs w:val="22"/>
        </w:rPr>
        <w:t xml:space="preserve">Always</w:t>
      </w:r>
      <w:r>
        <w:rPr>
          <w:rFonts w:ascii="Calibri" w:cs="Calibri" w:eastAsia="Calibri" w:hAnsi="Calibri"/>
          <w:sz w:val="22"/>
          <w:szCs w:val="22"/>
        </w:rPr>
        <w:t xml:space="preserve"> validate inputs via Pydantic (backend) or Zod (frontend) schemas before processing.</w:t>
      </w:r>
    </w:p>
    <w:p>
      <w:pPr>
        <w:pStyle w:val="ListParagraph"/>
        <w:numPr>
          <w:ilvl w:val="0"/>
          <w:numId w:val="2"/>
        </w:numPr>
        <w:spacing w:after="60" w:line="290"/>
      </w:pPr>
      <w:r>
        <w:rPr>
          <w:rFonts w:ascii="Calibri" w:cs="Calibri" w:eastAsia="Calibri" w:hAnsi="Calibri"/>
          <w:b/>
          <w:bCs/>
          <w:color w:val="166534"/>
          <w:sz w:val="22"/>
          <w:szCs w:val="22"/>
        </w:rPr>
        <w:t xml:space="preserve">Always</w:t>
      </w:r>
      <w:r>
        <w:rPr>
          <w:rFonts w:ascii="Calibri" w:cs="Calibri" w:eastAsia="Calibri" w:hAnsi="Calibri"/>
          <w:sz w:val="22"/>
          <w:szCs w:val="22"/>
        </w:rPr>
        <w:t xml:space="preserve"> write tests alongside new features. No feature merges without tests.</w:t>
      </w:r>
    </w:p>
    <w:p>
      <w:pPr>
        <w:pStyle w:val="ListParagraph"/>
        <w:numPr>
          <w:ilvl w:val="0"/>
          <w:numId w:val="2"/>
        </w:numPr>
        <w:spacing w:after="60" w:line="290"/>
      </w:pPr>
      <w:r>
        <w:rPr>
          <w:rFonts w:ascii="Calibri" w:cs="Calibri" w:eastAsia="Calibri" w:hAnsi="Calibri"/>
          <w:b/>
          <w:bCs/>
          <w:color w:val="166534"/>
          <w:sz w:val="22"/>
          <w:szCs w:val="22"/>
        </w:rPr>
        <w:t xml:space="preserve">Always</w:t>
      </w:r>
      <w:r>
        <w:rPr>
          <w:rFonts w:ascii="Calibri" w:cs="Calibri" w:eastAsia="Calibri" w:hAnsi="Calibri"/>
          <w:sz w:val="22"/>
          <w:szCs w:val="22"/>
        </w:rPr>
        <w:t xml:space="preserve"> propagate </w:t>
      </w:r>
      <w:r>
        <w:rPr>
          <w:rFonts w:ascii="Calibri" w:cs="Calibri" w:eastAsia="Calibri" w:hAnsi="Calibri"/>
          <w:i/>
          <w:iCs/>
          <w:sz w:val="22"/>
          <w:szCs w:val="22"/>
        </w:rPr>
        <w:t xml:space="preserve">tenant_id</w:t>
      </w:r>
      <w:r>
        <w:rPr>
          <w:rFonts w:ascii="Calibri" w:cs="Calibri" w:eastAsia="Calibri" w:hAnsi="Calibri"/>
          <w:sz w:val="22"/>
          <w:szCs w:val="22"/>
        </w:rPr>
        <w:t xml:space="preserve"> and </w:t>
      </w:r>
      <w:r>
        <w:rPr>
          <w:rFonts w:ascii="Calibri" w:cs="Calibri" w:eastAsia="Calibri" w:hAnsi="Calibri"/>
          <w:i/>
          <w:iCs/>
          <w:sz w:val="22"/>
          <w:szCs w:val="22"/>
        </w:rPr>
        <w:t xml:space="preserve">request_id</w:t>
      </w:r>
      <w:r>
        <w:rPr>
          <w:rFonts w:ascii="Calibri" w:cs="Calibri" w:eastAsia="Calibri" w:hAnsi="Calibri"/>
          <w:sz w:val="22"/>
          <w:szCs w:val="22"/>
        </w:rPr>
        <w:t xml:space="preserve"> through all service calls and structured logs.</w:t>
      </w:r>
    </w:p>
    <w:p>
      <w:pPr>
        <w:pStyle w:val="ListParagraph"/>
        <w:numPr>
          <w:ilvl w:val="0"/>
          <w:numId w:val="2"/>
        </w:numPr>
        <w:spacing w:after="60" w:line="290"/>
      </w:pPr>
      <w:r>
        <w:rPr>
          <w:rFonts w:ascii="Calibri" w:cs="Calibri" w:eastAsia="Calibri" w:hAnsi="Calibri"/>
          <w:b/>
          <w:bCs/>
          <w:color w:val="166534"/>
          <w:sz w:val="22"/>
          <w:szCs w:val="22"/>
        </w:rPr>
        <w:t xml:space="preserve">Always</w:t>
      </w:r>
      <w:r>
        <w:rPr>
          <w:rFonts w:ascii="Calibri" w:cs="Calibri" w:eastAsia="Calibri" w:hAnsi="Calibri"/>
          <w:sz w:val="22"/>
          <w:szCs w:val="22"/>
        </w:rPr>
        <w:t xml:space="preserve"> include an audit log entry in the same database transaction as any data mutation that affects billing, enrolment, completion, or admin actions.</w:t>
      </w:r>
    </w:p>
    <w:p>
      <w:pPr>
        <w:pStyle w:val="Heading2"/>
        <w:spacing w:after="140" w:before="280"/>
      </w:pPr>
      <w:r>
        <w:rPr>
          <w:rFonts w:ascii="Calibri" w:cs="Calibri" w:eastAsia="Calibri" w:hAnsi="Calibri"/>
          <w:b/>
          <w:bCs/>
          <w:color w:val="2E5C8A"/>
          <w:sz w:val="28"/>
          <w:szCs w:val="28"/>
        </w:rPr>
        <w:t xml:space="preserve">2.2 Backend Standards (Python / FastAPI)</w:t>
      </w:r>
    </w:p>
    <w:p>
      <w:pPr>
        <w:pStyle w:val="ListParagraph"/>
        <w:numPr>
          <w:ilvl w:val="0"/>
          <w:numId w:val="2"/>
        </w:numPr>
        <w:spacing w:after="60" w:line="290"/>
      </w:pPr>
      <w:r>
        <w:rPr>
          <w:rFonts w:ascii="Calibri" w:cs="Calibri" w:eastAsia="Calibri" w:hAnsi="Calibri"/>
          <w:sz w:val="22"/>
          <w:szCs w:val="22"/>
        </w:rPr>
        <w:t xml:space="preserve">Package manager: uv. Fall back to pip only if uv fails.</w:t>
      </w:r>
    </w:p>
    <w:p>
      <w:pPr>
        <w:pStyle w:val="ListParagraph"/>
        <w:numPr>
          <w:ilvl w:val="0"/>
          <w:numId w:val="2"/>
        </w:numPr>
        <w:spacing w:after="60" w:line="290"/>
      </w:pPr>
      <w:r>
        <w:rPr>
          <w:rFonts w:ascii="Calibri" w:cs="Calibri" w:eastAsia="Calibri" w:hAnsi="Calibri"/>
          <w:sz w:val="22"/>
          <w:szCs w:val="22"/>
        </w:rPr>
        <w:t xml:space="preserve">Linting &amp; formatting: Ruff (ruff check + ruff format). All code must pass before commit.</w:t>
      </w:r>
    </w:p>
    <w:p>
      <w:pPr>
        <w:pStyle w:val="ListParagraph"/>
        <w:numPr>
          <w:ilvl w:val="0"/>
          <w:numId w:val="2"/>
        </w:numPr>
        <w:spacing w:after="60" w:line="290"/>
      </w:pPr>
      <w:r>
        <w:rPr>
          <w:rFonts w:ascii="Calibri" w:cs="Calibri" w:eastAsia="Calibri" w:hAnsi="Calibri"/>
          <w:sz w:val="22"/>
          <w:szCs w:val="22"/>
        </w:rPr>
        <w:t xml:space="preserve">Type checking: mypy --strict. All modules must pass with no errors.</w:t>
      </w:r>
    </w:p>
    <w:p>
      <w:pPr>
        <w:pStyle w:val="ListParagraph"/>
        <w:numPr>
          <w:ilvl w:val="0"/>
          <w:numId w:val="2"/>
        </w:numPr>
        <w:spacing w:after="60" w:line="290"/>
      </w:pPr>
      <w:r>
        <w:rPr>
          <w:rFonts w:ascii="Calibri" w:cs="Calibri" w:eastAsia="Calibri" w:hAnsi="Calibri"/>
          <w:sz w:val="22"/>
          <w:szCs w:val="22"/>
        </w:rPr>
        <w:t xml:space="preserve">Pre-commit hooks enforce linting, formatting, and type-checking automatically.</w:t>
      </w:r>
    </w:p>
    <w:p>
      <w:pPr>
        <w:pStyle w:val="ListParagraph"/>
        <w:numPr>
          <w:ilvl w:val="0"/>
          <w:numId w:val="2"/>
        </w:numPr>
        <w:spacing w:after="60" w:line="290"/>
      </w:pPr>
      <w:r>
        <w:rPr>
          <w:rFonts w:ascii="Calibri" w:cs="Calibri" w:eastAsia="Calibri" w:hAnsi="Calibri"/>
          <w:sz w:val="22"/>
          <w:szCs w:val="22"/>
        </w:rPr>
        <w:t xml:space="preserve">Each domain module encapsulates its own Models, Schemas, Services, Repositories, Routes, and Events. Modular monolith pattern — no cross-module reaching past the service interface.</w:t>
      </w:r>
    </w:p>
    <w:p>
      <w:pPr>
        <w:pStyle w:val="ListParagraph"/>
        <w:numPr>
          <w:ilvl w:val="0"/>
          <w:numId w:val="2"/>
        </w:numPr>
        <w:spacing w:after="60" w:line="290"/>
      </w:pPr>
      <w:r>
        <w:rPr>
          <w:rFonts w:ascii="Calibri" w:cs="Calibri" w:eastAsia="Calibri" w:hAnsi="Calibri"/>
          <w:sz w:val="22"/>
          <w:szCs w:val="22"/>
        </w:rPr>
        <w:t xml:space="preserve">Export public classes and functions via __init__.py with explicit __all__ definitions.</w:t>
      </w:r>
    </w:p>
    <w:p>
      <w:pPr>
        <w:pStyle w:val="ListParagraph"/>
        <w:numPr>
          <w:ilvl w:val="0"/>
          <w:numId w:val="2"/>
        </w:numPr>
        <w:spacing w:after="60" w:line="290"/>
      </w:pPr>
      <w:r>
        <w:rPr>
          <w:rFonts w:ascii="Calibri" w:cs="Calibri" w:eastAsia="Calibri" w:hAnsi="Calibri"/>
          <w:sz w:val="22"/>
          <w:szCs w:val="22"/>
        </w:rPr>
        <w:t xml:space="preserve">No raw SQL outside of migrations and the pgvector retrieval module.</w:t>
      </w:r>
    </w:p>
    <w:p>
      <w:pPr>
        <w:pStyle w:val="ListParagraph"/>
        <w:numPr>
          <w:ilvl w:val="0"/>
          <w:numId w:val="2"/>
        </w:numPr>
        <w:spacing w:after="60" w:line="290"/>
      </w:pPr>
      <w:r>
        <w:rPr>
          <w:rFonts w:ascii="Calibri" w:cs="Calibri" w:eastAsia="Calibri" w:hAnsi="Calibri"/>
          <w:sz w:val="22"/>
          <w:szCs w:val="22"/>
        </w:rPr>
        <w:t xml:space="preserve">Errors are typed; no bare except / try-catch that swallows exceptions.</w:t>
      </w:r>
    </w:p>
    <w:p>
      <w:pPr>
        <w:pStyle w:val="Heading2"/>
        <w:spacing w:after="140" w:before="280"/>
      </w:pPr>
      <w:r>
        <w:rPr>
          <w:rFonts w:ascii="Calibri" w:cs="Calibri" w:eastAsia="Calibri" w:hAnsi="Calibri"/>
          <w:b/>
          <w:bCs/>
          <w:color w:val="2E5C8A"/>
          <w:sz w:val="28"/>
          <w:szCs w:val="28"/>
        </w:rPr>
        <w:t xml:space="preserve">2.3 Frontend Standards (Next.js / TypeScript)</w:t>
      </w:r>
    </w:p>
    <w:p>
      <w:pPr>
        <w:pStyle w:val="ListParagraph"/>
        <w:numPr>
          <w:ilvl w:val="0"/>
          <w:numId w:val="2"/>
        </w:numPr>
        <w:spacing w:after="60" w:line="290"/>
      </w:pPr>
      <w:r>
        <w:rPr>
          <w:rFonts w:ascii="Calibri" w:cs="Calibri" w:eastAsia="Calibri" w:hAnsi="Calibri"/>
          <w:sz w:val="22"/>
          <w:szCs w:val="22"/>
        </w:rPr>
        <w:t xml:space="preserve">Next.js App Router with TypeScript strict mode. No implicit any; no @ts-ignore without a justifying comment.</w:t>
      </w:r>
    </w:p>
    <w:p>
      <w:pPr>
        <w:pStyle w:val="ListParagraph"/>
        <w:numPr>
          <w:ilvl w:val="0"/>
          <w:numId w:val="2"/>
        </w:numPr>
        <w:spacing w:after="60" w:line="290"/>
      </w:pPr>
      <w:r>
        <w:rPr>
          <w:rFonts w:ascii="Calibri" w:cs="Calibri" w:eastAsia="Calibri" w:hAnsi="Calibri"/>
          <w:sz w:val="22"/>
          <w:szCs w:val="22"/>
        </w:rPr>
        <w:t xml:space="preserve">Server Components by default; Client Components only when interactivity requires it.</w:t>
      </w:r>
    </w:p>
    <w:p>
      <w:pPr>
        <w:pStyle w:val="ListParagraph"/>
        <w:numPr>
          <w:ilvl w:val="0"/>
          <w:numId w:val="2"/>
        </w:numPr>
        <w:spacing w:after="60" w:line="290"/>
      </w:pPr>
      <w:r>
        <w:rPr>
          <w:rFonts w:ascii="Calibri" w:cs="Calibri" w:eastAsia="Calibri" w:hAnsi="Calibri"/>
          <w:sz w:val="22"/>
          <w:szCs w:val="22"/>
        </w:rPr>
        <w:t xml:space="preserve">Styling: TailwindCSS + shadcn/ui. No custom CSS unless Tailwind cannot achieve the design.</w:t>
      </w:r>
    </w:p>
    <w:p>
      <w:pPr>
        <w:pStyle w:val="ListParagraph"/>
        <w:numPr>
          <w:ilvl w:val="0"/>
          <w:numId w:val="2"/>
        </w:numPr>
        <w:spacing w:after="60" w:line="290"/>
      </w:pPr>
      <w:r>
        <w:rPr>
          <w:rFonts w:ascii="Calibri" w:cs="Calibri" w:eastAsia="Calibri" w:hAnsi="Calibri"/>
          <w:sz w:val="22"/>
          <w:szCs w:val="22"/>
        </w:rPr>
        <w:t xml:space="preserve">Server state: React Query (TanStack Query). Client-only state: Zustand (auth UI preferences, transient state).</w:t>
      </w:r>
    </w:p>
    <w:p>
      <w:pPr>
        <w:pStyle w:val="ListParagraph"/>
        <w:numPr>
          <w:ilvl w:val="0"/>
          <w:numId w:val="2"/>
        </w:numPr>
        <w:spacing w:after="60" w:line="290"/>
      </w:pPr>
      <w:r>
        <w:rPr>
          <w:rFonts w:ascii="Calibri" w:cs="Calibri" w:eastAsia="Calibri" w:hAnsi="Calibri"/>
          <w:sz w:val="22"/>
          <w:szCs w:val="22"/>
        </w:rPr>
        <w:t xml:space="preserve">All API request/response types validated with Zod schemas mirroring backend Pydantic schemas.</w:t>
      </w:r>
    </w:p>
    <w:p>
      <w:pPr>
        <w:pStyle w:val="ListParagraph"/>
        <w:numPr>
          <w:ilvl w:val="0"/>
          <w:numId w:val="2"/>
        </w:numPr>
        <w:spacing w:after="60" w:line="290"/>
      </w:pPr>
      <w:r>
        <w:rPr>
          <w:rFonts w:ascii="Calibri" w:cs="Calibri" w:eastAsia="Calibri" w:hAnsi="Calibri"/>
          <w:sz w:val="22"/>
          <w:szCs w:val="22"/>
        </w:rPr>
        <w:t xml:space="preserve">ESLint + Prettier enforced. All code must pass before commit.</w:t>
      </w:r>
    </w:p>
    <w:p>
      <w:pPr>
        <w:pStyle w:val="Heading2"/>
        <w:spacing w:after="140" w:before="280"/>
      </w:pPr>
      <w:r>
        <w:rPr>
          <w:rFonts w:ascii="Calibri" w:cs="Calibri" w:eastAsia="Calibri" w:hAnsi="Calibri"/>
          <w:b/>
          <w:bCs/>
          <w:color w:val="2E5C8A"/>
          <w:sz w:val="28"/>
          <w:szCs w:val="28"/>
        </w:rPr>
        <w:t xml:space="preserve">2.4 AI Feature Rules</w:t>
      </w:r>
    </w:p>
    <w:p>
      <w:pPr>
        <w:pStyle w:val="ListParagraph"/>
        <w:numPr>
          <w:ilvl w:val="0"/>
          <w:numId w:val="2"/>
        </w:numPr>
        <w:spacing w:after="60" w:line="290"/>
      </w:pPr>
      <w:r>
        <w:rPr>
          <w:rFonts w:ascii="Calibri" w:cs="Calibri" w:eastAsia="Calibri" w:hAnsi="Calibri"/>
          <w:b/>
          <w:bCs/>
          <w:sz w:val="22"/>
          <w:szCs w:val="22"/>
        </w:rPr>
        <w:t xml:space="preserve">Never block API calls</w:t>
      </w:r>
      <w:r>
        <w:rPr>
          <w:rFonts w:ascii="Calibri" w:cs="Calibri" w:eastAsia="Calibri" w:hAnsi="Calibri"/>
          <w:sz w:val="22"/>
          <w:szCs w:val="22"/>
        </w:rPr>
        <w:t xml:space="preserve"> — all AI workloads run asynchronously via the job queue. Retry-safe, idempotent, cost-aware.</w:t>
      </w:r>
    </w:p>
    <w:p>
      <w:pPr>
        <w:pStyle w:val="ListParagraph"/>
        <w:numPr>
          <w:ilvl w:val="0"/>
          <w:numId w:val="2"/>
        </w:numPr>
        <w:spacing w:after="60" w:line="290"/>
      </w:pPr>
      <w:r>
        <w:rPr>
          <w:rFonts w:ascii="Calibri" w:cs="Calibri" w:eastAsia="Calibri" w:hAnsi="Calibri"/>
          <w:b/>
          <w:bCs/>
          <w:sz w:val="22"/>
          <w:szCs w:val="22"/>
        </w:rPr>
        <w:t xml:space="preserve">Advisory only</w:t>
      </w:r>
      <w:r>
        <w:rPr>
          <w:rFonts w:ascii="Calibri" w:cs="Calibri" w:eastAsia="Calibri" w:hAnsi="Calibri"/>
          <w:sz w:val="22"/>
          <w:szCs w:val="22"/>
        </w:rPr>
        <w:t xml:space="preserve"> — all AI outputs (course summaries, generated quizzes, tutor responses) are clearly marked as AI-generated. For AI-assisted authoring, a human author reviews and approves before publish.</w:t>
      </w:r>
    </w:p>
    <w:p>
      <w:pPr>
        <w:pStyle w:val="ListParagraph"/>
        <w:numPr>
          <w:ilvl w:val="0"/>
          <w:numId w:val="2"/>
        </w:numPr>
        <w:spacing w:after="60" w:line="290"/>
      </w:pPr>
      <w:r>
        <w:rPr>
          <w:rFonts w:ascii="Calibri" w:cs="Calibri" w:eastAsia="Calibri" w:hAnsi="Calibri"/>
          <w:b/>
          <w:bCs/>
          <w:sz w:val="22"/>
          <w:szCs w:val="22"/>
        </w:rPr>
        <w:t xml:space="preserve">No sensitive data to external APIs without consent</w:t>
      </w:r>
      <w:r>
        <w:rPr>
          <w:rFonts w:ascii="Calibri" w:cs="Calibri" w:eastAsia="Calibri" w:hAnsi="Calibri"/>
          <w:sz w:val="22"/>
          <w:szCs w:val="22"/>
        </w:rPr>
        <w:t xml:space="preserve"> — learner PII is never sent to third-party LLMs. Course content of paid tenants is sent only with explicit consent in the tenant settings.</w:t>
      </w:r>
    </w:p>
    <w:p>
      <w:pPr>
        <w:pStyle w:val="ListParagraph"/>
        <w:numPr>
          <w:ilvl w:val="0"/>
          <w:numId w:val="2"/>
        </w:numPr>
        <w:spacing w:after="60" w:line="290"/>
      </w:pPr>
      <w:r>
        <w:rPr>
          <w:rFonts w:ascii="Calibri" w:cs="Calibri" w:eastAsia="Calibri" w:hAnsi="Calibri"/>
          <w:b/>
          <w:bCs/>
          <w:sz w:val="22"/>
          <w:szCs w:val="22"/>
        </w:rPr>
        <w:t xml:space="preserve">Tenant-scoped retrieval</w:t>
      </w:r>
      <w:r>
        <w:rPr>
          <w:rFonts w:ascii="Calibri" w:cs="Calibri" w:eastAsia="Calibri" w:hAnsi="Calibri"/>
          <w:sz w:val="22"/>
          <w:szCs w:val="22"/>
        </w:rPr>
        <w:t xml:space="preserve"> — vector searches always filter by tenant_id at the index level. Cross-tenant retrieval is technically impossible, not just discouraged.</w:t>
      </w:r>
    </w:p>
    <w:p>
      <w:r>
        <w:br w:type="page"/>
      </w:r>
    </w:p>
    <w:p>
      <w:pPr>
        <w:pStyle w:val="Heading1"/>
        <w:spacing w:after="180" w:before="360"/>
      </w:pPr>
      <w:r>
        <w:rPr>
          <w:rFonts w:ascii="Calibri" w:cs="Calibri" w:eastAsia="Calibri" w:hAnsi="Calibri"/>
          <w:b/>
          <w:bCs/>
          <w:color w:val="1F3A5F"/>
          <w:sz w:val="36"/>
          <w:szCs w:val="36"/>
        </w:rPr>
        <w:t xml:space="preserve">3. Problem, Users &amp; Goals</w:t>
      </w:r>
    </w:p>
    <w:p>
      <w:pPr>
        <w:pStyle w:val="Heading2"/>
        <w:spacing w:after="140" w:before="280"/>
      </w:pPr>
      <w:r>
        <w:rPr>
          <w:rFonts w:ascii="Calibri" w:cs="Calibri" w:eastAsia="Calibri" w:hAnsi="Calibri"/>
          <w:b/>
          <w:bCs/>
          <w:color w:val="2E5C8A"/>
          <w:sz w:val="28"/>
          <w:szCs w:val="28"/>
        </w:rPr>
        <w:t xml:space="preserve">3.1 The Problem</w:t>
      </w:r>
    </w:p>
    <w:p>
      <w:pPr>
        <w:spacing w:after="120" w:line="300"/>
      </w:pPr>
      <w:r>
        <w:rPr>
          <w:rFonts w:ascii="Calibri" w:cs="Calibri" w:eastAsia="Calibri" w:hAnsi="Calibri"/>
          <w:sz w:val="22"/>
          <w:szCs w:val="22"/>
        </w:rPr>
        <w:t xml:space="preserve">SMBs and startups today face a poor set of options for delivering training:</w:t>
      </w:r>
    </w:p>
    <w:p>
      <w:pPr>
        <w:pStyle w:val="ListParagraph"/>
        <w:numPr>
          <w:ilvl w:val="0"/>
          <w:numId w:val="2"/>
        </w:numPr>
        <w:spacing w:after="60" w:line="290"/>
      </w:pPr>
      <w:r>
        <w:rPr>
          <w:rFonts w:ascii="Calibri" w:cs="Calibri" w:eastAsia="Calibri" w:hAnsi="Calibri"/>
          <w:sz w:val="22"/>
          <w:szCs w:val="22"/>
        </w:rPr>
        <w:t xml:space="preserve">Incumbent LMSs (Docebo, Cornerstone, SAP SuccessFactors) are expensive, slow to deploy, and built for enterprise procurement — not for a Head of People at a 60-person Series A who needs onboarding live by Friday.</w:t>
      </w:r>
    </w:p>
    <w:p>
      <w:pPr>
        <w:pStyle w:val="ListParagraph"/>
        <w:numPr>
          <w:ilvl w:val="0"/>
          <w:numId w:val="2"/>
        </w:numPr>
        <w:spacing w:after="60" w:line="290"/>
      </w:pPr>
      <w:r>
        <w:rPr>
          <w:rFonts w:ascii="Calibri" w:cs="Calibri" w:eastAsia="Calibri" w:hAnsi="Calibri"/>
          <w:sz w:val="22"/>
          <w:szCs w:val="22"/>
        </w:rPr>
        <w:t xml:space="preserve">Cheaper SaaS (TalentLMS, LearnWorlds, Thinkific) are usable but feel dated, have weak AI capabilities, and lock advanced features behind expensive tiers.</w:t>
      </w:r>
    </w:p>
    <w:p>
      <w:pPr>
        <w:pStyle w:val="ListParagraph"/>
        <w:numPr>
          <w:ilvl w:val="0"/>
          <w:numId w:val="2"/>
        </w:numPr>
        <w:spacing w:after="60" w:line="290"/>
      </w:pPr>
      <w:r>
        <w:rPr>
          <w:rFonts w:ascii="Calibri" w:cs="Calibri" w:eastAsia="Calibri" w:hAnsi="Calibri"/>
          <w:sz w:val="22"/>
          <w:szCs w:val="22"/>
        </w:rPr>
        <w:t xml:space="preserve">DIY stacks (Notion + Loom + Google Forms) are free but produce no learning analytics, no completion tracking, no certificates, and no compliance audit trail.</w:t>
      </w:r>
    </w:p>
    <w:p>
      <w:pPr>
        <w:spacing w:after="120" w:line="300"/>
      </w:pPr>
      <w:r>
        <w:rPr>
          <w:rFonts w:ascii="Calibri" w:cs="Calibri" w:eastAsia="Calibri" w:hAnsi="Calibri"/>
          <w:sz w:val="22"/>
          <w:szCs w:val="22"/>
        </w:rPr>
        <w:t xml:space="preserve">None of these meaningfully use modern AI. The opportunity is to build an LMS where AI is core architecture, not a marketing checkbox.</w:t>
      </w:r>
    </w:p>
    <w:p>
      <w:pPr>
        <w:pStyle w:val="Heading2"/>
        <w:spacing w:after="140" w:before="280"/>
      </w:pPr>
      <w:r>
        <w:rPr>
          <w:rFonts w:ascii="Calibri" w:cs="Calibri" w:eastAsia="Calibri" w:hAnsi="Calibri"/>
          <w:b/>
          <w:bCs/>
          <w:color w:val="2E5C8A"/>
          <w:sz w:val="28"/>
          <w:szCs w:val="28"/>
        </w:rPr>
        <w:t xml:space="preserve">3.2 Target 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160"/>
      </w:tblGrid>
      <w:tr>
        <w:trPr>
          <w:tblHeader/>
        </w:trPr>
        <w:tc>
          <w:tcPr>
            <w:tcW w:type="dxa" w:w="200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Persona</w:t>
            </w:r>
          </w:p>
        </w:tc>
        <w:tc>
          <w:tcPr>
            <w:tcW w:type="dxa" w:w="240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Role &amp; Context</w:t>
            </w:r>
          </w:p>
        </w:tc>
        <w:tc>
          <w:tcPr>
            <w:tcW w:type="dxa" w:w="280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Primary Job-to-be-Done</w:t>
            </w:r>
          </w:p>
        </w:tc>
        <w:tc>
          <w:tcPr>
            <w:tcW w:type="dxa" w:w="216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Success Metric</w:t>
            </w:r>
          </w:p>
        </w:tc>
      </w:tr>
      <w:tr>
        <w:tc>
          <w:tcPr>
            <w:tcW w:type="dxa" w:w="20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Pia — Head of People</w:t>
            </w:r>
          </w:p>
        </w:tc>
        <w:tc>
          <w:tcPr>
            <w:tcW w:type="dxa" w:w="24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20–200 person company, no L&amp;D team</w:t>
            </w:r>
          </w:p>
        </w:tc>
        <w:tc>
          <w:tcPr>
            <w:tcW w:type="dxa" w:w="28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Spin up onboarding &amp; compliance training without hiring a vendor</w:t>
            </w:r>
          </w:p>
        </w:tc>
        <w:tc>
          <w:tcPr>
            <w:tcW w:type="dxa" w:w="21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Time-to-launch &lt; 1 week</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Marco — Customer Success Lead</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B2B SaaS, 50–500 employees</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Educate customers to reduce churn &amp; support tickets</w:t>
            </w:r>
          </w:p>
        </w:tc>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Reduction in onboarding tickets</w:t>
            </w:r>
          </w:p>
        </w:tc>
      </w:tr>
      <w:tr>
        <w:tc>
          <w:tcPr>
            <w:tcW w:type="dxa" w:w="20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Sofia — Course Creator</w:t>
            </w:r>
          </w:p>
        </w:tc>
        <w:tc>
          <w:tcPr>
            <w:tcW w:type="dxa" w:w="24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Subject-matter expert, instructor</w:t>
            </w:r>
          </w:p>
        </w:tc>
        <w:tc>
          <w:tcPr>
            <w:tcW w:type="dxa" w:w="28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Build a course quickly with AI assistance</w:t>
            </w:r>
          </w:p>
        </w:tc>
        <w:tc>
          <w:tcPr>
            <w:tcW w:type="dxa" w:w="21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Course built in &lt; 4 hours</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Leo — Learner</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Employee, customer, or partner</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Complete required training without friction</w:t>
            </w:r>
          </w:p>
        </w:tc>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Course completion rate &gt; 70%</w:t>
            </w:r>
          </w:p>
        </w:tc>
      </w:tr>
      <w:tr>
        <w:tc>
          <w:tcPr>
            <w:tcW w:type="dxa" w:w="20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Ada — Org Admin</w:t>
            </w:r>
          </w:p>
        </w:tc>
        <w:tc>
          <w:tcPr>
            <w:tcW w:type="dxa" w:w="24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IT or Ops at a customer org</w:t>
            </w:r>
          </w:p>
        </w:tc>
        <w:tc>
          <w:tcPr>
            <w:tcW w:type="dxa" w:w="28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Manage users, branding, SSO, reporting</w:t>
            </w:r>
          </w:p>
        </w:tc>
        <w:tc>
          <w:tcPr>
            <w:tcW w:type="dxa" w:w="21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Self-serve, no support ticket</w:t>
            </w:r>
          </w:p>
        </w:tc>
      </w:tr>
    </w:tbl>
    <w:p>
      <w:pPr>
        <w:spacing w:after="80"/>
      </w:pPr>
      <w:r>
        <w:t xml:space="preserve"/>
      </w:r>
    </w:p>
    <w:p>
      <w:pPr>
        <w:pStyle w:val="Heading2"/>
        <w:spacing w:after="140" w:before="280"/>
      </w:pPr>
      <w:r>
        <w:rPr>
          <w:rFonts w:ascii="Calibri" w:cs="Calibri" w:eastAsia="Calibri" w:hAnsi="Calibri"/>
          <w:b/>
          <w:bCs/>
          <w:color w:val="2E5C8A"/>
          <w:sz w:val="28"/>
          <w:szCs w:val="28"/>
        </w:rPr>
        <w:t xml:space="preserve">3.3 Goals &amp; Success Metrics</w:t>
      </w:r>
    </w:p>
    <w:p>
      <w:pPr>
        <w:pStyle w:val="Heading3"/>
        <w:spacing w:after="100" w:before="220"/>
      </w:pPr>
      <w:r>
        <w:rPr>
          <w:rFonts w:ascii="Calibri" w:cs="Calibri" w:eastAsia="Calibri" w:hAnsi="Calibri"/>
          <w:b/>
          <w:bCs/>
          <w:color w:val="333333"/>
          <w:sz w:val="24"/>
          <w:szCs w:val="24"/>
        </w:rPr>
        <w:t xml:space="preserve">Business goals (12 months)</w:t>
      </w:r>
    </w:p>
    <w:p>
      <w:pPr>
        <w:pStyle w:val="ListParagraph"/>
        <w:numPr>
          <w:ilvl w:val="0"/>
          <w:numId w:val="2"/>
        </w:numPr>
        <w:spacing w:after="60" w:line="290"/>
      </w:pPr>
      <w:r>
        <w:rPr>
          <w:rFonts w:ascii="Calibri" w:cs="Calibri" w:eastAsia="Calibri" w:hAnsi="Calibri"/>
          <w:sz w:val="22"/>
          <w:szCs w:val="22"/>
        </w:rPr>
        <w:t xml:space="preserve">First 10 paying tenants by end of month 4</w:t>
      </w:r>
    </w:p>
    <w:p>
      <w:pPr>
        <w:pStyle w:val="ListParagraph"/>
        <w:numPr>
          <w:ilvl w:val="0"/>
          <w:numId w:val="2"/>
        </w:numPr>
        <w:spacing w:after="60" w:line="290"/>
      </w:pPr>
      <w:r>
        <w:rPr>
          <w:rFonts w:ascii="Calibri" w:cs="Calibri" w:eastAsia="Calibri" w:hAnsi="Calibri"/>
          <w:sz w:val="22"/>
          <w:szCs w:val="22"/>
        </w:rPr>
        <w:t xml:space="preserve">$10k MRR by end of month 9</w:t>
      </w:r>
    </w:p>
    <w:p>
      <w:pPr>
        <w:pStyle w:val="ListParagraph"/>
        <w:numPr>
          <w:ilvl w:val="0"/>
          <w:numId w:val="2"/>
        </w:numPr>
        <w:spacing w:after="60" w:line="290"/>
      </w:pPr>
      <w:r>
        <w:rPr>
          <w:rFonts w:ascii="Calibri" w:cs="Calibri" w:eastAsia="Calibri" w:hAnsi="Calibri"/>
          <w:sz w:val="22"/>
          <w:szCs w:val="22"/>
        </w:rPr>
        <w:t xml:space="preserve">Net revenue retention &gt; 100% by end of year 1</w:t>
      </w:r>
    </w:p>
    <w:p>
      <w:pPr>
        <w:pStyle w:val="Heading3"/>
        <w:spacing w:after="100" w:before="220"/>
      </w:pPr>
      <w:r>
        <w:rPr>
          <w:rFonts w:ascii="Calibri" w:cs="Calibri" w:eastAsia="Calibri" w:hAnsi="Calibri"/>
          <w:b/>
          <w:bCs/>
          <w:color w:val="333333"/>
          <w:sz w:val="24"/>
          <w:szCs w:val="24"/>
        </w:rPr>
        <w:t xml:space="preserve">Product KPIs</w:t>
      </w:r>
    </w:p>
    <w:p>
      <w:pPr>
        <w:pStyle w:val="ListParagraph"/>
        <w:numPr>
          <w:ilvl w:val="0"/>
          <w:numId w:val="2"/>
        </w:numPr>
        <w:spacing w:after="60" w:line="290"/>
      </w:pPr>
      <w:r>
        <w:rPr>
          <w:rFonts w:ascii="Calibri" w:cs="Calibri" w:eastAsia="Calibri" w:hAnsi="Calibri"/>
          <w:sz w:val="22"/>
          <w:szCs w:val="22"/>
        </w:rPr>
        <w:t xml:space="preserve">Time from signup to first published course: &lt; 30 minutes (P50)</w:t>
      </w:r>
    </w:p>
    <w:p>
      <w:pPr>
        <w:pStyle w:val="ListParagraph"/>
        <w:numPr>
          <w:ilvl w:val="0"/>
          <w:numId w:val="2"/>
        </w:numPr>
        <w:spacing w:after="60" w:line="290"/>
      </w:pPr>
      <w:r>
        <w:rPr>
          <w:rFonts w:ascii="Calibri" w:cs="Calibri" w:eastAsia="Calibri" w:hAnsi="Calibri"/>
          <w:sz w:val="22"/>
          <w:szCs w:val="22"/>
        </w:rPr>
        <w:t xml:space="preserve">Learner course completion rate: &gt; 65% (vs industry baseline ~20–30%)</w:t>
      </w:r>
    </w:p>
    <w:p>
      <w:pPr>
        <w:pStyle w:val="ListParagraph"/>
        <w:numPr>
          <w:ilvl w:val="0"/>
          <w:numId w:val="2"/>
        </w:numPr>
        <w:spacing w:after="60" w:line="290"/>
      </w:pPr>
      <w:r>
        <w:rPr>
          <w:rFonts w:ascii="Calibri" w:cs="Calibri" w:eastAsia="Calibri" w:hAnsi="Calibri"/>
          <w:sz w:val="22"/>
          <w:szCs w:val="22"/>
        </w:rPr>
        <w:t xml:space="preserve">AI tutor weekly active usage among enrolled learners: &gt; 40%</w:t>
      </w:r>
    </w:p>
    <w:p>
      <w:pPr>
        <w:pStyle w:val="ListParagraph"/>
        <w:numPr>
          <w:ilvl w:val="0"/>
          <w:numId w:val="2"/>
        </w:numPr>
        <w:spacing w:after="60" w:line="290"/>
      </w:pPr>
      <w:r>
        <w:rPr>
          <w:rFonts w:ascii="Calibri" w:cs="Calibri" w:eastAsia="Calibri" w:hAnsi="Calibri"/>
          <w:sz w:val="22"/>
          <w:szCs w:val="22"/>
        </w:rPr>
        <w:t xml:space="preserve">Tenant 30-day retention: &gt; 80%</w:t>
      </w:r>
    </w:p>
    <w:p>
      <w:pPr>
        <w:pStyle w:val="Heading3"/>
        <w:spacing w:after="100" w:before="220"/>
      </w:pPr>
      <w:r>
        <w:rPr>
          <w:rFonts w:ascii="Calibri" w:cs="Calibri" w:eastAsia="Calibri" w:hAnsi="Calibri"/>
          <w:b/>
          <w:bCs/>
          <w:color w:val="333333"/>
          <w:sz w:val="24"/>
          <w:szCs w:val="24"/>
        </w:rPr>
        <w:t xml:space="preserve">Engineering KPIs</w:t>
      </w:r>
    </w:p>
    <w:p>
      <w:pPr>
        <w:pStyle w:val="ListParagraph"/>
        <w:numPr>
          <w:ilvl w:val="0"/>
          <w:numId w:val="2"/>
        </w:numPr>
        <w:spacing w:after="60" w:line="290"/>
      </w:pPr>
      <w:r>
        <w:rPr>
          <w:rFonts w:ascii="Calibri" w:cs="Calibri" w:eastAsia="Calibri" w:hAnsi="Calibri"/>
          <w:sz w:val="22"/>
          <w:szCs w:val="22"/>
        </w:rPr>
        <w:t xml:space="preserve">API p95 latency &lt; 300ms</w:t>
      </w:r>
    </w:p>
    <w:p>
      <w:pPr>
        <w:pStyle w:val="ListParagraph"/>
        <w:numPr>
          <w:ilvl w:val="0"/>
          <w:numId w:val="2"/>
        </w:numPr>
        <w:spacing w:after="60" w:line="290"/>
      </w:pPr>
      <w:r>
        <w:rPr>
          <w:rFonts w:ascii="Calibri" w:cs="Calibri" w:eastAsia="Calibri" w:hAnsi="Calibri"/>
          <w:sz w:val="22"/>
          <w:szCs w:val="22"/>
        </w:rPr>
        <w:t xml:space="preserve">Frontend Largest Contentful Paint &lt; 2.5s on 4G</w:t>
      </w:r>
    </w:p>
    <w:p>
      <w:pPr>
        <w:pStyle w:val="ListParagraph"/>
        <w:numPr>
          <w:ilvl w:val="0"/>
          <w:numId w:val="2"/>
        </w:numPr>
        <w:spacing w:after="60" w:line="290"/>
      </w:pPr>
      <w:r>
        <w:rPr>
          <w:rFonts w:ascii="Calibri" w:cs="Calibri" w:eastAsia="Calibri" w:hAnsi="Calibri"/>
          <w:sz w:val="22"/>
          <w:szCs w:val="22"/>
        </w:rPr>
        <w:t xml:space="preserve">Uptime &gt; 99.5% (MVP) → 99.9% (Phase 3)</w:t>
      </w:r>
    </w:p>
    <w:p>
      <w:pPr>
        <w:pStyle w:val="ListParagraph"/>
        <w:numPr>
          <w:ilvl w:val="0"/>
          <w:numId w:val="2"/>
        </w:numPr>
        <w:spacing w:after="60" w:line="290"/>
      </w:pPr>
      <w:r>
        <w:rPr>
          <w:rFonts w:ascii="Calibri" w:cs="Calibri" w:eastAsia="Calibri" w:hAnsi="Calibri"/>
          <w:sz w:val="22"/>
          <w:szCs w:val="22"/>
        </w:rPr>
        <w:t xml:space="preserve">Mean time to recover (MTTR) &lt; 1 hour for P1 incidents</w:t>
      </w:r>
    </w:p>
    <w:p>
      <w:r>
        <w:br w:type="page"/>
      </w:r>
    </w:p>
    <w:p>
      <w:pPr>
        <w:pStyle w:val="Heading1"/>
        <w:spacing w:after="180" w:before="360"/>
      </w:pPr>
      <w:r>
        <w:rPr>
          <w:rFonts w:ascii="Calibri" w:cs="Calibri" w:eastAsia="Calibri" w:hAnsi="Calibri"/>
          <w:b/>
          <w:bCs/>
          <w:color w:val="1F3A5F"/>
          <w:sz w:val="36"/>
          <w:szCs w:val="36"/>
        </w:rPr>
        <w:t xml:space="preserve">4. Scope &amp; Release Plan</w:t>
      </w:r>
    </w:p>
    <w:p>
      <w:pPr>
        <w:spacing w:after="120" w:line="300"/>
      </w:pPr>
      <w:r>
        <w:rPr>
          <w:rFonts w:ascii="Calibri" w:cs="Calibri" w:eastAsia="Calibri" w:hAnsi="Calibri"/>
          <w:sz w:val="22"/>
          <w:szCs w:val="22"/>
        </w:rPr>
        <w:t xml:space="preserve">Scope is split into three phases. The MVP must be shippable and usable on its own — Phase 2 and Phase 3 are additive, not corrective.</w:t>
      </w:r>
    </w:p>
    <w:p>
      <w:pPr>
        <w:pStyle w:val="Heading2"/>
        <w:spacing w:after="140" w:before="280"/>
      </w:pPr>
      <w:r>
        <w:rPr>
          <w:rFonts w:ascii="Calibri" w:cs="Calibri" w:eastAsia="Calibri" w:hAnsi="Calibri"/>
          <w:b/>
          <w:bCs/>
          <w:color w:val="2E5C8A"/>
          <w:sz w:val="28"/>
          <w:szCs w:val="28"/>
        </w:rPr>
        <w:t xml:space="preserve">4.1 MVP — Weeks 1–10</w:t>
      </w:r>
    </w:p>
    <w:p>
      <w:pPr>
        <w:spacing w:after="120" w:line="300"/>
      </w:pPr>
      <w:r>
        <w:rPr>
          <w:rFonts w:ascii="Calibri" w:cs="Calibri" w:eastAsia="Calibri" w:hAnsi="Calibri"/>
          <w:sz w:val="22"/>
          <w:szCs w:val="22"/>
        </w:rPr>
        <w:t xml:space="preserve">Goal: a usable, brandable, multi-tenant LMS with an AI tutor, sufficient to onboard the first 3 design-partner tenants.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000"/>
        <w:gridCol w:w="3200"/>
      </w:tblGrid>
      <w:tr>
        <w:trPr>
          <w:tblHeader/>
        </w:trPr>
        <w:tc>
          <w:tcPr>
            <w:tcW w:type="dxa" w:w="216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Capability</w:t>
            </w:r>
          </w:p>
        </w:tc>
        <w:tc>
          <w:tcPr>
            <w:tcW w:type="dxa" w:w="400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MVP Inclusions</w:t>
            </w:r>
          </w:p>
        </w:tc>
        <w:tc>
          <w:tcPr>
            <w:tcW w:type="dxa" w:w="320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Explicitly Excluded from MVP</w:t>
            </w:r>
          </w:p>
        </w:tc>
      </w:tr>
      <w:tr>
        <w:tc>
          <w:tcPr>
            <w:tcW w:type="dxa" w:w="21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Tenancy &amp; Auth</w:t>
            </w:r>
          </w:p>
        </w:tc>
        <w:tc>
          <w:tcPr>
            <w:tcW w:type="dxa" w:w="40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Subdomain routing, RLS, email/password + magic link, Org Admin &amp; Learner roles</w:t>
            </w:r>
          </w:p>
        </w:tc>
        <w:tc>
          <w:tcPr>
            <w:tcW w:type="dxa" w:w="32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SSO (SAML/OIDC), MFA, custom roles</w:t>
            </w:r>
          </w:p>
        </w:tc>
      </w:tr>
      <w:tr>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Course Authoring</w:t>
            </w:r>
          </w:p>
        </w:tc>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Sections + lessons, text/video/image/quiz blocks, drag-drop reorder, draft/publish</w:t>
            </w:r>
          </w:p>
        </w:tc>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SCORM/xAPI import, AI course generation, branching scenarios</w:t>
            </w:r>
          </w:p>
        </w:tc>
      </w:tr>
      <w:tr>
        <w:tc>
          <w:tcPr>
            <w:tcW w:type="dxa" w:w="21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Learning Experience</w:t>
            </w:r>
          </w:p>
        </w:tc>
        <w:tc>
          <w:tcPr>
            <w:tcW w:type="dxa" w:w="40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Course player, resume, progress bar, quiz scoring, completion certificate (PDF)</w:t>
            </w:r>
          </w:p>
        </w:tc>
        <w:tc>
          <w:tcPr>
            <w:tcW w:type="dxa" w:w="32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Discussion forums, social features, gamification</w:t>
            </w:r>
          </w:p>
        </w:tc>
      </w:tr>
      <w:tr>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AI Tutor</w:t>
            </w:r>
          </w:p>
        </w:tc>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Per-course RAG chat (LangGraph), pgVector retrieval, streaming via SSE, conversation history</w:t>
            </w:r>
          </w:p>
        </w:tc>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Voice tutor, agentic skill execution, fine-tuned models</w:t>
            </w:r>
          </w:p>
        </w:tc>
      </w:tr>
      <w:tr>
        <w:tc>
          <w:tcPr>
            <w:tcW w:type="dxa" w:w="21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Admin &amp; Analytics</w:t>
            </w:r>
          </w:p>
        </w:tc>
        <w:tc>
          <w:tcPr>
            <w:tcW w:type="dxa" w:w="40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Per-course completion %, per-learner progress, CSV export</w:t>
            </w:r>
          </w:p>
        </w:tc>
        <w:tc>
          <w:tcPr>
            <w:tcW w:type="dxa" w:w="32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Custom dashboards, scheduled reports, BI export</w:t>
            </w:r>
          </w:p>
        </w:tc>
      </w:tr>
      <w:tr>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Branding</w:t>
            </w:r>
          </w:p>
        </w:tc>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Logo, primary colour, custom subdomain</w:t>
            </w:r>
          </w:p>
        </w:tc>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Custom domains (CNAME), email white-labelling, custom CSS</w:t>
            </w:r>
          </w:p>
        </w:tc>
      </w:tr>
      <w:tr>
        <w:tc>
          <w:tcPr>
            <w:tcW w:type="dxa" w:w="21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Billing</w:t>
            </w:r>
          </w:p>
        </w:tc>
        <w:tc>
          <w:tcPr>
            <w:tcW w:type="dxa" w:w="40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Stripe subscription (per-seat), self-serve checkout, plan upgrade/downgrade</w:t>
            </w:r>
          </w:p>
        </w:tc>
        <w:tc>
          <w:tcPr>
            <w:tcW w:type="dxa" w:w="32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Marketplace, course sales, revenue share, invoicing</w:t>
            </w:r>
          </w:p>
        </w:tc>
      </w:tr>
      <w:tr>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Notifications</w:t>
            </w:r>
          </w:p>
        </w:tc>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Transactional email via Resend</w:t>
            </w:r>
          </w:p>
        </w:tc>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In-app inbox, push, SMS, digest emails</w:t>
            </w:r>
          </w:p>
        </w:tc>
      </w:tr>
    </w:tbl>
    <w:p>
      <w:pPr>
        <w:spacing w:after="80"/>
      </w:pPr>
      <w:r>
        <w:t xml:space="preserve"/>
      </w:r>
    </w:p>
    <w:p>
      <w:pPr>
        <w:pStyle w:val="Heading2"/>
        <w:spacing w:after="140" w:before="280"/>
      </w:pPr>
      <w:r>
        <w:rPr>
          <w:rFonts w:ascii="Calibri" w:cs="Calibri" w:eastAsia="Calibri" w:hAnsi="Calibri"/>
          <w:b/>
          <w:bCs/>
          <w:color w:val="2E5C8A"/>
          <w:sz w:val="28"/>
          <w:szCs w:val="28"/>
        </w:rPr>
        <w:t xml:space="preserve">4.2 Phase 2 — Months 4–6</w:t>
      </w:r>
    </w:p>
    <w:p>
      <w:pPr>
        <w:pStyle w:val="ListParagraph"/>
        <w:numPr>
          <w:ilvl w:val="0"/>
          <w:numId w:val="2"/>
        </w:numPr>
        <w:spacing w:after="60" w:line="290"/>
      </w:pPr>
      <w:r>
        <w:rPr>
          <w:rFonts w:ascii="Calibri" w:cs="Calibri" w:eastAsia="Calibri" w:hAnsi="Calibri"/>
          <w:b/>
          <w:bCs/>
          <w:sz w:val="22"/>
          <w:szCs w:val="22"/>
        </w:rPr>
        <w:t xml:space="preserve">SCORM 1.2 + xAPI import and runtime</w:t>
      </w:r>
      <w:r>
        <w:rPr>
          <w:rFonts w:ascii="Calibri" w:cs="Calibri" w:eastAsia="Calibri" w:hAnsi="Calibri"/>
          <w:sz w:val="22"/>
          <w:szCs w:val="22"/>
        </w:rPr>
        <w:t xml:space="preserve"> — required for any L&amp;D buyer with existing courseware.</w:t>
      </w:r>
    </w:p>
    <w:p>
      <w:pPr>
        <w:pStyle w:val="ListParagraph"/>
        <w:numPr>
          <w:ilvl w:val="0"/>
          <w:numId w:val="2"/>
        </w:numPr>
        <w:spacing w:after="60" w:line="290"/>
      </w:pPr>
      <w:r>
        <w:rPr>
          <w:rFonts w:ascii="Calibri" w:cs="Calibri" w:eastAsia="Calibri" w:hAnsi="Calibri"/>
          <w:b/>
          <w:bCs/>
          <w:sz w:val="22"/>
          <w:szCs w:val="22"/>
        </w:rPr>
        <w:t xml:space="preserve">SSO (SAML 2.0 + OIDC)</w:t>
      </w:r>
      <w:r>
        <w:rPr>
          <w:rFonts w:ascii="Calibri" w:cs="Calibri" w:eastAsia="Calibri" w:hAnsi="Calibri"/>
          <w:sz w:val="22"/>
          <w:szCs w:val="22"/>
        </w:rPr>
        <w:t xml:space="preserve"> — gateway feature for mid-market deals.</w:t>
      </w:r>
    </w:p>
    <w:p>
      <w:pPr>
        <w:pStyle w:val="ListParagraph"/>
        <w:numPr>
          <w:ilvl w:val="0"/>
          <w:numId w:val="2"/>
        </w:numPr>
        <w:spacing w:after="60" w:line="290"/>
      </w:pPr>
      <w:r>
        <w:rPr>
          <w:rFonts w:ascii="Calibri" w:cs="Calibri" w:eastAsia="Calibri" w:hAnsi="Calibri"/>
          <w:b/>
          <w:bCs/>
          <w:sz w:val="22"/>
          <w:szCs w:val="22"/>
        </w:rPr>
        <w:t xml:space="preserve">AI-assisted course authoring</w:t>
      </w:r>
      <w:r>
        <w:rPr>
          <w:rFonts w:ascii="Calibri" w:cs="Calibri" w:eastAsia="Calibri" w:hAnsi="Calibri"/>
          <w:sz w:val="22"/>
          <w:szCs w:val="22"/>
        </w:rPr>
        <w:t xml:space="preserve"> — generate lessons, quizzes, and outlines from uploaded source material. Outputs follow the AI verification workflow (see §7.5).</w:t>
      </w:r>
    </w:p>
    <w:p>
      <w:pPr>
        <w:pStyle w:val="ListParagraph"/>
        <w:numPr>
          <w:ilvl w:val="0"/>
          <w:numId w:val="2"/>
        </w:numPr>
        <w:spacing w:after="60" w:line="290"/>
      </w:pPr>
      <w:r>
        <w:rPr>
          <w:rFonts w:ascii="Calibri" w:cs="Calibri" w:eastAsia="Calibri" w:hAnsi="Calibri"/>
          <w:b/>
          <w:bCs/>
          <w:sz w:val="22"/>
          <w:szCs w:val="22"/>
        </w:rPr>
        <w:t xml:space="preserve">Discussion forums</w:t>
      </w:r>
      <w:r>
        <w:rPr>
          <w:rFonts w:ascii="Calibri" w:cs="Calibri" w:eastAsia="Calibri" w:hAnsi="Calibri"/>
          <w:sz w:val="22"/>
          <w:szCs w:val="22"/>
        </w:rPr>
        <w:t xml:space="preserve"> — per-course threads, basic moderation.</w:t>
      </w:r>
    </w:p>
    <w:p>
      <w:pPr>
        <w:pStyle w:val="ListParagraph"/>
        <w:numPr>
          <w:ilvl w:val="0"/>
          <w:numId w:val="2"/>
        </w:numPr>
        <w:spacing w:after="60" w:line="290"/>
      </w:pPr>
      <w:r>
        <w:rPr>
          <w:rFonts w:ascii="Calibri" w:cs="Calibri" w:eastAsia="Calibri" w:hAnsi="Calibri"/>
          <w:b/>
          <w:bCs/>
          <w:sz w:val="22"/>
          <w:szCs w:val="22"/>
        </w:rPr>
        <w:t xml:space="preserve">Advanced analytics</w:t>
      </w:r>
      <w:r>
        <w:rPr>
          <w:rFonts w:ascii="Calibri" w:cs="Calibri" w:eastAsia="Calibri" w:hAnsi="Calibri"/>
          <w:sz w:val="22"/>
          <w:szCs w:val="22"/>
        </w:rPr>
        <w:t xml:space="preserve"> — engagement heatmaps, drop-off analysis, custom report builder.</w:t>
      </w:r>
    </w:p>
    <w:p>
      <w:pPr>
        <w:pStyle w:val="ListParagraph"/>
        <w:numPr>
          <w:ilvl w:val="0"/>
          <w:numId w:val="2"/>
        </w:numPr>
        <w:spacing w:after="60" w:line="290"/>
      </w:pPr>
      <w:r>
        <w:rPr>
          <w:rFonts w:ascii="Calibri" w:cs="Calibri" w:eastAsia="Calibri" w:hAnsi="Calibri"/>
          <w:b/>
          <w:bCs/>
          <w:sz w:val="22"/>
          <w:szCs w:val="22"/>
        </w:rPr>
        <w:t xml:space="preserve">Live classes (lightweight)</w:t>
      </w:r>
      <w:r>
        <w:rPr>
          <w:rFonts w:ascii="Calibri" w:cs="Calibri" w:eastAsia="Calibri" w:hAnsi="Calibri"/>
          <w:sz w:val="22"/>
          <w:szCs w:val="22"/>
        </w:rPr>
        <w:t xml:space="preserve"> — Zoom/Google Meet integration first (calendar + join links + attendance webhook). Native WebRTC deferred indefinitely.</w:t>
      </w:r>
    </w:p>
    <w:p>
      <w:pPr>
        <w:pStyle w:val="Heading2"/>
        <w:spacing w:after="140" w:before="280"/>
      </w:pPr>
      <w:r>
        <w:rPr>
          <w:rFonts w:ascii="Calibri" w:cs="Calibri" w:eastAsia="Calibri" w:hAnsi="Calibri"/>
          <w:b/>
          <w:bCs/>
          <w:color w:val="2E5C8A"/>
          <w:sz w:val="28"/>
          <w:szCs w:val="28"/>
        </w:rPr>
        <w:t xml:space="preserve">4.3 Phase 3 — Months 7–9</w:t>
      </w:r>
    </w:p>
    <w:p>
      <w:pPr>
        <w:pStyle w:val="ListParagraph"/>
        <w:numPr>
          <w:ilvl w:val="0"/>
          <w:numId w:val="2"/>
        </w:numPr>
        <w:spacing w:after="60" w:line="290"/>
      </w:pPr>
      <w:r>
        <w:rPr>
          <w:rFonts w:ascii="Calibri" w:cs="Calibri" w:eastAsia="Calibri" w:hAnsi="Calibri"/>
          <w:b/>
          <w:bCs/>
          <w:sz w:val="22"/>
          <w:szCs w:val="22"/>
        </w:rPr>
        <w:t xml:space="preserve">Course marketplace &amp; payments</w:t>
      </w:r>
      <w:r>
        <w:rPr>
          <w:rFonts w:ascii="Calibri" w:cs="Calibri" w:eastAsia="Calibri" w:hAnsi="Calibri"/>
          <w:sz w:val="22"/>
          <w:szCs w:val="22"/>
        </w:rPr>
        <w:t xml:space="preserve"> — tenants can sell courses; Stripe Connect for revenue split.</w:t>
      </w:r>
    </w:p>
    <w:p>
      <w:pPr>
        <w:pStyle w:val="ListParagraph"/>
        <w:numPr>
          <w:ilvl w:val="0"/>
          <w:numId w:val="2"/>
        </w:numPr>
        <w:spacing w:after="60" w:line="290"/>
      </w:pPr>
      <w:r>
        <w:rPr>
          <w:rFonts w:ascii="Calibri" w:cs="Calibri" w:eastAsia="Calibri" w:hAnsi="Calibri"/>
          <w:b/>
          <w:bCs/>
          <w:sz w:val="22"/>
          <w:szCs w:val="22"/>
        </w:rPr>
        <w:t xml:space="preserve">Agentic AI skills (MCP)</w:t>
      </w:r>
      <w:r>
        <w:rPr>
          <w:rFonts w:ascii="Calibri" w:cs="Calibri" w:eastAsia="Calibri" w:hAnsi="Calibri"/>
          <w:sz w:val="22"/>
          <w:szCs w:val="22"/>
        </w:rPr>
        <w:t xml:space="preserve"> — LangGraph agents that can take actions (assign training, generate reports, summarise cohorts) via MCP tools. External AI agents can also connect to OmniXtra via the MCP server (see §7.7).</w:t>
      </w:r>
    </w:p>
    <w:p>
      <w:pPr>
        <w:pStyle w:val="ListParagraph"/>
        <w:numPr>
          <w:ilvl w:val="0"/>
          <w:numId w:val="2"/>
        </w:numPr>
        <w:spacing w:after="60" w:line="290"/>
      </w:pPr>
      <w:r>
        <w:rPr>
          <w:rFonts w:ascii="Calibri" w:cs="Calibri" w:eastAsia="Calibri" w:hAnsi="Calibri"/>
          <w:b/>
          <w:bCs/>
          <w:sz w:val="22"/>
          <w:szCs w:val="22"/>
        </w:rPr>
        <w:t xml:space="preserve">Native live video</w:t>
      </w:r>
      <w:r>
        <w:rPr>
          <w:rFonts w:ascii="Calibri" w:cs="Calibri" w:eastAsia="Calibri" w:hAnsi="Calibri"/>
          <w:sz w:val="22"/>
          <w:szCs w:val="22"/>
        </w:rPr>
        <w:t xml:space="preserve"> — only if Phase 2 integration data shows clear demand; otherwise stay with Zoom/Meet.</w:t>
      </w:r>
    </w:p>
    <w:p>
      <w:pPr>
        <w:pStyle w:val="ListParagraph"/>
        <w:numPr>
          <w:ilvl w:val="0"/>
          <w:numId w:val="2"/>
        </w:numPr>
        <w:spacing w:after="60" w:line="290"/>
      </w:pPr>
      <w:r>
        <w:rPr>
          <w:rFonts w:ascii="Calibri" w:cs="Calibri" w:eastAsia="Calibri" w:hAnsi="Calibri"/>
          <w:b/>
          <w:bCs/>
          <w:sz w:val="22"/>
          <w:szCs w:val="22"/>
        </w:rPr>
        <w:t xml:space="preserve">Compliance &amp; audit</w:t>
      </w:r>
      <w:r>
        <w:rPr>
          <w:rFonts w:ascii="Calibri" w:cs="Calibri" w:eastAsia="Calibri" w:hAnsi="Calibri"/>
          <w:sz w:val="22"/>
          <w:szCs w:val="22"/>
        </w:rPr>
        <w:t xml:space="preserve"> — SOC 2 Type 1 prep, GDPR DPA template, audit log export.</w:t>
      </w:r>
    </w:p>
    <w:p>
      <w:pPr>
        <w:pStyle w:val="ListParagraph"/>
        <w:numPr>
          <w:ilvl w:val="0"/>
          <w:numId w:val="2"/>
        </w:numPr>
        <w:spacing w:after="60" w:line="290"/>
      </w:pPr>
      <w:r>
        <w:rPr>
          <w:rFonts w:ascii="Calibri" w:cs="Calibri" w:eastAsia="Calibri" w:hAnsi="Calibri"/>
          <w:b/>
          <w:bCs/>
          <w:sz w:val="22"/>
          <w:szCs w:val="22"/>
        </w:rPr>
        <w:t xml:space="preserve">Mobile PWA polish</w:t>
      </w:r>
      <w:r>
        <w:rPr>
          <w:rFonts w:ascii="Calibri" w:cs="Calibri" w:eastAsia="Calibri" w:hAnsi="Calibri"/>
          <w:sz w:val="22"/>
          <w:szCs w:val="22"/>
        </w:rPr>
        <w:t xml:space="preserve"> — offline lesson caching, push notifications via Web Push.</w:t>
      </w:r>
    </w:p>
    <w:p>
      <w:pPr>
        <w:pStyle w:val="Heading2"/>
        <w:spacing w:after="140" w:before="280"/>
      </w:pPr>
      <w:r>
        <w:rPr>
          <w:rFonts w:ascii="Calibri" w:cs="Calibri" w:eastAsia="Calibri" w:hAnsi="Calibri"/>
          <w:b/>
          <w:bCs/>
          <w:color w:val="2E5C8A"/>
          <w:sz w:val="28"/>
          <w:szCs w:val="28"/>
        </w:rPr>
        <w:t xml:space="preserve">4.4 Explicit Non-Goals</w:t>
      </w:r>
    </w:p>
    <w:p>
      <w:pPr>
        <w:spacing w:after="120" w:line="300"/>
      </w:pPr>
      <w:r>
        <w:rPr>
          <w:rFonts w:ascii="Calibri" w:cs="Calibri" w:eastAsia="Calibri" w:hAnsi="Calibri"/>
          <w:sz w:val="22"/>
          <w:szCs w:val="22"/>
        </w:rPr>
        <w:t xml:space="preserve">These will be declined politely if asked for. Saying no early is how scope is protected:</w:t>
      </w:r>
    </w:p>
    <w:p>
      <w:pPr>
        <w:pStyle w:val="ListParagraph"/>
        <w:numPr>
          <w:ilvl w:val="0"/>
          <w:numId w:val="2"/>
        </w:numPr>
        <w:spacing w:after="60" w:line="290"/>
      </w:pPr>
      <w:r>
        <w:rPr>
          <w:rFonts w:ascii="Calibri" w:cs="Calibri" w:eastAsia="Calibri" w:hAnsi="Calibri"/>
          <w:sz w:val="22"/>
          <w:szCs w:val="22"/>
        </w:rPr>
        <w:t xml:space="preserve">Native iOS/Android apps (PWA only)</w:t>
      </w:r>
    </w:p>
    <w:p>
      <w:pPr>
        <w:pStyle w:val="ListParagraph"/>
        <w:numPr>
          <w:ilvl w:val="0"/>
          <w:numId w:val="2"/>
        </w:numPr>
        <w:spacing w:after="60" w:line="290"/>
      </w:pPr>
      <w:r>
        <w:rPr>
          <w:rFonts w:ascii="Calibri" w:cs="Calibri" w:eastAsia="Calibri" w:hAnsi="Calibri"/>
          <w:sz w:val="22"/>
          <w:szCs w:val="22"/>
        </w:rPr>
        <w:t xml:space="preserve">Authoring rich interactive content beyond block-based editor (no parity with Articulate Storyline)</w:t>
      </w:r>
    </w:p>
    <w:p>
      <w:pPr>
        <w:pStyle w:val="ListParagraph"/>
        <w:numPr>
          <w:ilvl w:val="0"/>
          <w:numId w:val="2"/>
        </w:numPr>
        <w:spacing w:after="60" w:line="290"/>
      </w:pPr>
      <w:r>
        <w:rPr>
          <w:rFonts w:ascii="Calibri" w:cs="Calibri" w:eastAsia="Calibri" w:hAnsi="Calibri"/>
          <w:sz w:val="22"/>
          <w:szCs w:val="22"/>
        </w:rPr>
        <w:t xml:space="preserve">Proctored exams / lockdown browsers</w:t>
      </w:r>
    </w:p>
    <w:p>
      <w:pPr>
        <w:pStyle w:val="ListParagraph"/>
        <w:numPr>
          <w:ilvl w:val="0"/>
          <w:numId w:val="2"/>
        </w:numPr>
        <w:spacing w:after="60" w:line="290"/>
      </w:pPr>
      <w:r>
        <w:rPr>
          <w:rFonts w:ascii="Calibri" w:cs="Calibri" w:eastAsia="Calibri" w:hAnsi="Calibri"/>
          <w:sz w:val="22"/>
          <w:szCs w:val="22"/>
        </w:rPr>
        <w:t xml:space="preserve">On-prem or self-hosted deployment</w:t>
      </w:r>
    </w:p>
    <w:p>
      <w:pPr>
        <w:pStyle w:val="ListParagraph"/>
        <w:numPr>
          <w:ilvl w:val="0"/>
          <w:numId w:val="2"/>
        </w:numPr>
        <w:spacing w:after="60" w:line="290"/>
      </w:pPr>
      <w:r>
        <w:rPr>
          <w:rFonts w:ascii="Calibri" w:cs="Calibri" w:eastAsia="Calibri" w:hAnsi="Calibri"/>
          <w:sz w:val="22"/>
          <w:szCs w:val="22"/>
        </w:rPr>
        <w:t xml:space="preserve">White-glove migration services (provide tooling, not labour)</w:t>
      </w:r>
    </w:p>
    <w:p>
      <w:r>
        <w:br w:type="page"/>
      </w:r>
    </w:p>
    <w:p>
      <w:pPr>
        <w:pStyle w:val="Heading1"/>
        <w:spacing w:after="180" w:before="360"/>
      </w:pPr>
      <w:r>
        <w:rPr>
          <w:rFonts w:ascii="Calibri" w:cs="Calibri" w:eastAsia="Calibri" w:hAnsi="Calibri"/>
          <w:b/>
          <w:bCs/>
          <w:color w:val="1F3A5F"/>
          <w:sz w:val="36"/>
          <w:szCs w:val="36"/>
        </w:rPr>
        <w:t xml:space="preserve">5. Technical Architecture</w:t>
      </w:r>
    </w:p>
    <w:p>
      <w:pPr>
        <w:pStyle w:val="Heading2"/>
        <w:spacing w:after="140" w:before="280"/>
      </w:pPr>
      <w:r>
        <w:rPr>
          <w:rFonts w:ascii="Calibri" w:cs="Calibri" w:eastAsia="Calibri" w:hAnsi="Calibri"/>
          <w:b/>
          <w:bCs/>
          <w:color w:val="2E5C8A"/>
          <w:sz w:val="28"/>
          <w:szCs w:val="28"/>
        </w:rPr>
        <w:t xml:space="preserve">5.1 Architectural Principles</w:t>
      </w:r>
    </w:p>
    <w:p>
      <w:pPr>
        <w:pStyle w:val="ListParagraph"/>
        <w:numPr>
          <w:ilvl w:val="0"/>
          <w:numId w:val="3"/>
        </w:numPr>
        <w:spacing w:after="80" w:line="290"/>
      </w:pPr>
      <w:r>
        <w:rPr>
          <w:rFonts w:ascii="Calibri" w:cs="Calibri" w:eastAsia="Calibri" w:hAnsi="Calibri"/>
          <w:sz w:val="22"/>
          <w:szCs w:val="22"/>
        </w:rPr>
        <w:t xml:space="preserve">Modular monolith first. One FastAPI application, organised into clear domains (auth, tenancy, courses, learning, ai, billing). Microservices are an emergency exit, not a starting position.</w:t>
      </w:r>
    </w:p>
    <w:p>
      <w:pPr>
        <w:pStyle w:val="ListParagraph"/>
        <w:numPr>
          <w:ilvl w:val="0"/>
          <w:numId w:val="3"/>
        </w:numPr>
        <w:spacing w:after="80" w:line="290"/>
      </w:pPr>
      <w:r>
        <w:rPr>
          <w:rFonts w:ascii="Calibri" w:cs="Calibri" w:eastAsia="Calibri" w:hAnsi="Calibri"/>
          <w:sz w:val="22"/>
          <w:szCs w:val="22"/>
        </w:rPr>
        <w:t xml:space="preserve">Async by default. FastAPI + asyncpg + httpx + Dramatiq workers. Synchronous code is the exception.</w:t>
      </w:r>
    </w:p>
    <w:p>
      <w:pPr>
        <w:pStyle w:val="ListParagraph"/>
        <w:numPr>
          <w:ilvl w:val="0"/>
          <w:numId w:val="3"/>
        </w:numPr>
        <w:spacing w:after="80" w:line="290"/>
      </w:pPr>
      <w:r>
        <w:rPr>
          <w:rFonts w:ascii="Calibri" w:cs="Calibri" w:eastAsia="Calibri" w:hAnsi="Calibri"/>
          <w:sz w:val="22"/>
          <w:szCs w:val="22"/>
        </w:rPr>
        <w:t xml:space="preserve">Defence in depth for tenancy. Three layers: API middleware → ORM query filter → Postgres RLS. Belt, braces, and a second belt.</w:t>
      </w:r>
    </w:p>
    <w:p>
      <w:pPr>
        <w:pStyle w:val="ListParagraph"/>
        <w:numPr>
          <w:ilvl w:val="0"/>
          <w:numId w:val="3"/>
        </w:numPr>
        <w:spacing w:after="80" w:line="290"/>
      </w:pPr>
      <w:r>
        <w:rPr>
          <w:rFonts w:ascii="Calibri" w:cs="Calibri" w:eastAsia="Calibri" w:hAnsi="Calibri"/>
          <w:sz w:val="22"/>
          <w:szCs w:val="22"/>
        </w:rPr>
        <w:t xml:space="preserve">Idempotency everywhere money or grades change. Every write endpoint that affects billing, enrolment, or completion accepts an Idempotency-Key header.</w:t>
      </w:r>
    </w:p>
    <w:p>
      <w:pPr>
        <w:pStyle w:val="ListParagraph"/>
        <w:numPr>
          <w:ilvl w:val="0"/>
          <w:numId w:val="3"/>
        </w:numPr>
        <w:spacing w:after="80" w:line="290"/>
      </w:pPr>
      <w:r>
        <w:rPr>
          <w:rFonts w:ascii="Calibri" w:cs="Calibri" w:eastAsia="Calibri" w:hAnsi="Calibri"/>
          <w:sz w:val="22"/>
          <w:szCs w:val="22"/>
        </w:rPr>
        <w:t xml:space="preserve">Design for extraction, not distribution. Modules expose service interfaces. Future extraction to a separate service is a deployment change, not a rewrite.</w:t>
      </w:r>
    </w:p>
    <w:p>
      <w:pPr>
        <w:pStyle w:val="ListParagraph"/>
        <w:numPr>
          <w:ilvl w:val="0"/>
          <w:numId w:val="3"/>
        </w:numPr>
        <w:spacing w:after="80" w:line="290"/>
      </w:pPr>
      <w:r>
        <w:rPr>
          <w:rFonts w:ascii="Calibri" w:cs="Calibri" w:eastAsia="Calibri" w:hAnsi="Calibri"/>
          <w:sz w:val="22"/>
          <w:szCs w:val="22"/>
        </w:rPr>
        <w:t xml:space="preserve">Build for the second customer. Nothing is hard-coded that should be configurable: branding, locale, time zones, email templates.</w:t>
      </w:r>
    </w:p>
    <w:p>
      <w:pPr>
        <w:pStyle w:val="Heading2"/>
        <w:spacing w:after="140" w:before="280"/>
      </w:pPr>
      <w:r>
        <w:rPr>
          <w:rFonts w:ascii="Calibri" w:cs="Calibri" w:eastAsia="Calibri" w:hAnsi="Calibri"/>
          <w:b/>
          <w:bCs/>
          <w:color w:val="2E5C8A"/>
          <w:sz w:val="28"/>
          <w:szCs w:val="28"/>
        </w:rPr>
        <w:t xml:space="preserve">5.2 System Context (C4 Level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6FA" w:color="auto"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Next.js (App)  │───▶│   CDN / Vercel   │</w:t>
            </w:r>
          </w:p>
          <w:p>
            <w:pPr>
              <w:spacing w:after="0" w:line="240"/>
            </w:pPr>
            <w:r>
              <w:rPr>
                <w:rFonts w:ascii="Consolas" w:cs="Consolas" w:eastAsia="Consolas" w:hAnsi="Consolas"/>
                <w:sz w:val="18"/>
                <w:szCs w:val="18"/>
              </w:rPr>
              <w:t xml:space="preserve">│  React 19, SSR  │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 HTTPS + JWT (httpOnly cookie)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FastAPI Modular Monolith           │</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  Auth   │ Courses │  AI/RAG │  ...   │</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          │          │          │</w:t>
            </w:r>
          </w:p>
          <w:p>
            <w:pPr>
              <w:spacing w:after="0" w:line="240"/>
            </w:pPr>
            <w:r>
              <w:rPr>
                <w:rFonts w:ascii="Consolas" w:cs="Consolas" w:eastAsia="Consolas" w:hAnsi="Consolas"/>
                <w:sz w:val="18"/>
                <w:szCs w:val="18"/>
              </w:rPr>
              <w:t xml:space="preserve">     ▼          ▼          ▼          ▼</w:t>
            </w:r>
          </w:p>
          <w:p>
            <w:pPr>
              <w:spacing w:after="0" w:line="240"/>
            </w:pPr>
            <w:r>
              <w:rPr>
                <w:rFonts w:ascii="Consolas" w:cs="Consolas" w:eastAsia="Consolas" w:hAnsi="Consolas"/>
                <w:sz w:val="18"/>
                <w:szCs w:val="18"/>
              </w:rPr>
              <w:t xml:space="preserve">┌─────────┐ ┌────────┐ ┌────────┐ ┌──────────┐</w:t>
            </w:r>
          </w:p>
          <w:p>
            <w:pPr>
              <w:spacing w:after="0" w:line="240"/>
            </w:pPr>
            <w:r>
              <w:rPr>
                <w:rFonts w:ascii="Consolas" w:cs="Consolas" w:eastAsia="Consolas" w:hAnsi="Consolas"/>
                <w:sz w:val="18"/>
                <w:szCs w:val="18"/>
              </w:rPr>
              <w:t xml:space="preserve">│Postgres │ │ Redis  │ │  S3    │ │ Dramatiq │</w:t>
            </w:r>
          </w:p>
          <w:p>
            <w:pPr>
              <w:spacing w:after="0" w:line="240"/>
            </w:pPr>
            <w:r>
              <w:rPr>
                <w:rFonts w:ascii="Consolas" w:cs="Consolas" w:eastAsia="Consolas" w:hAnsi="Consolas"/>
                <w:sz w:val="18"/>
                <w:szCs w:val="18"/>
              </w:rPr>
              <w:t xml:space="preserve">│+pgvector│ │(cache, │ │(media) │ │ (workers)│</w:t>
            </w:r>
          </w:p>
          <w:p>
            <w:pPr>
              <w:spacing w:after="0" w:line="240"/>
            </w:pPr>
            <w:r>
              <w:rPr>
                <w:rFonts w:ascii="Consolas" w:cs="Consolas" w:eastAsia="Consolas" w:hAnsi="Consolas"/>
                <w:sz w:val="18"/>
                <w:szCs w:val="18"/>
              </w:rPr>
              <w:t xml:space="preserve">│  + RLS  │ │ pubsub)│ │        │ │          │</w:t>
            </w:r>
          </w:p>
          <w:p>
            <w:pPr>
              <w:spacing w:after="0" w:line="240"/>
            </w:pPr>
            <w:r>
              <w:rPr>
                <w:rFonts w:ascii="Consolas" w:cs="Consolas" w:eastAsia="Consolas" w:hAnsi="Consolas"/>
                <w:sz w:val="18"/>
                <w:szCs w:val="18"/>
              </w:rPr>
              <w:t xml:space="preserve">└─────────┘ └────────┘ └────────┘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LLM Providers   │</w:t>
            </w:r>
          </w:p>
          <w:p>
            <w:pPr>
              <w:spacing w:after="0" w:line="240"/>
            </w:pPr>
            <w:r>
              <w:rPr>
                <w:rFonts w:ascii="Consolas" w:cs="Consolas" w:eastAsia="Consolas" w:hAnsi="Consolas"/>
                <w:sz w:val="18"/>
                <w:szCs w:val="18"/>
              </w:rPr>
              <w:t xml:space="preserve">                            │  (OpenAI/Claude) │</w:t>
            </w:r>
          </w:p>
          <w:p>
            <w:pPr>
              <w:spacing w:after="0" w:line="240"/>
            </w:pPr>
            <w:r>
              <w:rPr>
                <w:rFonts w:ascii="Consolas" w:cs="Consolas" w:eastAsia="Consolas" w:hAnsi="Consolas"/>
                <w:sz w:val="18"/>
                <w:szCs w:val="18"/>
              </w:rPr>
              <w:t xml:space="preserve">                            │ via LangGraph/MCP│</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External AI Agents ──────▶│  MCP Server      │</w:t>
            </w:r>
          </w:p>
          <w:p>
            <w:pPr>
              <w:spacing w:after="0" w:line="240"/>
            </w:pPr>
            <w:r>
              <w:rPr>
                <w:rFonts w:ascii="Consolas" w:cs="Consolas" w:eastAsia="Consolas" w:hAnsi="Consolas"/>
                <w:sz w:val="18"/>
                <w:szCs w:val="18"/>
              </w:rPr>
              <w:t xml:space="preserve">                            │  (Phase 3)       │</w:t>
            </w:r>
          </w:p>
          <w:p>
            <w:pPr>
              <w:spacing w:after="0" w:line="240"/>
            </w:pPr>
            <w:r>
              <w:rPr>
                <w:rFonts w:ascii="Consolas" w:cs="Consolas" w:eastAsia="Consolas" w:hAnsi="Consolas"/>
                <w:sz w:val="18"/>
                <w:szCs w:val="18"/>
              </w:rPr>
              <w:t xml:space="preserve">                            └──────────────────┘</w:t>
            </w:r>
          </w:p>
        </w:tc>
      </w:tr>
    </w:tbl>
    <w:p>
      <w:pPr>
        <w:spacing w:after="80"/>
      </w:pPr>
      <w:r>
        <w:t xml:space="preserve"/>
      </w:r>
    </w:p>
    <w:p>
      <w:pPr>
        <w:pStyle w:val="Heading2"/>
        <w:spacing w:after="140" w:before="280"/>
      </w:pPr>
      <w:r>
        <w:rPr>
          <w:rFonts w:ascii="Calibri" w:cs="Calibri" w:eastAsia="Calibri" w:hAnsi="Calibri"/>
          <w:b/>
          <w:bCs/>
          <w:color w:val="2E5C8A"/>
          <w:sz w:val="28"/>
          <w:szCs w:val="28"/>
        </w:rPr>
        <w:t xml:space="preserve">5.3 Stack Decisions &amp;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5260"/>
      </w:tblGrid>
      <w:tr>
        <w:trPr>
          <w:tblHeader/>
        </w:trPr>
        <w:tc>
          <w:tcPr>
            <w:tcW w:type="dxa" w:w="170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Layer</w:t>
            </w:r>
          </w:p>
        </w:tc>
        <w:tc>
          <w:tcPr>
            <w:tcW w:type="dxa" w:w="240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Choice</w:t>
            </w:r>
          </w:p>
        </w:tc>
        <w:tc>
          <w:tcPr>
            <w:tcW w:type="dxa" w:w="526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Why this, not the alternative</w:t>
            </w:r>
          </w:p>
        </w:tc>
      </w:tr>
      <w:tr>
        <w:tc>
          <w:tcPr>
            <w:tcW w:type="dxa" w:w="17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Backend framework</w:t>
            </w:r>
          </w:p>
        </w:tc>
        <w:tc>
          <w:tcPr>
            <w:tcW w:type="dxa" w:w="24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FastAPI (Python 3.12)</w:t>
            </w:r>
          </w:p>
        </w:tc>
        <w:tc>
          <w:tcPr>
            <w:tcW w:type="dxa" w:w="52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Async-native, excellent OpenAPI generation, strong AI/ML ecosystem</w:t>
            </w:r>
          </w:p>
        </w:tc>
      </w:tr>
      <w:tr>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Package manager</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uv</w:t>
            </w:r>
          </w:p>
        </w:tc>
        <w:tc>
          <w:tcPr>
            <w:tcW w:type="dxa" w:w="52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Faster than pip, lockfile-first, drop-in replacement</w:t>
            </w:r>
          </w:p>
        </w:tc>
      </w:tr>
      <w:tr>
        <w:tc>
          <w:tcPr>
            <w:tcW w:type="dxa" w:w="17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ORM</w:t>
            </w:r>
          </w:p>
        </w:tc>
        <w:tc>
          <w:tcPr>
            <w:tcW w:type="dxa" w:w="24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SQLAlchemy 2.x async + Alembic</w:t>
            </w:r>
          </w:p>
        </w:tc>
        <w:tc>
          <w:tcPr>
            <w:tcW w:type="dxa" w:w="52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Mature, supports RLS-friendly query patterns, async-first</w:t>
            </w:r>
          </w:p>
        </w:tc>
      </w:tr>
      <w:tr>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Frontend</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Next.js 15 (App Router) + React 19</w:t>
            </w:r>
          </w:p>
        </w:tc>
        <w:tc>
          <w:tcPr>
            <w:tcW w:type="dxa" w:w="52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SSR for marketing pages, RSC for performance, mature ecosystem</w:t>
            </w:r>
          </w:p>
        </w:tc>
      </w:tr>
      <w:tr>
        <w:tc>
          <w:tcPr>
            <w:tcW w:type="dxa" w:w="17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UI components</w:t>
            </w:r>
          </w:p>
        </w:tc>
        <w:tc>
          <w:tcPr>
            <w:tcW w:type="dxa" w:w="24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shadcn/ui + Tailwind 4</w:t>
            </w:r>
          </w:p>
        </w:tc>
        <w:tc>
          <w:tcPr>
            <w:tcW w:type="dxa" w:w="52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Owned components (not a dependency), easy to brand per-tenant</w:t>
            </w:r>
          </w:p>
        </w:tc>
      </w:tr>
      <w:tr>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Database</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PostgreSQL 16 + pgvector</w:t>
            </w:r>
          </w:p>
        </w:tc>
        <w:tc>
          <w:tcPr>
            <w:tcW w:type="dxa" w:w="52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One database for relational + vector eliminates a moving part. RLS is the linchpin of our tenancy model.</w:t>
            </w:r>
          </w:p>
        </w:tc>
      </w:tr>
      <w:tr>
        <w:tc>
          <w:tcPr>
            <w:tcW w:type="dxa" w:w="17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Cache / sessions / pubsub</w:t>
            </w:r>
          </w:p>
        </w:tc>
        <w:tc>
          <w:tcPr>
            <w:tcW w:type="dxa" w:w="24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Redis 7 (managed)</w:t>
            </w:r>
          </w:p>
        </w:tc>
        <w:tc>
          <w:tcPr>
            <w:tcW w:type="dxa" w:w="52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Standard. Backs the job queue and SSE event distribution.</w:t>
            </w:r>
          </w:p>
        </w:tc>
      </w:tr>
      <w:tr>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Job queue</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Dramatiq (Redis broker)</w:t>
            </w:r>
          </w:p>
        </w:tc>
        <w:tc>
          <w:tcPr>
            <w:tcW w:type="dxa" w:w="52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Reliable, simple, production-ready. Retry-safe with idempotent actors. Celery rejected as operationally heavier.</w:t>
            </w:r>
          </w:p>
        </w:tc>
      </w:tr>
      <w:tr>
        <w:tc>
          <w:tcPr>
            <w:tcW w:type="dxa" w:w="17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AI orchestration</w:t>
            </w:r>
          </w:p>
        </w:tc>
        <w:tc>
          <w:tcPr>
            <w:tcW w:type="dxa" w:w="24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LangGraph + LangChain</w:t>
            </w:r>
          </w:p>
        </w:tc>
        <w:tc>
          <w:tcPr>
            <w:tcW w:type="dxa" w:w="52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Stateful graphs, human-in-the-loop, streaming, checkpointing. LangChain used as thin abstraction.</w:t>
            </w:r>
          </w:p>
        </w:tc>
      </w:tr>
      <w:tr>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AI observability</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LangSmith</w:t>
            </w:r>
          </w:p>
        </w:tc>
        <w:tc>
          <w:tcPr>
            <w:tcW w:type="dxa" w:w="52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Tracing, evaluation, prompt versioning, cost dashboard out of the box</w:t>
            </w:r>
          </w:p>
        </w:tc>
      </w:tr>
      <w:tr>
        <w:tc>
          <w:tcPr>
            <w:tcW w:type="dxa" w:w="17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Vector store</w:t>
            </w:r>
          </w:p>
        </w:tc>
        <w:tc>
          <w:tcPr>
            <w:tcW w:type="dxa" w:w="24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pgvector (same Postgres)</w:t>
            </w:r>
          </w:p>
        </w:tc>
        <w:tc>
          <w:tcPr>
            <w:tcW w:type="dxa" w:w="52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Avoids a second datastore until scale demands it. Migration path documented.</w:t>
            </w:r>
          </w:p>
        </w:tc>
      </w:tr>
      <w:tr>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External AI access</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MCP Server (FastMCP)</w:t>
            </w:r>
          </w:p>
        </w:tc>
        <w:tc>
          <w:tcPr>
            <w:tcW w:type="dxa" w:w="52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Standard protocol so any MCP-compatible agent can use OmniXtra without bespoke integration. Phase 3.</w:t>
            </w:r>
          </w:p>
        </w:tc>
      </w:tr>
      <w:tr>
        <w:tc>
          <w:tcPr>
            <w:tcW w:type="dxa" w:w="17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Object storage</w:t>
            </w:r>
          </w:p>
        </w:tc>
        <w:tc>
          <w:tcPr>
            <w:tcW w:type="dxa" w:w="24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Cloudflare R2</w:t>
            </w:r>
          </w:p>
        </w:tc>
        <w:tc>
          <w:tcPr>
            <w:tcW w:type="dxa" w:w="52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~70% cheaper egress than S3 for video-heavy workloads</w:t>
            </w:r>
          </w:p>
        </w:tc>
      </w:tr>
      <w:tr>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Video delivery</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Mux or Cloudflare Stream</w:t>
            </w:r>
          </w:p>
        </w:tc>
        <w:tc>
          <w:tcPr>
            <w:tcW w:type="dxa" w:w="52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HLS encoding + adaptive bitrate as a managed service</w:t>
            </w:r>
          </w:p>
        </w:tc>
      </w:tr>
      <w:tr>
        <w:tc>
          <w:tcPr>
            <w:tcW w:type="dxa" w:w="17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Auth</w:t>
            </w:r>
          </w:p>
        </w:tc>
        <w:tc>
          <w:tcPr>
            <w:tcW w:type="dxa" w:w="24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fastapi-users + JWT in httpOnly cookies</w:t>
            </w:r>
          </w:p>
        </w:tc>
        <w:tc>
          <w:tcPr>
            <w:tcW w:type="dxa" w:w="52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Secure against XSS; refresh-token rotation with replay detection</w:t>
            </w:r>
          </w:p>
        </w:tc>
      </w:tr>
      <w:tr>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Email</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Resend (transactional)</w:t>
            </w:r>
          </w:p>
        </w:tc>
        <w:tc>
          <w:tcPr>
            <w:tcW w:type="dxa" w:w="52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Better DX than SendGrid; cheaper than Postmark at low volume</w:t>
            </w:r>
          </w:p>
        </w:tc>
      </w:tr>
      <w:tr>
        <w:tc>
          <w:tcPr>
            <w:tcW w:type="dxa" w:w="17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Payments</w:t>
            </w:r>
          </w:p>
        </w:tc>
        <w:tc>
          <w:tcPr>
            <w:tcW w:type="dxa" w:w="24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Stripe Billing + Connect (Phase 3)</w:t>
            </w:r>
          </w:p>
        </w:tc>
        <w:tc>
          <w:tcPr>
            <w:tcW w:type="dxa" w:w="52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Default choice. Stripe Tax for VAT/GST.</w:t>
            </w:r>
          </w:p>
        </w:tc>
      </w:tr>
      <w:tr>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Logging</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structlog (JSON)</w:t>
            </w:r>
          </w:p>
        </w:tc>
        <w:tc>
          <w:tcPr>
            <w:tcW w:type="dxa" w:w="52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Machine-parseable, observability-ready; processors enable PII redaction</w:t>
            </w:r>
          </w:p>
        </w:tc>
      </w:tr>
      <w:tr>
        <w:tc>
          <w:tcPr>
            <w:tcW w:type="dxa" w:w="17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Error tracking</w:t>
            </w:r>
          </w:p>
        </w:tc>
        <w:tc>
          <w:tcPr>
            <w:tcW w:type="dxa" w:w="24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Sentry</w:t>
            </w:r>
          </w:p>
        </w:tc>
        <w:tc>
          <w:tcPr>
            <w:tcW w:type="dxa" w:w="52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Industry standard, tenant_id + request_id as default tags</w:t>
            </w:r>
          </w:p>
        </w:tc>
      </w:tr>
      <w:tr>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Tracing</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OpenTelemetry</w:t>
            </w:r>
          </w:p>
        </w:tc>
        <w:tc>
          <w:tcPr>
            <w:tcW w:type="dxa" w:w="52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Vendor-neutral; exports to Grafana Cloud or Axiom</w:t>
            </w:r>
          </w:p>
        </w:tc>
      </w:tr>
      <w:tr>
        <w:tc>
          <w:tcPr>
            <w:tcW w:type="dxa" w:w="17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Hosting</w:t>
            </w:r>
          </w:p>
        </w:tc>
        <w:tc>
          <w:tcPr>
            <w:tcW w:type="dxa" w:w="24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Backend: Fly.io/Railway; Frontend: Vercel; DB: Neon or Supabase</w:t>
            </w:r>
          </w:p>
        </w:tc>
        <w:tc>
          <w:tcPr>
            <w:tcW w:type="dxa" w:w="52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Operationally feasible solo; portable to AWS later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C8A" w:sz="12"/>
              <w:left w:val="single" w:color="2E5C8A" w:sz="24"/>
              <w:bottom w:val="single" w:color="2E5C8A" w:sz="12"/>
              <w:right w:val="single" w:color="2E5C8A" w:sz="12"/>
            </w:tcBorders>
            <w:shd w:fill="E8F1FF" w:color="auto" w:val="clear"/>
            <w:tcMar>
              <w:top w:type="dxa" w:w="160"/>
              <w:left w:type="dxa" w:w="200"/>
              <w:bottom w:type="dxa" w:w="160"/>
              <w:right w:type="dxa" w:w="200"/>
            </w:tcMar>
          </w:tcPr>
          <w:p>
            <w:pPr>
              <w:spacing w:after="80"/>
            </w:pPr>
            <w:r>
              <w:rPr>
                <w:rFonts w:ascii="Calibri" w:cs="Calibri" w:eastAsia="Calibri" w:hAnsi="Calibri"/>
                <w:b/>
                <w:bCs/>
                <w:color w:val="5C4419"/>
                <w:sz w:val="22"/>
                <w:szCs w:val="22"/>
              </w:rPr>
              <w:t xml:space="preserve">Note on hosting choice</w:t>
            </w:r>
          </w:p>
          <w:p>
            <w:r>
              <w:rPr>
                <w:rFonts w:ascii="Calibri" w:cs="Calibri" w:eastAsia="Calibri" w:hAnsi="Calibri"/>
                <w:color w:val="333333"/>
                <w:sz w:val="22"/>
                <w:szCs w:val="22"/>
              </w:rPr>
              <w:t xml:space="preserve">The original draft mentioned AWS ECS / RDS. For a solo founder in months 1–6, Fly.io or Railway for backend + Vercel for frontend + Neon for Postgres is dramatically less operational overhead with equivalent capability at MVP scale. The architecture is portable — moving to AWS later is a deployment change, not a rewrite.</w:t>
            </w:r>
          </w:p>
        </w:tc>
      </w:tr>
    </w:tbl>
    <w:p>
      <w:pPr>
        <w:pStyle w:val="Heading2"/>
        <w:spacing w:after="140" w:before="280"/>
      </w:pPr>
      <w:r>
        <w:rPr>
          <w:rFonts w:ascii="Calibri" w:cs="Calibri" w:eastAsia="Calibri" w:hAnsi="Calibri"/>
          <w:b/>
          <w:bCs/>
          <w:color w:val="2E5C8A"/>
          <w:sz w:val="28"/>
          <w:szCs w:val="28"/>
        </w:rPr>
        <w:t xml:space="preserve">5.4 Domain Module Structure</w:t>
      </w:r>
    </w:p>
    <w:p>
      <w:pPr>
        <w:spacing w:after="120" w:line="300"/>
      </w:pPr>
      <w:r>
        <w:rPr>
          <w:rFonts w:ascii="Calibri" w:cs="Calibri" w:eastAsia="Calibri" w:hAnsi="Calibri"/>
          <w:sz w:val="22"/>
          <w:szCs w:val="22"/>
        </w:rPr>
        <w:t xml:space="preserve">Each domain module encapsulates the following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6FA" w:color="auto"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app/{module}/</w:t>
            </w:r>
          </w:p>
          <w:p>
            <w:pPr>
              <w:spacing w:after="0" w:line="240"/>
            </w:pPr>
            <w:r>
              <w:rPr>
                <w:rFonts w:ascii="Consolas" w:cs="Consolas" w:eastAsia="Consolas" w:hAnsi="Consolas"/>
                <w:sz w:val="18"/>
                <w:szCs w:val="18"/>
              </w:rPr>
              <w:t xml:space="preserve">├── models/          # SQLAlchemy 2.x typed ORM models</w:t>
            </w:r>
          </w:p>
          <w:p>
            <w:pPr>
              <w:spacing w:after="0" w:line="240"/>
            </w:pPr>
            <w:r>
              <w:rPr>
                <w:rFonts w:ascii="Consolas" w:cs="Consolas" w:eastAsia="Consolas" w:hAnsi="Consolas"/>
                <w:sz w:val="18"/>
                <w:szCs w:val="18"/>
              </w:rPr>
              <w:t xml:space="preserve">├── schemas/         # Pydantic request/response schemas</w:t>
            </w:r>
          </w:p>
          <w:p>
            <w:pPr>
              <w:spacing w:after="0" w:line="240"/>
            </w:pPr>
            <w:r>
              <w:rPr>
                <w:rFonts w:ascii="Consolas" w:cs="Consolas" w:eastAsia="Consolas" w:hAnsi="Consolas"/>
                <w:sz w:val="18"/>
                <w:szCs w:val="18"/>
              </w:rPr>
              <w:t xml:space="preserve">├── services/        # Business logic</w:t>
            </w:r>
          </w:p>
          <w:p>
            <w:pPr>
              <w:spacing w:after="0" w:line="240"/>
            </w:pPr>
            <w:r>
              <w:rPr>
                <w:rFonts w:ascii="Consolas" w:cs="Consolas" w:eastAsia="Consolas" w:hAnsi="Consolas"/>
                <w:sz w:val="18"/>
                <w:szCs w:val="18"/>
              </w:rPr>
              <w:t xml:space="preserve">├── repositories/    # Data access abstraction</w:t>
            </w:r>
          </w:p>
          <w:p>
            <w:pPr>
              <w:spacing w:after="0" w:line="240"/>
            </w:pPr>
            <w:r>
              <w:rPr>
                <w:rFonts w:ascii="Consolas" w:cs="Consolas" w:eastAsia="Consolas" w:hAnsi="Consolas"/>
                <w:sz w:val="18"/>
                <w:szCs w:val="18"/>
              </w:rPr>
              <w:t xml:space="preserve">├── routes/          # FastAPI route handlers</w:t>
            </w:r>
          </w:p>
          <w:p>
            <w:pPr>
              <w:spacing w:after="0" w:line="240"/>
            </w:pPr>
            <w:r>
              <w:rPr>
                <w:rFonts w:ascii="Consolas" w:cs="Consolas" w:eastAsia="Consolas" w:hAnsi="Consolas"/>
                <w:sz w:val="18"/>
                <w:szCs w:val="18"/>
              </w:rPr>
              <w:t xml:space="preserve">└── events/          # Domain events (future event-driven patterns)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C8A" w:sz="12"/>
              <w:left w:val="single" w:color="2E5C8A" w:sz="24"/>
              <w:bottom w:val="single" w:color="2E5C8A" w:sz="12"/>
              <w:right w:val="single" w:color="2E5C8A" w:sz="12"/>
            </w:tcBorders>
            <w:shd w:fill="E8F1FF" w:color="auto" w:val="clear"/>
            <w:tcMar>
              <w:top w:type="dxa" w:w="160"/>
              <w:left w:type="dxa" w:w="200"/>
              <w:bottom w:type="dxa" w:w="160"/>
              <w:right w:type="dxa" w:w="200"/>
            </w:tcMar>
          </w:tcPr>
          <w:p>
            <w:pPr>
              <w:spacing w:after="80"/>
            </w:pPr>
            <w:r>
              <w:rPr>
                <w:rFonts w:ascii="Calibri" w:cs="Calibri" w:eastAsia="Calibri" w:hAnsi="Calibri"/>
                <w:b/>
                <w:bCs/>
                <w:color w:val="5C4419"/>
                <w:sz w:val="22"/>
                <w:szCs w:val="22"/>
              </w:rPr>
              <w:t xml:space="preserve">Incremental scaffolding</w:t>
            </w:r>
          </w:p>
          <w:p>
            <w:r>
              <w:rPr>
                <w:rFonts w:ascii="Calibri" w:cs="Calibri" w:eastAsia="Calibri" w:hAnsi="Calibri"/>
                <w:color w:val="333333"/>
                <w:sz w:val="22"/>
                <w:szCs w:val="22"/>
              </w:rPr>
              <w:t xml:space="preserve">Only create domain modules when their sprint arrives. Sprint 0 creates the core infrastructure packages only (core/, services/, shared/, api/, auth/ placeholder, tenant/ placeholder). Domain modules (courses, learning, ai, billing) are added incrementally as their sprints begin. This prevents premature abstraction.</w:t>
            </w:r>
          </w:p>
        </w:tc>
      </w:tr>
    </w:tbl>
    <w:p>
      <w:r>
        <w:br w:type="page"/>
      </w:r>
    </w:p>
    <w:p>
      <w:pPr>
        <w:pStyle w:val="Heading1"/>
        <w:spacing w:after="180" w:before="360"/>
      </w:pPr>
      <w:r>
        <w:rPr>
          <w:rFonts w:ascii="Calibri" w:cs="Calibri" w:eastAsia="Calibri" w:hAnsi="Calibri"/>
          <w:b/>
          <w:bCs/>
          <w:color w:val="1F3A5F"/>
          <w:sz w:val="36"/>
          <w:szCs w:val="36"/>
        </w:rPr>
        <w:t xml:space="preserve">6. Multi-Tenancy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2"/>
              <w:left w:val="single" w:color="B91C1C" w:sz="24"/>
              <w:bottom w:val="single" w:color="B91C1C" w:sz="12"/>
              <w:right w:val="single" w:color="B91C1C" w:sz="12"/>
            </w:tcBorders>
            <w:shd w:fill="FFE4E1" w:color="auto" w:val="clear"/>
            <w:tcMar>
              <w:top w:type="dxa" w:w="160"/>
              <w:left w:type="dxa" w:w="200"/>
              <w:bottom w:type="dxa" w:w="160"/>
              <w:right w:type="dxa" w:w="200"/>
            </w:tcMar>
          </w:tcPr>
          <w:p>
            <w:pPr>
              <w:spacing w:after="80"/>
            </w:pPr>
            <w:r>
              <w:rPr>
                <w:rFonts w:ascii="Calibri" w:cs="Calibri" w:eastAsia="Calibri" w:hAnsi="Calibri"/>
                <w:b/>
                <w:bCs/>
                <w:color w:val="5C4419"/>
                <w:sz w:val="22"/>
                <w:szCs w:val="22"/>
              </w:rPr>
              <w:t xml:space="preserve">Defense-in-depth strategy</w:t>
            </w:r>
          </w:p>
          <w:p>
            <w:r>
              <w:rPr>
                <w:rFonts w:ascii="Calibri" w:cs="Calibri" w:eastAsia="Calibri" w:hAnsi="Calibri"/>
                <w:color w:val="333333"/>
                <w:sz w:val="22"/>
                <w:szCs w:val="22"/>
              </w:rPr>
              <w:t xml:space="preserve">Tenant isolation is enforced at THREE independent layers: (1) API middleware sets tenant context per request, (2) ORM query layer auto-injects tenant_id filter, (3) Postgres RLS as the last line of defence. Any one layer failing must not produce a cross-tenant leak.</w:t>
            </w:r>
          </w:p>
        </w:tc>
      </w:tr>
    </w:tbl>
    <w:p>
      <w:pPr>
        <w:pStyle w:val="Heading2"/>
        <w:spacing w:after="140" w:before="280"/>
      </w:pPr>
      <w:r>
        <w:rPr>
          <w:rFonts w:ascii="Calibri" w:cs="Calibri" w:eastAsia="Calibri" w:hAnsi="Calibri"/>
          <w:b/>
          <w:bCs/>
          <w:color w:val="2E5C8A"/>
          <w:sz w:val="28"/>
          <w:szCs w:val="28"/>
        </w:rPr>
        <w:t xml:space="preserve">6.1 Approach</w:t>
      </w:r>
    </w:p>
    <w:p>
      <w:pPr>
        <w:spacing w:after="120" w:line="300"/>
      </w:pPr>
      <w:r>
        <w:rPr>
          <w:rFonts w:ascii="Calibri" w:cs="Calibri" w:eastAsia="Calibri" w:hAnsi="Calibri"/>
          <w:sz w:val="22"/>
          <w:szCs w:val="22"/>
        </w:rPr>
        <w:t xml:space="preserve">Shared database, shared schema, </w:t>
      </w:r>
      <w:r>
        <w:rPr>
          <w:rFonts w:ascii="Calibri" w:cs="Calibri" w:eastAsia="Calibri" w:hAnsi="Calibri"/>
          <w:i/>
          <w:iCs/>
          <w:sz w:val="22"/>
          <w:szCs w:val="22"/>
        </w:rPr>
        <w:t xml:space="preserve">tenant_id</w:t>
      </w:r>
      <w:r>
        <w:rPr>
          <w:rFonts w:ascii="Calibri" w:cs="Calibri" w:eastAsia="Calibri" w:hAnsi="Calibri"/>
          <w:sz w:val="22"/>
          <w:szCs w:val="22"/>
        </w:rPr>
        <w:t xml:space="preserve"> discriminator column on every tenant-owned table, enforced by Postgres Row-Level Security.</w:t>
      </w:r>
    </w:p>
    <w:p>
      <w:pPr>
        <w:pStyle w:val="Heading3"/>
        <w:spacing w:after="100" w:before="220"/>
      </w:pPr>
      <w:r>
        <w:rPr>
          <w:rFonts w:ascii="Calibri" w:cs="Calibri" w:eastAsia="Calibri" w:hAnsi="Calibri"/>
          <w:b/>
          <w:bCs/>
          <w:color w:val="333333"/>
          <w:sz w:val="24"/>
          <w:szCs w:val="24"/>
        </w:rPr>
        <w:t xml:space="preserve">Why not schema-per-tenant or DB-per-tenant</w:t>
      </w:r>
    </w:p>
    <w:p>
      <w:pPr>
        <w:pStyle w:val="ListParagraph"/>
        <w:numPr>
          <w:ilvl w:val="0"/>
          <w:numId w:val="2"/>
        </w:numPr>
        <w:spacing w:after="60" w:line="290"/>
      </w:pPr>
      <w:r>
        <w:rPr>
          <w:rFonts w:ascii="Calibri" w:cs="Calibri" w:eastAsia="Calibri" w:hAnsi="Calibri"/>
          <w:b/>
          <w:bCs/>
          <w:sz w:val="22"/>
          <w:szCs w:val="22"/>
        </w:rPr>
        <w:t xml:space="preserve">Schema-per-tenant</w:t>
      </w:r>
      <w:r>
        <w:rPr>
          <w:rFonts w:ascii="Calibri" w:cs="Calibri" w:eastAsia="Calibri" w:hAnsi="Calibri"/>
          <w:sz w:val="22"/>
          <w:szCs w:val="22"/>
        </w:rPr>
        <w:t xml:space="preserve"> breaks down past ~500 tenants (migration time, connection pool fragmentation, backup complexity). Bad fit for SMB self-serve.</w:t>
      </w:r>
    </w:p>
    <w:p>
      <w:pPr>
        <w:pStyle w:val="ListParagraph"/>
        <w:numPr>
          <w:ilvl w:val="0"/>
          <w:numId w:val="2"/>
        </w:numPr>
        <w:spacing w:after="60" w:line="290"/>
      </w:pPr>
      <w:r>
        <w:rPr>
          <w:rFonts w:ascii="Calibri" w:cs="Calibri" w:eastAsia="Calibri" w:hAnsi="Calibri"/>
          <w:b/>
          <w:bCs/>
          <w:sz w:val="22"/>
          <w:szCs w:val="22"/>
        </w:rPr>
        <w:t xml:space="preserve">DB-per-tenant</w:t>
      </w:r>
      <w:r>
        <w:rPr>
          <w:rFonts w:ascii="Calibri" w:cs="Calibri" w:eastAsia="Calibri" w:hAnsi="Calibri"/>
          <w:sz w:val="22"/>
          <w:szCs w:val="22"/>
        </w:rPr>
        <w:t xml:space="preserve"> is appropriate only for regulated mid-market/enterprise customers willing to pay for it. Revisit when an Enterprise tier exists.</w:t>
      </w:r>
    </w:p>
    <w:p>
      <w:pPr>
        <w:pStyle w:val="Heading2"/>
        <w:spacing w:after="140" w:before="280"/>
      </w:pPr>
      <w:r>
        <w:rPr>
          <w:rFonts w:ascii="Calibri" w:cs="Calibri" w:eastAsia="Calibri" w:hAnsi="Calibri"/>
          <w:b/>
          <w:bCs/>
          <w:color w:val="2E5C8A"/>
          <w:sz w:val="28"/>
          <w:szCs w:val="28"/>
        </w:rPr>
        <w:t xml:space="preserve">6.2 Layer 1 — API Middleware (Tenant Context)</w:t>
      </w:r>
    </w:p>
    <w:p>
      <w:pPr>
        <w:spacing w:after="120" w:line="300"/>
      </w:pPr>
      <w:r>
        <w:rPr>
          <w:rFonts w:ascii="Calibri" w:cs="Calibri" w:eastAsia="Calibri" w:hAnsi="Calibri"/>
          <w:sz w:val="22"/>
          <w:szCs w:val="22"/>
        </w:rPr>
        <w:t xml:space="preserve">The middleware resolves the tenant from the subdomain (or JWT claim for API access) and sets it on a request-scoped ContextVar: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6FA" w:color="auto"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 app/core/tenant_context.py</w:t>
            </w:r>
          </w:p>
          <w:p>
            <w:pPr>
              <w:spacing w:after="0" w:line="240"/>
            </w:pPr>
            <w:r>
              <w:rPr>
                <w:rFonts w:ascii="Consolas" w:cs="Consolas" w:eastAsia="Consolas" w:hAnsi="Consolas"/>
                <w:sz w:val="18"/>
                <w:szCs w:val="18"/>
              </w:rPr>
              <w:t xml:space="preserve">from contextvars import ContextVar</w:t>
            </w:r>
          </w:p>
          <w:p>
            <w:pPr>
              <w:spacing w:after="0" w:line="240"/>
            </w:pPr>
            <w:r>
              <w:rPr>
                <w:rFonts w:ascii="Consolas" w:cs="Consolas" w:eastAsia="Consolas" w:hAnsi="Consolas"/>
                <w:sz w:val="18"/>
                <w:szCs w:val="18"/>
              </w:rPr>
              <w:t xml:space="preserve"/>
            </w:r>
          </w:p>
          <w:p>
            <w:pPr>
              <w:spacing w:after="0" w:line="240"/>
            </w:pPr>
            <w:r>
              <w:rPr>
                <w:rFonts w:ascii="Consolas" w:cs="Consolas" w:eastAsia="Consolas" w:hAnsi="Consolas"/>
                <w:sz w:val="18"/>
                <w:szCs w:val="18"/>
              </w:rPr>
              <w:t xml:space="preserve">_current_tenant_id: ContextVar[int | None] = ContextVar(</w:t>
            </w:r>
          </w:p>
          <w:p>
            <w:pPr>
              <w:spacing w:after="0" w:line="240"/>
            </w:pPr>
            <w:r>
              <w:rPr>
                <w:rFonts w:ascii="Consolas" w:cs="Consolas" w:eastAsia="Consolas" w:hAnsi="Consolas"/>
                <w:sz w:val="18"/>
                <w:szCs w:val="18"/>
              </w:rPr>
              <w:t xml:space="preserve">    'current_tenant_id', default=None</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r>
          </w:p>
          <w:p>
            <w:pPr>
              <w:spacing w:after="0" w:line="240"/>
            </w:pPr>
            <w:r>
              <w:rPr>
                <w:rFonts w:ascii="Consolas" w:cs="Consolas" w:eastAsia="Consolas" w:hAnsi="Consolas"/>
                <w:sz w:val="18"/>
                <w:szCs w:val="18"/>
              </w:rPr>
              <w:t xml:space="preserve">def get_current_tenant_id() -&gt; int:</w:t>
            </w:r>
          </w:p>
          <w:p>
            <w:pPr>
              <w:spacing w:after="0" w:line="240"/>
            </w:pPr>
            <w:r>
              <w:rPr>
                <w:rFonts w:ascii="Consolas" w:cs="Consolas" w:eastAsia="Consolas" w:hAnsi="Consolas"/>
                <w:sz w:val="18"/>
                <w:szCs w:val="18"/>
              </w:rPr>
              <w:t xml:space="preserve">    tid = _current_tenant_id.get()</w:t>
            </w:r>
          </w:p>
          <w:p>
            <w:pPr>
              <w:spacing w:after="0" w:line="240"/>
            </w:pPr>
            <w:r>
              <w:rPr>
                <w:rFonts w:ascii="Consolas" w:cs="Consolas" w:eastAsia="Consolas" w:hAnsi="Consolas"/>
                <w:sz w:val="18"/>
                <w:szCs w:val="18"/>
              </w:rPr>
              <w:t xml:space="preserve">    if tid is None:</w:t>
            </w:r>
          </w:p>
          <w:p>
            <w:pPr>
              <w:spacing w:after="0" w:line="240"/>
            </w:pPr>
            <w:r>
              <w:rPr>
                <w:rFonts w:ascii="Consolas" w:cs="Consolas" w:eastAsia="Consolas" w:hAnsi="Consolas"/>
                <w:sz w:val="18"/>
                <w:szCs w:val="18"/>
              </w:rPr>
              <w:t xml:space="preserve">        raise RuntimeError('No tenant context set.')</w:t>
            </w:r>
          </w:p>
          <w:p>
            <w:pPr>
              <w:spacing w:after="0" w:line="240"/>
            </w:pPr>
            <w:r>
              <w:rPr>
                <w:rFonts w:ascii="Consolas" w:cs="Consolas" w:eastAsia="Consolas" w:hAnsi="Consolas"/>
                <w:sz w:val="18"/>
                <w:szCs w:val="18"/>
              </w:rPr>
              <w:t xml:space="preserve">    return tid</w:t>
            </w:r>
          </w:p>
          <w:p>
            <w:pPr>
              <w:spacing w:after="0" w:line="240"/>
            </w:pPr>
            <w:r>
              <w:rPr>
                <w:rFonts w:ascii="Consolas" w:cs="Consolas" w:eastAsia="Consolas" w:hAnsi="Consolas"/>
                <w:sz w:val="18"/>
                <w:szCs w:val="18"/>
              </w:rPr>
              <w:t xml:space="preserve"/>
            </w:r>
          </w:p>
          <w:p>
            <w:pPr>
              <w:spacing w:after="0" w:line="240"/>
            </w:pPr>
            <w:r>
              <w:rPr>
                <w:rFonts w:ascii="Consolas" w:cs="Consolas" w:eastAsia="Consolas" w:hAnsi="Consolas"/>
                <w:sz w:val="18"/>
                <w:szCs w:val="18"/>
              </w:rPr>
              <w:t xml:space="preserve"># app/core/middleware/tenant_middleware.py</w:t>
            </w:r>
          </w:p>
          <w:p>
            <w:pPr>
              <w:spacing w:after="0" w:line="240"/>
            </w:pPr>
            <w:r>
              <w:rPr>
                <w:rFonts w:ascii="Consolas" w:cs="Consolas" w:eastAsia="Consolas" w:hAnsi="Consolas"/>
                <w:sz w:val="18"/>
                <w:szCs w:val="18"/>
              </w:rPr>
              <w:t xml:space="preserve">class TenantContextMiddleware(BaseHTTPMiddleware):</w:t>
            </w:r>
          </w:p>
          <w:p>
            <w:pPr>
              <w:spacing w:after="0" w:line="240"/>
            </w:pPr>
            <w:r>
              <w:rPr>
                <w:rFonts w:ascii="Consolas" w:cs="Consolas" w:eastAsia="Consolas" w:hAnsi="Consolas"/>
                <w:sz w:val="18"/>
                <w:szCs w:val="18"/>
              </w:rPr>
              <w:t xml:space="preserve">    async def dispatch(self, request, call_next):</w:t>
            </w:r>
          </w:p>
          <w:p>
            <w:pPr>
              <w:spacing w:after="0" w:line="240"/>
            </w:pPr>
            <w:r>
              <w:rPr>
                <w:rFonts w:ascii="Consolas" w:cs="Consolas" w:eastAsia="Consolas" w:hAnsi="Consolas"/>
                <w:sz w:val="18"/>
                <w:szCs w:val="18"/>
              </w:rPr>
              <w:t xml:space="preserve">        tenant_id = resolve_tenant_from_subdomain(request)</w:t>
            </w:r>
          </w:p>
          <w:p>
            <w:pPr>
              <w:spacing w:after="0" w:line="240"/>
            </w:pPr>
            <w:r>
              <w:rPr>
                <w:rFonts w:ascii="Consolas" w:cs="Consolas" w:eastAsia="Consolas" w:hAnsi="Consolas"/>
                <w:sz w:val="18"/>
                <w:szCs w:val="18"/>
              </w:rPr>
              <w:t xml:space="preserve">        _current_tenant_id.set(tenant_id)</w:t>
            </w:r>
          </w:p>
          <w:p>
            <w:pPr>
              <w:spacing w:after="0" w:line="240"/>
            </w:pPr>
            <w:r>
              <w:rPr>
                <w:rFonts w:ascii="Consolas" w:cs="Consolas" w:eastAsia="Consolas" w:hAnsi="Consolas"/>
                <w:sz w:val="18"/>
                <w:szCs w:val="18"/>
              </w:rPr>
              <w:t xml:space="preserve">        try:</w:t>
            </w:r>
          </w:p>
          <w:p>
            <w:pPr>
              <w:spacing w:after="0" w:line="240"/>
            </w:pPr>
            <w:r>
              <w:rPr>
                <w:rFonts w:ascii="Consolas" w:cs="Consolas" w:eastAsia="Consolas" w:hAnsi="Consolas"/>
                <w:sz w:val="18"/>
                <w:szCs w:val="18"/>
              </w:rPr>
              <w:t xml:space="preserve">            return await call_next(request)</w:t>
            </w:r>
          </w:p>
          <w:p>
            <w:pPr>
              <w:spacing w:after="0" w:line="240"/>
            </w:pPr>
            <w:r>
              <w:rPr>
                <w:rFonts w:ascii="Consolas" w:cs="Consolas" w:eastAsia="Consolas" w:hAnsi="Consolas"/>
                <w:sz w:val="18"/>
                <w:szCs w:val="18"/>
              </w:rPr>
              <w:t xml:space="preserve">        finally:</w:t>
            </w:r>
          </w:p>
          <w:p>
            <w:pPr>
              <w:spacing w:after="0" w:line="240"/>
            </w:pPr>
            <w:r>
              <w:rPr>
                <w:rFonts w:ascii="Consolas" w:cs="Consolas" w:eastAsia="Consolas" w:hAnsi="Consolas"/>
                <w:sz w:val="18"/>
                <w:szCs w:val="18"/>
              </w:rPr>
              <w:t xml:space="preserve">            _current_tenant_id.set(None)</w:t>
            </w:r>
          </w:p>
        </w:tc>
      </w:tr>
    </w:tbl>
    <w:p>
      <w:pPr>
        <w:spacing w:after="80"/>
      </w:pPr>
      <w:r>
        <w:t xml:space="preserve"/>
      </w:r>
    </w:p>
    <w:p>
      <w:pPr>
        <w:pStyle w:val="Heading2"/>
        <w:spacing w:after="140" w:before="280"/>
      </w:pPr>
      <w:r>
        <w:rPr>
          <w:rFonts w:ascii="Calibri" w:cs="Calibri" w:eastAsia="Calibri" w:hAnsi="Calibri"/>
          <w:b/>
          <w:bCs/>
          <w:color w:val="2E5C8A"/>
          <w:sz w:val="28"/>
          <w:szCs w:val="28"/>
        </w:rPr>
        <w:t xml:space="preserve">6.3 Layer 2 — ORM Query Filter</w:t>
      </w:r>
    </w:p>
    <w:p>
      <w:pPr>
        <w:spacing w:after="120" w:line="300"/>
      </w:pPr>
      <w:r>
        <w:rPr>
          <w:rFonts w:ascii="Calibri" w:cs="Calibri" w:eastAsia="Calibri" w:hAnsi="Calibri"/>
          <w:sz w:val="22"/>
          <w:szCs w:val="22"/>
        </w:rPr>
        <w:t xml:space="preserve">A SQLAlchemy event listener inspects every SELECT and automatically adds a WHERE tenant_id = X clause. Queries that explicitly opt out (super-admin only) pass execution_options={"bypass_tenant_filter":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6FA" w:color="auto"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@event.listens_for(Session, 'do_orm_execute')</w:t>
            </w:r>
          </w:p>
          <w:p>
            <w:pPr>
              <w:spacing w:after="0" w:line="240"/>
            </w:pPr>
            <w:r>
              <w:rPr>
                <w:rFonts w:ascii="Consolas" w:cs="Consolas" w:eastAsia="Consolas" w:hAnsi="Consolas"/>
                <w:sz w:val="18"/>
                <w:szCs w:val="18"/>
              </w:rPr>
              <w:t xml:space="preserve">def _add_tenant_filter(state):</w:t>
            </w:r>
          </w:p>
          <w:p>
            <w:pPr>
              <w:spacing w:after="0" w:line="240"/>
            </w:pPr>
            <w:r>
              <w:rPr>
                <w:rFonts w:ascii="Consolas" w:cs="Consolas" w:eastAsia="Consolas" w:hAnsi="Consolas"/>
                <w:sz w:val="18"/>
                <w:szCs w:val="18"/>
              </w:rPr>
              <w:t xml:space="preserve">    if not state.is_select:</w:t>
            </w:r>
          </w:p>
          <w:p>
            <w:pPr>
              <w:spacing w:after="0" w:line="240"/>
            </w:pPr>
            <w:r>
              <w:rPr>
                <w:rFonts w:ascii="Consolas" w:cs="Consolas" w:eastAsia="Consolas" w:hAnsi="Consolas"/>
                <w:sz w:val="18"/>
                <w:szCs w:val="18"/>
              </w:rPr>
              <w:t xml:space="preserve">        return</w:t>
            </w:r>
          </w:p>
          <w:p>
            <w:pPr>
              <w:spacing w:after="0" w:line="240"/>
            </w:pPr>
            <w:r>
              <w:rPr>
                <w:rFonts w:ascii="Consolas" w:cs="Consolas" w:eastAsia="Consolas" w:hAnsi="Consolas"/>
                <w:sz w:val="18"/>
                <w:szCs w:val="18"/>
              </w:rPr>
              <w:t xml:space="preserve">    if state.execution_options.get('bypass_tenant_filter'):</w:t>
            </w:r>
          </w:p>
          <w:p>
            <w:pPr>
              <w:spacing w:after="0" w:line="240"/>
            </w:pPr>
            <w:r>
              <w:rPr>
                <w:rFonts w:ascii="Consolas" w:cs="Consolas" w:eastAsia="Consolas" w:hAnsi="Consolas"/>
                <w:sz w:val="18"/>
                <w:szCs w:val="18"/>
              </w:rPr>
              <w:t xml:space="preserve">        return</w:t>
            </w:r>
          </w:p>
          <w:p>
            <w:pPr>
              <w:spacing w:after="0" w:line="240"/>
            </w:pPr>
            <w:r>
              <w:rPr>
                <w:rFonts w:ascii="Consolas" w:cs="Consolas" w:eastAsia="Consolas" w:hAnsi="Consolas"/>
                <w:sz w:val="18"/>
                <w:szCs w:val="18"/>
              </w:rPr>
              <w:t xml:space="preserve">    tenant_id = get_current_tenant_id()</w:t>
            </w:r>
          </w:p>
          <w:p>
            <w:pPr>
              <w:spacing w:after="0" w:line="240"/>
            </w:pPr>
            <w:r>
              <w:rPr>
                <w:rFonts w:ascii="Consolas" w:cs="Consolas" w:eastAsia="Consolas" w:hAnsi="Consolas"/>
                <w:sz w:val="18"/>
                <w:szCs w:val="18"/>
              </w:rPr>
              <w:t xml:space="preserve">    for entity in state.statement.column_descriptions:</w:t>
            </w:r>
          </w:p>
          <w:p>
            <w:pPr>
              <w:spacing w:after="0" w:line="240"/>
            </w:pPr>
            <w:r>
              <w:rPr>
                <w:rFonts w:ascii="Consolas" w:cs="Consolas" w:eastAsia="Consolas" w:hAnsi="Consolas"/>
                <w:sz w:val="18"/>
                <w:szCs w:val="18"/>
              </w:rPr>
              <w:t xml:space="preserve">        model = entity.get('entity')</w:t>
            </w:r>
          </w:p>
          <w:p>
            <w:pPr>
              <w:spacing w:after="0" w:line="240"/>
            </w:pPr>
            <w:r>
              <w:rPr>
                <w:rFonts w:ascii="Consolas" w:cs="Consolas" w:eastAsia="Consolas" w:hAnsi="Consolas"/>
                <w:sz w:val="18"/>
                <w:szCs w:val="18"/>
              </w:rPr>
              <w:t xml:space="preserve">        if model and hasattr(model, 'tenant_id'):</w:t>
            </w:r>
          </w:p>
          <w:p>
            <w:pPr>
              <w:spacing w:after="0" w:line="240"/>
            </w:pPr>
            <w:r>
              <w:rPr>
                <w:rFonts w:ascii="Consolas" w:cs="Consolas" w:eastAsia="Consolas" w:hAnsi="Consolas"/>
                <w:sz w:val="18"/>
                <w:szCs w:val="18"/>
              </w:rPr>
              <w:t xml:space="preserve">            state.statement = state.statement.where(</w:t>
            </w:r>
          </w:p>
          <w:p>
            <w:pPr>
              <w:spacing w:after="0" w:line="240"/>
            </w:pPr>
            <w:r>
              <w:rPr>
                <w:rFonts w:ascii="Consolas" w:cs="Consolas" w:eastAsia="Consolas" w:hAnsi="Consolas"/>
                <w:sz w:val="18"/>
                <w:szCs w:val="18"/>
              </w:rPr>
              <w:t xml:space="preserve">                model.tenant_id == tenant_id</w:t>
            </w:r>
          </w:p>
          <w:p>
            <w:pPr>
              <w:spacing w:after="0" w:line="240"/>
            </w:pPr>
            <w:r>
              <w:rPr>
                <w:rFonts w:ascii="Consolas" w:cs="Consolas" w:eastAsia="Consolas" w:hAnsi="Consolas"/>
                <w:sz w:val="18"/>
                <w:szCs w:val="18"/>
              </w:rPr>
              <w:t xml:space="preserve">            )</w:t>
            </w:r>
          </w:p>
        </w:tc>
      </w:tr>
    </w:tbl>
    <w:p>
      <w:pPr>
        <w:spacing w:after="80"/>
      </w:pPr>
      <w:r>
        <w:t xml:space="preserve"/>
      </w:r>
    </w:p>
    <w:p>
      <w:pPr>
        <w:pStyle w:val="Heading2"/>
        <w:spacing w:after="140" w:before="280"/>
      </w:pPr>
      <w:r>
        <w:rPr>
          <w:rFonts w:ascii="Calibri" w:cs="Calibri" w:eastAsia="Calibri" w:hAnsi="Calibri"/>
          <w:b/>
          <w:bCs/>
          <w:color w:val="2E5C8A"/>
          <w:sz w:val="28"/>
          <w:szCs w:val="28"/>
        </w:rPr>
        <w:t xml:space="preserve">6.4 Layer 3 — Postgres Row-Level Security</w:t>
      </w:r>
    </w:p>
    <w:p>
      <w:pPr>
        <w:spacing w:after="120" w:line="300"/>
      </w:pPr>
      <w:r>
        <w:rPr>
          <w:rFonts w:ascii="Calibri" w:cs="Calibri" w:eastAsia="Calibri" w:hAnsi="Calibri"/>
          <w:sz w:val="22"/>
          <w:szCs w:val="22"/>
        </w:rPr>
        <w:t xml:space="preserve">Each tenant-owned table has RLS enabled with USING and WITH CHECK clauses referencing a session variable that the connection sets before every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6FA" w:color="auto"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 Migration</w:t>
            </w:r>
          </w:p>
          <w:p>
            <w:pPr>
              <w:spacing w:after="0" w:line="240"/>
            </w:pPr>
            <w:r>
              <w:rPr>
                <w:rFonts w:ascii="Consolas" w:cs="Consolas" w:eastAsia="Consolas" w:hAnsi="Consolas"/>
                <w:sz w:val="18"/>
                <w:szCs w:val="18"/>
              </w:rPr>
              <w:t xml:space="preserve">ALTER TABLE course ENABLE ROW LEVEL SECURITY;</w:t>
            </w:r>
          </w:p>
          <w:p>
            <w:pPr>
              <w:spacing w:after="0" w:line="240"/>
            </w:pPr>
            <w:r>
              <w:rPr>
                <w:rFonts w:ascii="Consolas" w:cs="Consolas" w:eastAsia="Consolas" w:hAnsi="Consolas"/>
                <w:sz w:val="18"/>
                <w:szCs w:val="18"/>
              </w:rPr>
              <w:t xml:space="preserve">ALTER TABLE course FORCE ROW LEVEL SECURITY;</w:t>
            </w:r>
          </w:p>
          <w:p>
            <w:pPr>
              <w:spacing w:after="0" w:line="240"/>
            </w:pPr>
            <w:r>
              <w:rPr>
                <w:rFonts w:ascii="Consolas" w:cs="Consolas" w:eastAsia="Consolas" w:hAnsi="Consolas"/>
                <w:sz w:val="18"/>
                <w:szCs w:val="18"/>
              </w:rPr>
              <w:t xml:space="preserve"/>
            </w:r>
          </w:p>
          <w:p>
            <w:pPr>
              <w:spacing w:after="0" w:line="240"/>
            </w:pPr>
            <w:r>
              <w:rPr>
                <w:rFonts w:ascii="Consolas" w:cs="Consolas" w:eastAsia="Consolas" w:hAnsi="Consolas"/>
                <w:sz w:val="18"/>
                <w:szCs w:val="18"/>
              </w:rPr>
              <w:t xml:space="preserve">CREATE POLICY tenant_isolation_select ON course</w:t>
            </w:r>
          </w:p>
          <w:p>
            <w:pPr>
              <w:spacing w:after="0" w:line="240"/>
            </w:pPr>
            <w:r>
              <w:rPr>
                <w:rFonts w:ascii="Consolas" w:cs="Consolas" w:eastAsia="Consolas" w:hAnsi="Consolas"/>
                <w:sz w:val="18"/>
                <w:szCs w:val="18"/>
              </w:rPr>
              <w:t xml:space="preserve">    FOR SELECT USING (</w:t>
            </w:r>
          </w:p>
          <w:p>
            <w:pPr>
              <w:spacing w:after="0" w:line="240"/>
            </w:pPr>
            <w:r>
              <w:rPr>
                <w:rFonts w:ascii="Consolas" w:cs="Consolas" w:eastAsia="Consolas" w:hAnsi="Consolas"/>
                <w:sz w:val="18"/>
                <w:szCs w:val="18"/>
              </w:rPr>
              <w:t xml:space="preserve">        tenant_id = current_setting('app.current_tenant_id')::int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r>
          </w:p>
          <w:p>
            <w:pPr>
              <w:spacing w:after="0" w:line="240"/>
            </w:pPr>
            <w:r>
              <w:rPr>
                <w:rFonts w:ascii="Consolas" w:cs="Consolas" w:eastAsia="Consolas" w:hAnsi="Consolas"/>
                <w:sz w:val="18"/>
                <w:szCs w:val="18"/>
              </w:rPr>
              <w:t xml:space="preserve">CREATE POLICY tenant_isolation_insert ON course</w:t>
            </w:r>
          </w:p>
          <w:p>
            <w:pPr>
              <w:spacing w:after="0" w:line="240"/>
            </w:pPr>
            <w:r>
              <w:rPr>
                <w:rFonts w:ascii="Consolas" w:cs="Consolas" w:eastAsia="Consolas" w:hAnsi="Consolas"/>
                <w:sz w:val="18"/>
                <w:szCs w:val="18"/>
              </w:rPr>
              <w:t xml:space="preserve">    FOR INSERT WITH CHECK (</w:t>
            </w:r>
          </w:p>
          <w:p>
            <w:pPr>
              <w:spacing w:after="0" w:line="240"/>
            </w:pPr>
            <w:r>
              <w:rPr>
                <w:rFonts w:ascii="Consolas" w:cs="Consolas" w:eastAsia="Consolas" w:hAnsi="Consolas"/>
                <w:sz w:val="18"/>
                <w:szCs w:val="18"/>
              </w:rPr>
              <w:t xml:space="preserve">        tenant_id = current_setting('app.current_tenant_id')::int</w:t>
            </w:r>
          </w:p>
          <w:p>
            <w:pPr>
              <w:spacing w:after="0" w:line="240"/>
            </w:pPr>
            <w:r>
              <w:rPr>
                <w:rFonts w:ascii="Consolas" w:cs="Consolas" w:eastAsia="Consolas" w:hAnsi="Consolas"/>
                <w:sz w:val="18"/>
                <w:szCs w:val="18"/>
              </w:rPr>
              <w:t xml:space="preserve">    );</w:t>
            </w:r>
          </w:p>
        </w:tc>
      </w:tr>
    </w:tbl>
    <w:p>
      <w:pPr>
        <w:spacing w:after="80"/>
      </w:pPr>
      <w:r>
        <w:t xml:space="preserve"/>
      </w:r>
    </w:p>
    <w:p>
      <w:pPr>
        <w:spacing w:after="120" w:line="300"/>
      </w:pPr>
      <w:r>
        <w:rPr>
          <w:rFonts w:ascii="Calibri" w:cs="Calibri" w:eastAsia="Calibri" w:hAnsi="Calibri"/>
          <w:sz w:val="22"/>
          <w:szCs w:val="22"/>
        </w:rPr>
        <w:t xml:space="preserve">The application sets the session variable on every query via SQLAlchemy's before_cursor_execute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6FA" w:color="auto"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@event.listens_for(Engine, 'before_cursor_execute')</w:t>
            </w:r>
          </w:p>
          <w:p>
            <w:pPr>
              <w:spacing w:after="0" w:line="240"/>
            </w:pPr>
            <w:r>
              <w:rPr>
                <w:rFonts w:ascii="Consolas" w:cs="Consolas" w:eastAsia="Consolas" w:hAnsi="Consolas"/>
                <w:sz w:val="18"/>
                <w:szCs w:val="18"/>
              </w:rPr>
              <w:t xml:space="preserve">def set_tenant_before_execute(conn, cursor, statement, *_):</w:t>
            </w:r>
          </w:p>
          <w:p>
            <w:pPr>
              <w:spacing w:after="0" w:line="240"/>
            </w:pPr>
            <w:r>
              <w:rPr>
                <w:rFonts w:ascii="Consolas" w:cs="Consolas" w:eastAsia="Consolas" w:hAnsi="Consolas"/>
                <w:sz w:val="18"/>
                <w:szCs w:val="18"/>
              </w:rPr>
              <w:t xml:space="preserve">    try:</w:t>
            </w:r>
          </w:p>
          <w:p>
            <w:pPr>
              <w:spacing w:after="0" w:line="240"/>
            </w:pPr>
            <w:r>
              <w:rPr>
                <w:rFonts w:ascii="Consolas" w:cs="Consolas" w:eastAsia="Consolas" w:hAnsi="Consolas"/>
                <w:sz w:val="18"/>
                <w:szCs w:val="18"/>
              </w:rPr>
              <w:t xml:space="preserve">        tid = get_current_tenant_id()</w:t>
            </w:r>
          </w:p>
          <w:p>
            <w:pPr>
              <w:spacing w:after="0" w:line="240"/>
            </w:pPr>
            <w:r>
              <w:rPr>
                <w:rFonts w:ascii="Consolas" w:cs="Consolas" w:eastAsia="Consolas" w:hAnsi="Consolas"/>
                <w:sz w:val="18"/>
                <w:szCs w:val="18"/>
              </w:rPr>
              <w:t xml:space="preserve">        cursor.execute(f"SET app.current_tenant_id = '{tid}'")</w:t>
            </w:r>
          </w:p>
          <w:p>
            <w:pPr>
              <w:spacing w:after="0" w:line="240"/>
            </w:pPr>
            <w:r>
              <w:rPr>
                <w:rFonts w:ascii="Consolas" w:cs="Consolas" w:eastAsia="Consolas" w:hAnsi="Consolas"/>
                <w:sz w:val="18"/>
                <w:szCs w:val="18"/>
              </w:rPr>
              <w:t xml:space="preserve">    except RuntimeError:</w:t>
            </w:r>
          </w:p>
          <w:p>
            <w:pPr>
              <w:spacing w:after="0" w:line="240"/>
            </w:pPr>
            <w:r>
              <w:rPr>
                <w:rFonts w:ascii="Consolas" w:cs="Consolas" w:eastAsia="Consolas" w:hAnsi="Consolas"/>
                <w:sz w:val="18"/>
                <w:szCs w:val="18"/>
              </w:rPr>
              <w:t xml:space="preserve">        pass  # Migrations and seed jobs run without tenant context</w:t>
            </w:r>
          </w:p>
        </w:tc>
      </w:tr>
    </w:tbl>
    <w:p>
      <w:pPr>
        <w:spacing w:after="80"/>
      </w:pPr>
      <w:r>
        <w:t xml:space="preserve"/>
      </w:r>
    </w:p>
    <w:p>
      <w:pPr>
        <w:pStyle w:val="Heading2"/>
        <w:spacing w:after="140" w:before="280"/>
      </w:pPr>
      <w:r>
        <w:rPr>
          <w:rFonts w:ascii="Calibri" w:cs="Calibri" w:eastAsia="Calibri" w:hAnsi="Calibri"/>
          <w:b/>
          <w:bCs/>
          <w:color w:val="2E5C8A"/>
          <w:sz w:val="28"/>
          <w:szCs w:val="28"/>
        </w:rPr>
        <w:t xml:space="preserve">6.5 Super-Admin Bypass</w:t>
      </w:r>
    </w:p>
    <w:p>
      <w:pPr>
        <w:spacing w:after="120" w:line="300"/>
      </w:pPr>
      <w:r>
        <w:rPr>
          <w:rFonts w:ascii="Calibri" w:cs="Calibri" w:eastAsia="Calibri" w:hAnsi="Calibri"/>
          <w:sz w:val="22"/>
          <w:szCs w:val="22"/>
        </w:rPr>
        <w:t xml:space="preserve">For administrative queries that need to span tenants (platform admin, support tooling), use a separate database role with BYPASSRLS and a flagged session 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6FA" w:color="auto"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 Separate role used only by admin tooling</w:t>
            </w:r>
          </w:p>
          <w:p>
            <w:pPr>
              <w:spacing w:after="0" w:line="240"/>
            </w:pPr>
            <w:r>
              <w:rPr>
                <w:rFonts w:ascii="Consolas" w:cs="Consolas" w:eastAsia="Consolas" w:hAnsi="Consolas"/>
                <w:sz w:val="18"/>
                <w:szCs w:val="18"/>
              </w:rPr>
              <w:t xml:space="preserve">CREATE ROLE omnixtra_superadmin BYPASSRLS;</w:t>
            </w:r>
          </w:p>
          <w:p>
            <w:pPr>
              <w:spacing w:after="0" w:line="240"/>
            </w:pPr>
            <w:r>
              <w:rPr>
                <w:rFonts w:ascii="Consolas" w:cs="Consolas" w:eastAsia="Consolas" w:hAnsi="Consolas"/>
                <w:sz w:val="18"/>
                <w:szCs w:val="18"/>
              </w:rPr>
              <w:t xml:space="preserve"/>
            </w:r>
          </w:p>
          <w:p>
            <w:pPr>
              <w:spacing w:after="0" w:line="240"/>
            </w:pPr>
            <w:r>
              <w:rPr>
                <w:rFonts w:ascii="Consolas" w:cs="Consolas" w:eastAsia="Consolas" w:hAnsi="Consolas"/>
                <w:sz w:val="18"/>
                <w:szCs w:val="18"/>
              </w:rPr>
              <w:t xml:space="preserve"># In code — opt-in, not default</w:t>
            </w:r>
          </w:p>
          <w:p>
            <w:pPr>
              <w:spacing w:after="0" w:line="240"/>
            </w:pPr>
            <w:r>
              <w:rPr>
                <w:rFonts w:ascii="Consolas" w:cs="Consolas" w:eastAsia="Consolas" w:hAnsi="Consolas"/>
                <w:sz w:val="18"/>
                <w:szCs w:val="18"/>
              </w:rPr>
              <w:t xml:space="preserve">result = await db.execute(</w:t>
            </w:r>
          </w:p>
          <w:p>
            <w:pPr>
              <w:spacing w:after="0" w:line="240"/>
            </w:pPr>
            <w:r>
              <w:rPr>
                <w:rFonts w:ascii="Consolas" w:cs="Consolas" w:eastAsia="Consolas" w:hAnsi="Consolas"/>
                <w:sz w:val="18"/>
                <w:szCs w:val="18"/>
              </w:rPr>
              <w:t xml:space="preserve">    select(Tenant),</w:t>
            </w:r>
          </w:p>
          <w:p>
            <w:pPr>
              <w:spacing w:after="0" w:line="240"/>
            </w:pPr>
            <w:r>
              <w:rPr>
                <w:rFonts w:ascii="Consolas" w:cs="Consolas" w:eastAsia="Consolas" w:hAnsi="Consolas"/>
                <w:sz w:val="18"/>
                <w:szCs w:val="18"/>
              </w:rPr>
              <w:t xml:space="preserve">    execution_options={'bypass_tenant_filter': True}</w:t>
            </w:r>
          </w:p>
          <w:p>
            <w:pPr>
              <w:spacing w:after="0" w:line="240"/>
            </w:pPr>
            <w:r>
              <w:rPr>
                <w:rFonts w:ascii="Consolas" w:cs="Consolas" w:eastAsia="Consolas" w:hAnsi="Consolas"/>
                <w:sz w:val="18"/>
                <w:szCs w:val="18"/>
              </w:rPr>
              <w:t xml:space="preserve">)</w:t>
            </w:r>
          </w:p>
        </w:tc>
      </w:tr>
    </w:tbl>
    <w:p>
      <w:pPr>
        <w:spacing w:after="80"/>
      </w:pPr>
      <w:r>
        <w:t xml:space="preserve"/>
      </w:r>
    </w:p>
    <w:p>
      <w:pPr>
        <w:pStyle w:val="Heading2"/>
        <w:spacing w:after="140" w:before="280"/>
      </w:pPr>
      <w:r>
        <w:rPr>
          <w:rFonts w:ascii="Calibri" w:cs="Calibri" w:eastAsia="Calibri" w:hAnsi="Calibri"/>
          <w:b/>
          <w:bCs/>
          <w:color w:val="2E5C8A"/>
          <w:sz w:val="28"/>
          <w:szCs w:val="28"/>
        </w:rPr>
        <w:t xml:space="preserve">6.6 Isolation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5160"/>
        <w:gridCol w:w="1000"/>
      </w:tblGrid>
      <w:tr>
        <w:trPr>
          <w:tblHeader/>
        </w:trPr>
        <w:tc>
          <w:tcPr>
            <w:tcW w:type="dxa" w:w="320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Surface</w:t>
            </w:r>
          </w:p>
        </w:tc>
        <w:tc>
          <w:tcPr>
            <w:tcW w:type="dxa" w:w="516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Mechanism</w:t>
            </w:r>
          </w:p>
        </w:tc>
        <w:tc>
          <w:tcPr>
            <w:tcW w:type="dxa" w:w="100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Automatic?</w:t>
            </w:r>
          </w:p>
        </w:tc>
      </w:tr>
      <w:tr>
        <w:tc>
          <w:tcPr>
            <w:tcW w:type="dxa" w:w="32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Model creation</w:t>
            </w:r>
          </w:p>
        </w:tc>
        <w:tc>
          <w:tcPr>
            <w:tcW w:type="dxa" w:w="51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TenantScopedModel auto-injects tenant_id</w:t>
            </w:r>
          </w:p>
        </w:tc>
        <w:tc>
          <w:tcPr>
            <w:tcW w:type="dxa" w:w="10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SELECT queries</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SQLAlchemy event adds WHERE tenant_id = X</w:t>
            </w:r>
          </w:p>
        </w:tc>
        <w:tc>
          <w:tcPr>
            <w:tcW w:type="dxa" w:w="1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w:t>
            </w:r>
          </w:p>
        </w:tc>
      </w:tr>
      <w:tr>
        <w:tc>
          <w:tcPr>
            <w:tcW w:type="dxa" w:w="32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INSERT validation</w:t>
            </w:r>
          </w:p>
        </w:tc>
        <w:tc>
          <w:tcPr>
            <w:tcW w:type="dxa" w:w="51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RLS WITH CHECK rejects wrong tenant</w:t>
            </w:r>
          </w:p>
        </w:tc>
        <w:tc>
          <w:tcPr>
            <w:tcW w:type="dxa" w:w="10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UPDATE / DELETE</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RLS USING clause restricts access</w:t>
            </w:r>
          </w:p>
        </w:tc>
        <w:tc>
          <w:tcPr>
            <w:tcW w:type="dxa" w:w="1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w:t>
            </w:r>
          </w:p>
        </w:tc>
      </w:tr>
      <w:tr>
        <w:tc>
          <w:tcPr>
            <w:tcW w:type="dxa" w:w="32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File uploads (S3/R2)</w:t>
            </w:r>
          </w:p>
        </w:tc>
        <w:tc>
          <w:tcPr>
            <w:tcW w:type="dxa" w:w="51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Object keys scoped to /{tenant_id}/</w:t>
            </w:r>
          </w:p>
        </w:tc>
        <w:tc>
          <w:tcPr>
            <w:tcW w:type="dxa" w:w="10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Cache keys (Redis)</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Prefixed with tenant:{id}:</w:t>
            </w:r>
          </w:p>
        </w:tc>
        <w:tc>
          <w:tcPr>
            <w:tcW w:type="dxa" w:w="1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w:t>
            </w:r>
          </w:p>
        </w:tc>
      </w:tr>
      <w:tr>
        <w:tc>
          <w:tcPr>
            <w:tcW w:type="dxa" w:w="32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Background jobs</w:t>
            </w:r>
          </w:p>
        </w:tc>
        <w:tc>
          <w:tcPr>
            <w:tcW w:type="dxa" w:w="51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tenant_id propagated via job metadata</w:t>
            </w:r>
          </w:p>
        </w:tc>
        <w:tc>
          <w:tcPr>
            <w:tcW w:type="dxa" w:w="10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SSE channels</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Channel names include tenant_id; cross-tenant subscribe impossible</w:t>
            </w:r>
          </w:p>
        </w:tc>
        <w:tc>
          <w:tcPr>
            <w:tcW w:type="dxa" w:w="1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w:t>
            </w:r>
          </w:p>
        </w:tc>
      </w:tr>
      <w:tr>
        <w:tc>
          <w:tcPr>
            <w:tcW w:type="dxa" w:w="32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Vector retrieval</w:t>
            </w:r>
          </w:p>
        </w:tc>
        <w:tc>
          <w:tcPr>
            <w:tcW w:type="dxa" w:w="51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pgvector queries filter by tenant_id before similarity ranking</w:t>
            </w:r>
          </w:p>
        </w:tc>
        <w:tc>
          <w:tcPr>
            <w:tcW w:type="dxa" w:w="10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Structured logs</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tenant_id on every log line via structlog binder</w:t>
            </w:r>
          </w:p>
        </w:tc>
        <w:tc>
          <w:tcPr>
            <w:tcW w:type="dxa" w:w="1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w:t>
            </w:r>
          </w:p>
        </w:tc>
      </w:tr>
    </w:tbl>
    <w:p>
      <w:pPr>
        <w:spacing w:after="80"/>
      </w:pPr>
      <w:r>
        <w:t xml:space="preserve"/>
      </w:r>
    </w:p>
    <w:p>
      <w:pPr>
        <w:pStyle w:val="Heading2"/>
        <w:spacing w:after="140" w:before="280"/>
      </w:pPr>
      <w:r>
        <w:rPr>
          <w:rFonts w:ascii="Calibri" w:cs="Calibri" w:eastAsia="Calibri" w:hAnsi="Calibri"/>
          <w:b/>
          <w:bCs/>
          <w:color w:val="2E5C8A"/>
          <w:sz w:val="28"/>
          <w:szCs w:val="28"/>
        </w:rPr>
        <w:t xml:space="preserve">6.7 Zero-Trust Isolation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2"/>
              <w:left w:val="single" w:color="B91C1C" w:sz="24"/>
              <w:bottom w:val="single" w:color="B91C1C" w:sz="12"/>
              <w:right w:val="single" w:color="B91C1C" w:sz="12"/>
            </w:tcBorders>
            <w:shd w:fill="FFE4E1" w:color="auto" w:val="clear"/>
            <w:tcMar>
              <w:top w:type="dxa" w:w="160"/>
              <w:left w:type="dxa" w:w="200"/>
              <w:bottom w:type="dxa" w:w="160"/>
              <w:right w:type="dxa" w:w="200"/>
            </w:tcMar>
          </w:tcPr>
          <w:p>
            <w:pPr>
              <w:spacing w:after="80"/>
            </w:pPr>
            <w:r>
              <w:rPr>
                <w:rFonts w:ascii="Calibri" w:cs="Calibri" w:eastAsia="Calibri" w:hAnsi="Calibri"/>
                <w:b/>
                <w:bCs/>
                <w:color w:val="5C4419"/>
                <w:sz w:val="22"/>
                <w:szCs w:val="22"/>
              </w:rPr>
              <w:t xml:space="preserve">Threat model assumption: any authenticated token may be compromised</w:t>
            </w:r>
          </w:p>
          <w:p>
            <w:r>
              <w:rPr>
                <w:rFonts w:ascii="Calibri" w:cs="Calibri" w:eastAsia="Calibri" w:hAnsi="Calibri"/>
                <w:color w:val="333333"/>
                <w:sz w:val="22"/>
                <w:szCs w:val="22"/>
              </w:rPr>
              <w:t xml:space="preserve">The defence-in-depth architecture above assumes Tenant B's credentials may at any moment be in an attacker's hands. The job of the test suite is to prove that an attacker armed with a valid Tenant B token cannot read, modify, enumerate, or even confirm the existence of any resource belonging to Tenant A.</w:t>
            </w:r>
          </w:p>
        </w:tc>
      </w:tr>
    </w:tbl>
    <w:p>
      <w:pPr>
        <w:pStyle w:val="Heading3"/>
        <w:spacing w:after="100" w:before="220"/>
      </w:pPr>
      <w:r>
        <w:rPr>
          <w:rFonts w:ascii="Calibri" w:cs="Calibri" w:eastAsia="Calibri" w:hAnsi="Calibri"/>
          <w:b/>
          <w:bCs/>
          <w:color w:val="333333"/>
          <w:sz w:val="24"/>
          <w:szCs w:val="24"/>
        </w:rPr>
        <w:t xml:space="preserve">The cross-tenant attack test pattern</w:t>
      </w:r>
    </w:p>
    <w:p>
      <w:pPr>
        <w:spacing w:after="120" w:line="300"/>
      </w:pPr>
      <w:r>
        <w:rPr>
          <w:rFonts w:ascii="Calibri" w:cs="Calibri" w:eastAsia="Calibri" w:hAnsi="Calibri"/>
          <w:sz w:val="22"/>
          <w:szCs w:val="22"/>
        </w:rPr>
        <w:t xml:space="preserve">Every API endpoint that handles a tenant-owned resource must have a paired isolation test. The test fixture creates two tenants (A and B) with overlapping resource IDs, then uses Tenant B's authenticated session to attempt to access Tenant A's resources. The expected outcome is identical to the resource not existing — never 403, never a partial response, never a leaked error message that confirms existence: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6FA" w:color="auto"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 tests/isolation/conftest.py</w:t>
            </w:r>
          </w:p>
          <w:p>
            <w:pPr>
              <w:spacing w:after="0" w:line="240"/>
            </w:pPr>
            <w:r>
              <w:rPr>
                <w:rFonts w:ascii="Consolas" w:cs="Consolas" w:eastAsia="Consolas" w:hAnsi="Consolas"/>
                <w:sz w:val="18"/>
                <w:szCs w:val="18"/>
              </w:rPr>
              <w:t xml:space="preserve">@pytest.fixture</w:t>
            </w:r>
          </w:p>
          <w:p>
            <w:pPr>
              <w:spacing w:after="0" w:line="240"/>
            </w:pPr>
            <w:r>
              <w:rPr>
                <w:rFonts w:ascii="Consolas" w:cs="Consolas" w:eastAsia="Consolas" w:hAnsi="Consolas"/>
                <w:sz w:val="18"/>
                <w:szCs w:val="18"/>
              </w:rPr>
              <w:t xml:space="preserve">def two_tenants(db):</w:t>
            </w:r>
          </w:p>
          <w:p>
            <w:pPr>
              <w:spacing w:after="0" w:line="240"/>
            </w:pPr>
            <w:r>
              <w:rPr>
                <w:rFonts w:ascii="Consolas" w:cs="Consolas" w:eastAsia="Consolas" w:hAnsi="Consolas"/>
                <w:sz w:val="18"/>
                <w:szCs w:val="18"/>
              </w:rPr>
              <w:t xml:space="preserve">    tenant_a = create_tenant(db, slug='alpha')</w:t>
            </w:r>
          </w:p>
          <w:p>
            <w:pPr>
              <w:spacing w:after="0" w:line="240"/>
            </w:pPr>
            <w:r>
              <w:rPr>
                <w:rFonts w:ascii="Consolas" w:cs="Consolas" w:eastAsia="Consolas" w:hAnsi="Consolas"/>
                <w:sz w:val="18"/>
                <w:szCs w:val="18"/>
              </w:rPr>
              <w:t xml:space="preserve">    tenant_b = create_tenant(db, slug='beta')</w:t>
            </w:r>
          </w:p>
          <w:p>
            <w:pPr>
              <w:spacing w:after="0" w:line="240"/>
            </w:pPr>
            <w:r>
              <w:rPr>
                <w:rFonts w:ascii="Consolas" w:cs="Consolas" w:eastAsia="Consolas" w:hAnsi="Consolas"/>
                <w:sz w:val="18"/>
                <w:szCs w:val="18"/>
              </w:rPr>
              <w:t xml:space="preserve">    user_a   = create_user(db, tenant_a, role='admin')</w:t>
            </w:r>
          </w:p>
          <w:p>
            <w:pPr>
              <w:spacing w:after="0" w:line="240"/>
            </w:pPr>
            <w:r>
              <w:rPr>
                <w:rFonts w:ascii="Consolas" w:cs="Consolas" w:eastAsia="Consolas" w:hAnsi="Consolas"/>
                <w:sz w:val="18"/>
                <w:szCs w:val="18"/>
              </w:rPr>
              <w:t xml:space="preserve">    user_b   = create_user(db, tenant_b, role='admin')</w:t>
            </w:r>
          </w:p>
          <w:p>
            <w:pPr>
              <w:spacing w:after="0" w:line="240"/>
            </w:pPr>
            <w:r>
              <w:rPr>
                <w:rFonts w:ascii="Consolas" w:cs="Consolas" w:eastAsia="Consolas" w:hAnsi="Consolas"/>
                <w:sz w:val="18"/>
                <w:szCs w:val="18"/>
              </w:rPr>
              <w:t xml:space="preserve">    return tenant_a, tenant_b, user_a, user_b</w:t>
            </w:r>
          </w:p>
          <w:p>
            <w:pPr>
              <w:spacing w:after="0" w:line="240"/>
            </w:pPr>
            <w:r>
              <w:rPr>
                <w:rFonts w:ascii="Consolas" w:cs="Consolas" w:eastAsia="Consolas" w:hAnsi="Consolas"/>
                <w:sz w:val="18"/>
                <w:szCs w:val="18"/>
              </w:rPr>
              <w:t xml:space="preserve"/>
            </w:r>
          </w:p>
          <w:p>
            <w:pPr>
              <w:spacing w:after="0" w:line="240"/>
            </w:pPr>
            <w:r>
              <w:rPr>
                <w:rFonts w:ascii="Consolas" w:cs="Consolas" w:eastAsia="Consolas" w:hAnsi="Consolas"/>
                <w:sz w:val="18"/>
                <w:szCs w:val="18"/>
              </w:rPr>
              <w:t xml:space="preserve"># tests/isolation/test_courses_isolation.py</w:t>
            </w:r>
          </w:p>
          <w:p>
            <w:pPr>
              <w:spacing w:after="0" w:line="240"/>
            </w:pPr>
            <w:r>
              <w:rPr>
                <w:rFonts w:ascii="Consolas" w:cs="Consolas" w:eastAsia="Consolas" w:hAnsi="Consolas"/>
                <w:sz w:val="18"/>
                <w:szCs w:val="18"/>
              </w:rPr>
              <w:t xml:space="preserve">async def test_tenant_b_cannot_read_tenant_a_course(</w:t>
            </w:r>
          </w:p>
          <w:p>
            <w:pPr>
              <w:spacing w:after="0" w:line="240"/>
            </w:pPr>
            <w:r>
              <w:rPr>
                <w:rFonts w:ascii="Consolas" w:cs="Consolas" w:eastAsia="Consolas" w:hAnsi="Consolas"/>
                <w:sz w:val="18"/>
                <w:szCs w:val="18"/>
              </w:rPr>
              <w:t xml:space="preserve">    client, two_tenants</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a, b, ua, ub = two_tenants</w:t>
            </w:r>
          </w:p>
          <w:p>
            <w:pPr>
              <w:spacing w:after="0" w:line="240"/>
            </w:pPr>
            <w:r>
              <w:rPr>
                <w:rFonts w:ascii="Consolas" w:cs="Consolas" w:eastAsia="Consolas" w:hAnsi="Consolas"/>
                <w:sz w:val="18"/>
                <w:szCs w:val="18"/>
              </w:rPr>
              <w:t xml:space="preserve">    course = await create_course(tenant=a, title='Secret')</w:t>
            </w:r>
          </w:p>
          <w:p>
            <w:pPr>
              <w:spacing w:after="0" w:line="240"/>
            </w:pPr>
            <w:r>
              <w:rPr>
                <w:rFonts w:ascii="Consolas" w:cs="Consolas" w:eastAsia="Consolas" w:hAnsi="Consolas"/>
                <w:sz w:val="18"/>
                <w:szCs w:val="18"/>
              </w:rPr>
              <w:t xml:space="preserve">    # Authenticate as Tenant B; attempt to read Tenant A's course</w:t>
            </w:r>
          </w:p>
          <w:p>
            <w:pPr>
              <w:spacing w:after="0" w:line="240"/>
            </w:pPr>
            <w:r>
              <w:rPr>
                <w:rFonts w:ascii="Consolas" w:cs="Consolas" w:eastAsia="Consolas" w:hAnsi="Consolas"/>
                <w:sz w:val="18"/>
                <w:szCs w:val="18"/>
              </w:rPr>
              <w:t xml:space="preserve">    token_b = sign_token(user=ub, tenant=b)</w:t>
            </w:r>
          </w:p>
          <w:p>
            <w:pPr>
              <w:spacing w:after="0" w:line="240"/>
            </w:pPr>
            <w:r>
              <w:rPr>
                <w:rFonts w:ascii="Consolas" w:cs="Consolas" w:eastAsia="Consolas" w:hAnsi="Consolas"/>
                <w:sz w:val="18"/>
                <w:szCs w:val="18"/>
              </w:rPr>
              <w:t xml:space="preserve">    resp = await client.get(</w:t>
            </w:r>
          </w:p>
          <w:p>
            <w:pPr>
              <w:spacing w:after="0" w:line="240"/>
            </w:pPr>
            <w:r>
              <w:rPr>
                <w:rFonts w:ascii="Consolas" w:cs="Consolas" w:eastAsia="Consolas" w:hAnsi="Consolas"/>
                <w:sz w:val="18"/>
                <w:szCs w:val="18"/>
              </w:rPr>
              <w:t xml:space="preserve">        f'/api/v1/courses/{course.id}',</w:t>
            </w:r>
          </w:p>
          <w:p>
            <w:pPr>
              <w:spacing w:after="0" w:line="240"/>
            </w:pPr>
            <w:r>
              <w:rPr>
                <w:rFonts w:ascii="Consolas" w:cs="Consolas" w:eastAsia="Consolas" w:hAnsi="Consolas"/>
                <w:sz w:val="18"/>
                <w:szCs w:val="18"/>
              </w:rPr>
              <w:t xml:space="preserve">        headers={'Authorization': f'Bearer {token_b}'}</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assert resp.status_code == 404  # not 403 — must not confirm existence</w:t>
            </w:r>
          </w:p>
          <w:p>
            <w:pPr>
              <w:spacing w:after="0" w:line="240"/>
            </w:pPr>
            <w:r>
              <w:rPr>
                <w:rFonts w:ascii="Consolas" w:cs="Consolas" w:eastAsia="Consolas" w:hAnsi="Consolas"/>
                <w:sz w:val="18"/>
                <w:szCs w:val="18"/>
              </w:rPr>
              <w:t xml:space="preserve">    assert 'Secret' not in resp.text</w:t>
            </w:r>
          </w:p>
          <w:p>
            <w:pPr>
              <w:spacing w:after="0" w:line="240"/>
            </w:pPr>
            <w:r>
              <w:rPr>
                <w:rFonts w:ascii="Consolas" w:cs="Consolas" w:eastAsia="Consolas" w:hAnsi="Consolas"/>
                <w:sz w:val="18"/>
                <w:szCs w:val="18"/>
              </w:rPr>
              <w:t xml:space="preserve">    # Verify the connection was rejected by the data layer,</w:t>
            </w:r>
          </w:p>
          <w:p>
            <w:pPr>
              <w:spacing w:after="0" w:line="240"/>
            </w:pPr>
            <w:r>
              <w:rPr>
                <w:rFonts w:ascii="Consolas" w:cs="Consolas" w:eastAsia="Consolas" w:hAnsi="Consolas"/>
                <w:sz w:val="18"/>
                <w:szCs w:val="18"/>
              </w:rPr>
              <w:t xml:space="preserve">    # not by an application-level check that could be bypassed</w:t>
            </w:r>
          </w:p>
          <w:p>
            <w:pPr>
              <w:spacing w:after="0" w:line="240"/>
            </w:pPr>
            <w:r>
              <w:rPr>
                <w:rFonts w:ascii="Consolas" w:cs="Consolas" w:eastAsia="Consolas" w:hAnsi="Consolas"/>
                <w:sz w:val="18"/>
                <w:szCs w:val="18"/>
              </w:rPr>
              <w:t xml:space="preserve">    assert resp.headers.get('x-isolation-layer') in ('orm', 'rls')</w:t>
            </w:r>
          </w:p>
        </w:tc>
      </w:tr>
    </w:tbl>
    <w:p>
      <w:pPr>
        <w:spacing w:after="80"/>
      </w:pPr>
      <w:r>
        <w:t xml:space="preserve"/>
      </w:r>
    </w:p>
    <w:p>
      <w:pPr>
        <w:pStyle w:val="Heading3"/>
        <w:spacing w:after="100" w:before="220"/>
      </w:pPr>
      <w:r>
        <w:rPr>
          <w:rFonts w:ascii="Calibri" w:cs="Calibri" w:eastAsia="Calibri" w:hAnsi="Calibri"/>
          <w:b/>
          <w:bCs/>
          <w:color w:val="333333"/>
          <w:sz w:val="24"/>
          <w:szCs w:val="24"/>
        </w:rPr>
        <w:t xml:space="preserve">Coverage requirements</w:t>
      </w:r>
    </w:p>
    <w:p>
      <w:pPr>
        <w:pStyle w:val="ListParagraph"/>
        <w:numPr>
          <w:ilvl w:val="0"/>
          <w:numId w:val="2"/>
        </w:numPr>
        <w:spacing w:after="60" w:line="290"/>
      </w:pPr>
      <w:r>
        <w:rPr>
          <w:rFonts w:ascii="Calibri" w:cs="Calibri" w:eastAsia="Calibri" w:hAnsi="Calibri"/>
          <w:b/>
          <w:bCs/>
          <w:sz w:val="22"/>
          <w:szCs w:val="22"/>
        </w:rPr>
        <w:t xml:space="preserve">Per-endpoint coverage</w:t>
      </w:r>
      <w:r>
        <w:rPr>
          <w:rFonts w:ascii="Calibri" w:cs="Calibri" w:eastAsia="Calibri" w:hAnsi="Calibri"/>
          <w:sz w:val="22"/>
          <w:szCs w:val="22"/>
        </w:rPr>
        <w:t xml:space="preserve">: every route under /api/v1/ that takes a resource ID has at least one cross-tenant test. CI fails if a new route is added without one — enforced by a custom check that compares the OpenAPI schema to the test inventory.</w:t>
      </w:r>
    </w:p>
    <w:p>
      <w:pPr>
        <w:pStyle w:val="ListParagraph"/>
        <w:numPr>
          <w:ilvl w:val="0"/>
          <w:numId w:val="2"/>
        </w:numPr>
        <w:spacing w:after="60" w:line="290"/>
      </w:pPr>
      <w:r>
        <w:rPr>
          <w:rFonts w:ascii="Calibri" w:cs="Calibri" w:eastAsia="Calibri" w:hAnsi="Calibri"/>
          <w:b/>
          <w:bCs/>
          <w:sz w:val="22"/>
          <w:szCs w:val="22"/>
        </w:rPr>
        <w:t xml:space="preserve">Per-verb coverage</w:t>
      </w:r>
      <w:r>
        <w:rPr>
          <w:rFonts w:ascii="Calibri" w:cs="Calibri" w:eastAsia="Calibri" w:hAnsi="Calibri"/>
          <w:sz w:val="22"/>
          <w:szCs w:val="22"/>
        </w:rPr>
        <w:t xml:space="preserve">: GET, PATCH, PUT, DELETE each tested separately. A successful read-isolation test does not exonerate the write path.</w:t>
      </w:r>
    </w:p>
    <w:p>
      <w:pPr>
        <w:pStyle w:val="ListParagraph"/>
        <w:numPr>
          <w:ilvl w:val="0"/>
          <w:numId w:val="2"/>
        </w:numPr>
        <w:spacing w:after="60" w:line="290"/>
      </w:pPr>
      <w:r>
        <w:rPr>
          <w:rFonts w:ascii="Calibri" w:cs="Calibri" w:eastAsia="Calibri" w:hAnsi="Calibri"/>
          <w:b/>
          <w:bCs/>
          <w:sz w:val="22"/>
          <w:szCs w:val="22"/>
        </w:rPr>
        <w:t xml:space="preserve">Indirect-access coverage</w:t>
      </w:r>
      <w:r>
        <w:rPr>
          <w:rFonts w:ascii="Calibri" w:cs="Calibri" w:eastAsia="Calibri" w:hAnsi="Calibri"/>
          <w:sz w:val="22"/>
          <w:szCs w:val="22"/>
        </w:rPr>
        <w:t xml:space="preserve">: list endpoints filtered by tenant, search endpoints, semantic-search retrieval, SSE channel subscription, file uploads (object key path), cache reads (Redis key prefix), and background-job results.</w:t>
      </w:r>
    </w:p>
    <w:p>
      <w:pPr>
        <w:pStyle w:val="ListParagraph"/>
        <w:numPr>
          <w:ilvl w:val="0"/>
          <w:numId w:val="2"/>
        </w:numPr>
        <w:spacing w:after="60" w:line="290"/>
      </w:pPr>
      <w:r>
        <w:rPr>
          <w:rFonts w:ascii="Calibri" w:cs="Calibri" w:eastAsia="Calibri" w:hAnsi="Calibri"/>
          <w:b/>
          <w:bCs/>
          <w:sz w:val="22"/>
          <w:szCs w:val="22"/>
        </w:rPr>
        <w:t xml:space="preserve">Connection-drop assertion</w:t>
      </w:r>
      <w:r>
        <w:rPr>
          <w:rFonts w:ascii="Calibri" w:cs="Calibri" w:eastAsia="Calibri" w:hAnsi="Calibri"/>
          <w:sz w:val="22"/>
          <w:szCs w:val="22"/>
        </w:rPr>
        <w:t xml:space="preserve">: for the most sensitive resources (billing data, audit logs, admin endpoints), tests assert the underlying Postgres connection raised a permission error and not just that the application returned 404 — this verifies RLS rejected the query, not just the application code.</w:t>
      </w:r>
    </w:p>
    <w:p>
      <w:pPr>
        <w:pStyle w:val="Heading3"/>
        <w:spacing w:after="100" w:before="220"/>
      </w:pPr>
      <w:r>
        <w:rPr>
          <w:rFonts w:ascii="Calibri" w:cs="Calibri" w:eastAsia="Calibri" w:hAnsi="Calibri"/>
          <w:b/>
          <w:bCs/>
          <w:color w:val="333333"/>
          <w:sz w:val="24"/>
          <w:szCs w:val="24"/>
        </w:rPr>
        <w:t xml:space="preserve">Negative-space tests</w:t>
      </w:r>
    </w:p>
    <w:p>
      <w:pPr>
        <w:spacing w:after="120" w:line="300"/>
      </w:pPr>
      <w:r>
        <w:rPr>
          <w:rFonts w:ascii="Calibri" w:cs="Calibri" w:eastAsia="Calibri" w:hAnsi="Calibri"/>
          <w:sz w:val="22"/>
          <w:szCs w:val="22"/>
        </w:rPr>
        <w:t xml:space="preserve">Beyond proving Tenant B cannot access Tenant A, the suite also tests scenarios that would indicate a leak even without a successful read:</w:t>
      </w:r>
    </w:p>
    <w:p>
      <w:pPr>
        <w:pStyle w:val="ListParagraph"/>
        <w:numPr>
          <w:ilvl w:val="0"/>
          <w:numId w:val="2"/>
        </w:numPr>
        <w:spacing w:after="60" w:line="290"/>
      </w:pPr>
      <w:r>
        <w:rPr>
          <w:rFonts w:ascii="Calibri" w:cs="Calibri" w:eastAsia="Calibri" w:hAnsi="Calibri"/>
          <w:sz w:val="22"/>
          <w:szCs w:val="22"/>
        </w:rPr>
        <w:t xml:space="preserve">Timing: response times for hits and misses on Tenant A resources are statistically indistinguishable to a Tenant B caller (defeats existence-oracle attacks).</w:t>
      </w:r>
    </w:p>
    <w:p>
      <w:pPr>
        <w:pStyle w:val="ListParagraph"/>
        <w:numPr>
          <w:ilvl w:val="0"/>
          <w:numId w:val="2"/>
        </w:numPr>
        <w:spacing w:after="60" w:line="290"/>
      </w:pPr>
      <w:r>
        <w:rPr>
          <w:rFonts w:ascii="Calibri" w:cs="Calibri" w:eastAsia="Calibri" w:hAnsi="Calibri"/>
          <w:sz w:val="22"/>
          <w:szCs w:val="22"/>
        </w:rPr>
        <w:t xml:space="preserve">Error messages: 404 responses contain identical wording whether the resource does not exist, exists in another tenant, or is soft-deleted. No information leakage through error variation.</w:t>
      </w:r>
    </w:p>
    <w:p>
      <w:pPr>
        <w:pStyle w:val="ListParagraph"/>
        <w:numPr>
          <w:ilvl w:val="0"/>
          <w:numId w:val="2"/>
        </w:numPr>
        <w:spacing w:after="60" w:line="290"/>
      </w:pPr>
      <w:r>
        <w:rPr>
          <w:rFonts w:ascii="Calibri" w:cs="Calibri" w:eastAsia="Calibri" w:hAnsi="Calibri"/>
          <w:sz w:val="22"/>
          <w:szCs w:val="22"/>
        </w:rPr>
        <w:t xml:space="preserve">Enumeration: list endpoints return identical pagination metadata regardless of whether resources exist in other tenants.</w:t>
      </w:r>
    </w:p>
    <w:p>
      <w:pPr>
        <w:pStyle w:val="Heading3"/>
        <w:spacing w:after="100" w:before="220"/>
      </w:pPr>
      <w:r>
        <w:rPr>
          <w:rFonts w:ascii="Calibri" w:cs="Calibri" w:eastAsia="Calibri" w:hAnsi="Calibri"/>
          <w:b/>
          <w:bCs/>
          <w:color w:val="333333"/>
          <w:sz w:val="24"/>
          <w:szCs w:val="24"/>
        </w:rPr>
        <w:t xml:space="preserve">CI gating</w:t>
      </w:r>
    </w:p>
    <w:p>
      <w:pPr>
        <w:pStyle w:val="ListParagraph"/>
        <w:numPr>
          <w:ilvl w:val="0"/>
          <w:numId w:val="2"/>
        </w:numPr>
        <w:spacing w:after="60" w:line="290"/>
      </w:pPr>
      <w:r>
        <w:rPr>
          <w:rFonts w:ascii="Calibri" w:cs="Calibri" w:eastAsia="Calibri" w:hAnsi="Calibri"/>
          <w:sz w:val="22"/>
          <w:szCs w:val="22"/>
        </w:rPr>
        <w:t xml:space="preserve">The isolation test suite runs on every PR. Failure blocks merge — no override.</w:t>
      </w:r>
    </w:p>
    <w:p>
      <w:pPr>
        <w:pStyle w:val="ListParagraph"/>
        <w:numPr>
          <w:ilvl w:val="0"/>
          <w:numId w:val="2"/>
        </w:numPr>
        <w:spacing w:after="60" w:line="290"/>
      </w:pPr>
      <w:r>
        <w:rPr>
          <w:rFonts w:ascii="Calibri" w:cs="Calibri" w:eastAsia="Calibri" w:hAnsi="Calibri"/>
          <w:sz w:val="22"/>
          <w:szCs w:val="22"/>
        </w:rPr>
        <w:t xml:space="preserve">A nightly extended run executes the full suite against a database seeded with 10,000 cross-tenant resources to catch issues that only manifest at scale (e.g. unindexed tenant_id columns).</w:t>
      </w:r>
    </w:p>
    <w:p>
      <w:pPr>
        <w:pStyle w:val="ListParagraph"/>
        <w:numPr>
          <w:ilvl w:val="0"/>
          <w:numId w:val="2"/>
        </w:numPr>
        <w:spacing w:after="60" w:line="290"/>
      </w:pPr>
      <w:r>
        <w:rPr>
          <w:rFonts w:ascii="Calibri" w:cs="Calibri" w:eastAsia="Calibri" w:hAnsi="Calibri"/>
          <w:sz w:val="22"/>
          <w:szCs w:val="22"/>
        </w:rPr>
        <w:t xml:space="preserve">External penetration test before Phase 3 launch, scoped to multi-tenant isolation specifically.</w:t>
      </w:r>
    </w:p>
    <w:p>
      <w:r>
        <w:br w:type="page"/>
      </w:r>
    </w:p>
    <w:p>
      <w:pPr>
        <w:pStyle w:val="Heading1"/>
        <w:spacing w:after="180" w:before="360"/>
      </w:pPr>
      <w:r>
        <w:rPr>
          <w:rFonts w:ascii="Calibri" w:cs="Calibri" w:eastAsia="Calibri" w:hAnsi="Calibri"/>
          <w:b/>
          <w:bCs/>
          <w:color w:val="1F3A5F"/>
          <w:sz w:val="36"/>
          <w:szCs w:val="36"/>
        </w:rPr>
        <w:t xml:space="preserve">7. AI Subsystem</w:t>
      </w:r>
    </w:p>
    <w:p>
      <w:pPr>
        <w:spacing w:after="120" w:line="300"/>
      </w:pPr>
      <w:r>
        <w:rPr>
          <w:rFonts w:ascii="Calibri" w:cs="Calibri" w:eastAsia="Calibri" w:hAnsi="Calibri"/>
          <w:sz w:val="22"/>
          <w:szCs w:val="22"/>
        </w:rPr>
        <w:t xml:space="preserve">AI is structured as a self-contained module with three capabilities (tutor, assisted authoring, agentic skills) behind a stable internal interface so the underlying model/provider can be swapped. All AI features are non-blocking and asynchronous — they run as Dramatiq jobs, never inside an HTTP request handler.</w:t>
      </w:r>
    </w:p>
    <w:p>
      <w:pPr>
        <w:pStyle w:val="Heading2"/>
        <w:spacing w:after="140" w:before="280"/>
      </w:pPr>
      <w:r>
        <w:rPr>
          <w:rFonts w:ascii="Calibri" w:cs="Calibri" w:eastAsia="Calibri" w:hAnsi="Calibri"/>
          <w:b/>
          <w:bCs/>
          <w:color w:val="2E5C8A"/>
          <w:sz w:val="28"/>
          <w:szCs w:val="28"/>
        </w:rPr>
        <w:t xml:space="preserve">7.1 AI Module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6FA" w:color="auto"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app/ai/</w:t>
            </w:r>
          </w:p>
          <w:p>
            <w:pPr>
              <w:spacing w:after="0" w:line="240"/>
            </w:pPr>
            <w:r>
              <w:rPr>
                <w:rFonts w:ascii="Consolas" w:cs="Consolas" w:eastAsia="Consolas" w:hAnsi="Consolas"/>
                <w:sz w:val="18"/>
                <w:szCs w:val="18"/>
              </w:rPr>
              <w:t xml:space="preserve">├── graphs/                  # LangGraph graph definitions</w:t>
            </w:r>
          </w:p>
          <w:p>
            <w:pPr>
              <w:spacing w:after="0" w:line="240"/>
            </w:pPr>
            <w:r>
              <w:rPr>
                <w:rFonts w:ascii="Consolas" w:cs="Consolas" w:eastAsia="Consolas" w:hAnsi="Consolas"/>
                <w:sz w:val="18"/>
                <w:szCs w:val="18"/>
              </w:rPr>
              <w:t xml:space="preserve">│   ├── tutor.py             # Per-course RAG chat (MVP)</w:t>
            </w:r>
          </w:p>
          <w:p>
            <w:pPr>
              <w:spacing w:after="0" w:line="240"/>
            </w:pPr>
            <w:r>
              <w:rPr>
                <w:rFonts w:ascii="Consolas" w:cs="Consolas" w:eastAsia="Consolas" w:hAnsi="Consolas"/>
                <w:sz w:val="18"/>
                <w:szCs w:val="18"/>
              </w:rPr>
              <w:t xml:space="preserve">│   ├── semantic_search.py   # Course / lesson search (MVP)</w:t>
            </w:r>
          </w:p>
          <w:p>
            <w:pPr>
              <w:spacing w:after="0" w:line="240"/>
            </w:pPr>
            <w:r>
              <w:rPr>
                <w:rFonts w:ascii="Consolas" w:cs="Consolas" w:eastAsia="Consolas" w:hAnsi="Consolas"/>
                <w:sz w:val="18"/>
                <w:szCs w:val="18"/>
              </w:rPr>
              <w:t xml:space="preserve">│   ├── course_authoring.py  # Generate outlines, lessons, quizzes (Phase 2)</w:t>
            </w:r>
          </w:p>
          <w:p>
            <w:pPr>
              <w:spacing w:after="0" w:line="240"/>
            </w:pPr>
            <w:r>
              <w:rPr>
                <w:rFonts w:ascii="Consolas" w:cs="Consolas" w:eastAsia="Consolas" w:hAnsi="Consolas"/>
                <w:sz w:val="18"/>
                <w:szCs w:val="18"/>
              </w:rPr>
              <w:t xml:space="preserve">│   └── skills.py            # Agentic skill execution (Phase 3)</w:t>
            </w:r>
          </w:p>
          <w:p>
            <w:pPr>
              <w:spacing w:after="0" w:line="240"/>
            </w:pPr>
            <w:r>
              <w:rPr>
                <w:rFonts w:ascii="Consolas" w:cs="Consolas" w:eastAsia="Consolas" w:hAnsi="Consolas"/>
                <w:sz w:val="18"/>
                <w:szCs w:val="18"/>
              </w:rPr>
              <w:t xml:space="preserve">├── nodes/                   # Reusable graph nodes</w:t>
            </w:r>
          </w:p>
          <w:p>
            <w:pPr>
              <w:spacing w:after="0" w:line="240"/>
            </w:pPr>
            <w:r>
              <w:rPr>
                <w:rFonts w:ascii="Consolas" w:cs="Consolas" w:eastAsia="Consolas" w:hAnsi="Consolas"/>
                <w:sz w:val="18"/>
                <w:szCs w:val="18"/>
              </w:rPr>
              <w:t xml:space="preserve">│   ├── retriever.py         # pgvector similarity search</w:t>
            </w:r>
          </w:p>
          <w:p>
            <w:pPr>
              <w:spacing w:after="0" w:line="240"/>
            </w:pPr>
            <w:r>
              <w:rPr>
                <w:rFonts w:ascii="Consolas" w:cs="Consolas" w:eastAsia="Consolas" w:hAnsi="Consolas"/>
                <w:sz w:val="18"/>
                <w:szCs w:val="18"/>
              </w:rPr>
              <w:t xml:space="preserve">│   ├── llm_caller.py        # Model routing + cost tracking</w:t>
            </w:r>
          </w:p>
          <w:p>
            <w:pPr>
              <w:spacing w:after="0" w:line="240"/>
            </w:pPr>
            <w:r>
              <w:rPr>
                <w:rFonts w:ascii="Consolas" w:cs="Consolas" w:eastAsia="Consolas" w:hAnsi="Consolas"/>
                <w:sz w:val="18"/>
                <w:szCs w:val="18"/>
              </w:rPr>
              <w:t xml:space="preserve">│   ├── validator.py         # Output validation + confidence scoring</w:t>
            </w:r>
          </w:p>
          <w:p>
            <w:pPr>
              <w:spacing w:after="0" w:line="240"/>
            </w:pPr>
            <w:r>
              <w:rPr>
                <w:rFonts w:ascii="Consolas" w:cs="Consolas" w:eastAsia="Consolas" w:hAnsi="Consolas"/>
                <w:sz w:val="18"/>
                <w:szCs w:val="18"/>
              </w:rPr>
              <w:t xml:space="preserve">│   └── citation_extractor.py # Pull citations from retrieved chunks</w:t>
            </w:r>
          </w:p>
          <w:p>
            <w:pPr>
              <w:spacing w:after="0" w:line="240"/>
            </w:pPr>
            <w:r>
              <w:rPr>
                <w:rFonts w:ascii="Consolas" w:cs="Consolas" w:eastAsia="Consolas" w:hAnsi="Consolas"/>
                <w:sz w:val="18"/>
                <w:szCs w:val="18"/>
              </w:rPr>
              <w:t xml:space="preserve">├── prompts/                 # Version-controlled prompt templates</w:t>
            </w:r>
          </w:p>
          <w:p>
            <w:pPr>
              <w:spacing w:after="0" w:line="240"/>
            </w:pPr>
            <w:r>
              <w:rPr>
                <w:rFonts w:ascii="Consolas" w:cs="Consolas" w:eastAsia="Consolas" w:hAnsi="Consolas"/>
                <w:sz w:val="18"/>
                <w:szCs w:val="18"/>
              </w:rPr>
              <w:t xml:space="preserve">├── jobs/                    # Dramatiq actors wrapping graphs</w:t>
            </w:r>
          </w:p>
          <w:p>
            <w:pPr>
              <w:spacing w:after="0" w:line="240"/>
            </w:pPr>
            <w:r>
              <w:rPr>
                <w:rFonts w:ascii="Consolas" w:cs="Consolas" w:eastAsia="Consolas" w:hAnsi="Consolas"/>
                <w:sz w:val="18"/>
                <w:szCs w:val="18"/>
              </w:rPr>
              <w:t xml:space="preserve">│   └── graph_runner.py</w:t>
            </w:r>
          </w:p>
          <w:p>
            <w:pPr>
              <w:spacing w:after="0" w:line="240"/>
            </w:pPr>
            <w:r>
              <w:rPr>
                <w:rFonts w:ascii="Consolas" w:cs="Consolas" w:eastAsia="Consolas" w:hAnsi="Consolas"/>
                <w:sz w:val="18"/>
                <w:szCs w:val="18"/>
              </w:rPr>
              <w:t xml:space="preserve">├── state.py                 # TypedDict state definitions</w:t>
            </w:r>
          </w:p>
          <w:p>
            <w:pPr>
              <w:spacing w:after="0" w:line="240"/>
            </w:pPr>
            <w:r>
              <w:rPr>
                <w:rFonts w:ascii="Consolas" w:cs="Consolas" w:eastAsia="Consolas" w:hAnsi="Consolas"/>
                <w:sz w:val="18"/>
                <w:szCs w:val="18"/>
              </w:rPr>
              <w:t xml:space="preserve">└── config.py                # Model routing, token budgets, feature flags</w:t>
            </w:r>
          </w:p>
        </w:tc>
      </w:tr>
    </w:tbl>
    <w:p>
      <w:pPr>
        <w:spacing w:after="80"/>
      </w:pPr>
      <w:r>
        <w:t xml:space="preserve"/>
      </w:r>
    </w:p>
    <w:p>
      <w:pPr>
        <w:pStyle w:val="Heading2"/>
        <w:spacing w:after="140" w:before="280"/>
      </w:pPr>
      <w:r>
        <w:rPr>
          <w:rFonts w:ascii="Calibri" w:cs="Calibri" w:eastAsia="Calibri" w:hAnsi="Calibri"/>
          <w:b/>
          <w:bCs/>
          <w:color w:val="2E5C8A"/>
          <w:sz w:val="28"/>
          <w:szCs w:val="28"/>
        </w:rPr>
        <w:t xml:space="preserve">7.2 AI Tutor (MVP)</w:t>
      </w:r>
    </w:p>
    <w:p>
      <w:pPr>
        <w:pStyle w:val="ListParagraph"/>
        <w:numPr>
          <w:ilvl w:val="0"/>
          <w:numId w:val="2"/>
        </w:numPr>
        <w:spacing w:after="60" w:line="290"/>
      </w:pPr>
      <w:r>
        <w:rPr>
          <w:rFonts w:ascii="Calibri" w:cs="Calibri" w:eastAsia="Calibri" w:hAnsi="Calibri"/>
          <w:sz w:val="22"/>
          <w:szCs w:val="22"/>
        </w:rPr>
        <w:t xml:space="preserve">Per-course knowledge base: lessons are chunked (~500 tokens, 50 overlap), embedded via text-embedding-3-small, stored in pgvector with HNSW index, scoped by tenant_id and course_id.</w:t>
      </w:r>
    </w:p>
    <w:p>
      <w:pPr>
        <w:pStyle w:val="ListParagraph"/>
        <w:numPr>
          <w:ilvl w:val="0"/>
          <w:numId w:val="2"/>
        </w:numPr>
        <w:spacing w:after="60" w:line="290"/>
      </w:pPr>
      <w:r>
        <w:rPr>
          <w:rFonts w:ascii="Calibri" w:cs="Calibri" w:eastAsia="Calibri" w:hAnsi="Calibri"/>
          <w:sz w:val="22"/>
          <w:szCs w:val="22"/>
        </w:rPr>
        <w:t xml:space="preserve">Retrieval: top-K (default K=5) hybrid search (vector + Postgres full-text fallback) and a re-ranking pass.</w:t>
      </w:r>
    </w:p>
    <w:p>
      <w:pPr>
        <w:pStyle w:val="ListParagraph"/>
        <w:numPr>
          <w:ilvl w:val="0"/>
          <w:numId w:val="2"/>
        </w:numPr>
        <w:spacing w:after="60" w:line="290"/>
      </w:pPr>
      <w:r>
        <w:rPr>
          <w:rFonts w:ascii="Calibri" w:cs="Calibri" w:eastAsia="Calibri" w:hAnsi="Calibri"/>
          <w:sz w:val="22"/>
          <w:szCs w:val="22"/>
        </w:rPr>
        <w:t xml:space="preserve">Generation: streaming response via Server-Sent Events. Prompt enforces 'cite the lesson section you used' so learners can verify.</w:t>
      </w:r>
    </w:p>
    <w:p>
      <w:pPr>
        <w:pStyle w:val="ListParagraph"/>
        <w:numPr>
          <w:ilvl w:val="0"/>
          <w:numId w:val="2"/>
        </w:numPr>
        <w:spacing w:after="60" w:line="290"/>
      </w:pPr>
      <w:r>
        <w:rPr>
          <w:rFonts w:ascii="Calibri" w:cs="Calibri" w:eastAsia="Calibri" w:hAnsi="Calibri"/>
          <w:sz w:val="22"/>
          <w:szCs w:val="22"/>
        </w:rPr>
        <w:t xml:space="preserve">Guardrails: refuse questions outside course scope; refuse to give quiz answers verbatim (configurable per-tenant).</w:t>
      </w:r>
    </w:p>
    <w:p>
      <w:pPr>
        <w:pStyle w:val="ListParagraph"/>
        <w:numPr>
          <w:ilvl w:val="0"/>
          <w:numId w:val="2"/>
        </w:numPr>
        <w:spacing w:after="60" w:line="290"/>
      </w:pPr>
      <w:r>
        <w:rPr>
          <w:rFonts w:ascii="Calibri" w:cs="Calibri" w:eastAsia="Calibri" w:hAnsi="Calibri"/>
          <w:sz w:val="22"/>
          <w:szCs w:val="22"/>
        </w:rPr>
        <w:t xml:space="preserve">Provider abstraction: a thin AIProvider interface with implementations for OpenAI and Anthropic; LangGraph orchestrates the call graph.</w:t>
      </w:r>
    </w:p>
    <w:p>
      <w:pPr>
        <w:pStyle w:val="Heading2"/>
        <w:spacing w:after="140" w:before="280"/>
      </w:pPr>
      <w:r>
        <w:rPr>
          <w:rFonts w:ascii="Calibri" w:cs="Calibri" w:eastAsia="Calibri" w:hAnsi="Calibri"/>
          <w:b/>
          <w:bCs/>
          <w:color w:val="2E5C8A"/>
          <w:sz w:val="28"/>
          <w:szCs w:val="28"/>
        </w:rPr>
        <w:t xml:space="preserve">7.3 LangGraph Implementation</w:t>
      </w:r>
    </w:p>
    <w:p>
      <w:pPr>
        <w:spacing w:after="120" w:line="300"/>
      </w:pPr>
      <w:r>
        <w:rPr>
          <w:rFonts w:ascii="Calibri" w:cs="Calibri" w:eastAsia="Calibri" w:hAnsi="Calibri"/>
          <w:sz w:val="22"/>
          <w:szCs w:val="22"/>
        </w:rPr>
        <w:t xml:space="preserve">All AI features are implemented as LangGraph graphs — stateful, multi-step workflows with built-in support for human-in-the-loop validation, streaming, and checkpointing.</w:t>
      </w:r>
    </w:p>
    <w:p>
      <w:pPr>
        <w:pStyle w:val="Heading3"/>
        <w:spacing w:after="100" w:before="220"/>
      </w:pPr>
      <w:r>
        <w:rPr>
          <w:rFonts w:ascii="Calibri" w:cs="Calibri" w:eastAsia="Calibri" w:hAnsi="Calibri"/>
          <w:b/>
          <w:bCs/>
          <w:color w:val="333333"/>
          <w:sz w:val="24"/>
          <w:szCs w:val="24"/>
        </w:rPr>
        <w:t xml:space="preserve">Why LangGraph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Capability</w:t>
            </w:r>
          </w:p>
        </w:tc>
        <w:tc>
          <w:tcPr>
            <w:tcW w:type="dxa" w:w="696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Benefit for OmniXtra</w:t>
            </w:r>
          </w:p>
        </w:tc>
      </w:tr>
      <w:tr>
        <w:tc>
          <w:tcPr>
            <w:tcW w:type="dxa" w:w="24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Stateful graphs</w:t>
            </w:r>
          </w:p>
        </w:tc>
        <w:tc>
          <w:tcPr>
            <w:tcW w:type="dxa" w:w="69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Tutor conversations and authoring workflows maintain context across nodes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Human-in-the-loop</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Authors review AI-generated lessons before publish; status flows through the graph</w:t>
            </w:r>
          </w:p>
        </w:tc>
      </w:tr>
      <w:tr>
        <w:tc>
          <w:tcPr>
            <w:tcW w:type="dxa" w:w="24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Streaming</w:t>
            </w:r>
          </w:p>
        </w:tc>
        <w:tc>
          <w:tcPr>
            <w:tcW w:type="dxa" w:w="69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Real-time tutor responses to the learner via SSE</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Checkpointing</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Long-running authoring jobs can resume from failure without re-processing</w:t>
            </w:r>
          </w:p>
        </w:tc>
      </w:tr>
      <w:tr>
        <w:tc>
          <w:tcPr>
            <w:tcW w:type="dxa" w:w="24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Conditional routing</w:t>
            </w:r>
          </w:p>
        </w:tc>
        <w:tc>
          <w:tcPr>
            <w:tcW w:type="dxa" w:w="69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Branch logic for model tier selection (cheap → expensive fallback)</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Subgraphs</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Reusable components — retrieval, citation extraction, content sanitisation</w:t>
            </w:r>
          </w:p>
        </w:tc>
      </w:tr>
    </w:tbl>
    <w:p>
      <w:pPr>
        <w:spacing w:after="80"/>
      </w:pPr>
      <w:r>
        <w:t xml:space="preserve"/>
      </w:r>
    </w:p>
    <w:p>
      <w:pPr>
        <w:pStyle w:val="Heading3"/>
        <w:spacing w:after="100" w:before="220"/>
      </w:pPr>
      <w:r>
        <w:rPr>
          <w:rFonts w:ascii="Calibri" w:cs="Calibri" w:eastAsia="Calibri" w:hAnsi="Calibri"/>
          <w:b/>
          <w:bCs/>
          <w:color w:val="333333"/>
          <w:sz w:val="24"/>
          <w:szCs w:val="24"/>
        </w:rPr>
        <w:t xml:space="preserve">Example: AI Tutor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6FA" w:color="auto"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User question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[Validate scope: is question on-topic for the course?]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(yes)               ▼ (no)</w:t>
            </w:r>
          </w:p>
          <w:p>
            <w:pPr>
              <w:spacing w:after="0" w:line="240"/>
            </w:pPr>
            <w:r>
              <w:rPr>
                <w:rFonts w:ascii="Consolas" w:cs="Consolas" w:eastAsia="Consolas" w:hAnsi="Consolas"/>
                <w:sz w:val="18"/>
                <w:szCs w:val="18"/>
              </w:rPr>
              <w:t xml:space="preserve">[Embed query]          [Refuse with helpful redirect]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[pgvector retrieval (tenant_id, course_id filtered)]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[Re-rank top 20 → top 5]</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[LLM call: stream answer with citations]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[Confidence check]</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(high)             ▼ (low)</w:t>
            </w:r>
          </w:p>
          <w:p>
            <w:pPr>
              <w:spacing w:after="0" w:line="240"/>
            </w:pPr>
            <w:r>
              <w:rPr>
                <w:rFonts w:ascii="Consolas" w:cs="Consolas" w:eastAsia="Consolas" w:hAnsi="Consolas"/>
                <w:sz w:val="18"/>
                <w:szCs w:val="18"/>
              </w:rPr>
              <w:t xml:space="preserve">[Stream to learner]    [Append 'I'm not certain' notice]</w:t>
            </w:r>
          </w:p>
        </w:tc>
      </w:tr>
    </w:tbl>
    <w:p>
      <w:pPr>
        <w:spacing w:after="80"/>
      </w:pPr>
      <w:r>
        <w:t xml:space="preserve"/>
      </w:r>
    </w:p>
    <w:p>
      <w:pPr>
        <w:pStyle w:val="Heading2"/>
        <w:spacing w:after="140" w:before="280"/>
      </w:pPr>
      <w:r>
        <w:rPr>
          <w:rFonts w:ascii="Calibri" w:cs="Calibri" w:eastAsia="Calibri" w:hAnsi="Calibri"/>
          <w:b/>
          <w:bCs/>
          <w:color w:val="2E5C8A"/>
          <w:sz w:val="28"/>
          <w:szCs w:val="28"/>
        </w:rPr>
        <w:t xml:space="preserve">7.4 Integration with the Job Queue</w:t>
      </w:r>
    </w:p>
    <w:p>
      <w:pPr>
        <w:spacing w:after="120" w:line="300"/>
      </w:pPr>
      <w:r>
        <w:rPr>
          <w:rFonts w:ascii="Calibri" w:cs="Calibri" w:eastAsia="Calibri" w:hAnsi="Calibri"/>
          <w:sz w:val="22"/>
          <w:szCs w:val="22"/>
        </w:rPr>
        <w:t xml:space="preserve">AI graphs execute as Dramatiq actors. Status is streamed back to the frontend via Redis Pub/Sub → SSE: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6FA" w:color="auto"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@dramatiq.actor(max_retries=3, min_backoff=1000)</w:t>
            </w:r>
          </w:p>
          <w:p>
            <w:pPr>
              <w:spacing w:after="0" w:line="240"/>
            </w:pPr>
            <w:r>
              <w:rPr>
                <w:rFonts w:ascii="Consolas" w:cs="Consolas" w:eastAsia="Consolas" w:hAnsi="Consolas"/>
                <w:sz w:val="18"/>
                <w:szCs w:val="18"/>
              </w:rPr>
              <w:t xml:space="preserve">def run_ai_graph(graph_name: str, input_state: dict, tenant_id: int):</w:t>
            </w:r>
          </w:p>
          <w:p>
            <w:pPr>
              <w:spacing w:after="0" w:line="240"/>
            </w:pPr>
            <w:r>
              <w:rPr>
                <w:rFonts w:ascii="Consolas" w:cs="Consolas" w:eastAsia="Consolas" w:hAnsi="Consolas"/>
                <w:sz w:val="18"/>
                <w:szCs w:val="18"/>
              </w:rPr>
              <w:t xml:space="preserve">    graph = get_graph(graph_name)</w:t>
            </w:r>
          </w:p>
          <w:p>
            <w:pPr>
              <w:spacing w:after="0" w:line="240"/>
            </w:pPr>
            <w:r>
              <w:rPr>
                <w:rFonts w:ascii="Consolas" w:cs="Consolas" w:eastAsia="Consolas" w:hAnsi="Consolas"/>
                <w:sz w:val="18"/>
                <w:szCs w:val="18"/>
              </w:rPr>
              <w:t xml:space="preserve">    config = {'configurable': {'tenant_id': tenant_id}}</w:t>
            </w:r>
          </w:p>
          <w:p>
            <w:pPr>
              <w:spacing w:after="0" w:line="240"/>
            </w:pPr>
            <w:r>
              <w:rPr>
                <w:rFonts w:ascii="Consolas" w:cs="Consolas" w:eastAsia="Consolas" w:hAnsi="Consolas"/>
                <w:sz w:val="18"/>
                <w:szCs w:val="18"/>
              </w:rPr>
              <w:t xml:space="preserve">    for event in graph.stream(input_state, config=config):</w:t>
            </w:r>
          </w:p>
          <w:p>
            <w:pPr>
              <w:spacing w:after="0" w:line="240"/>
            </w:pPr>
            <w:r>
              <w:rPr>
                <w:rFonts w:ascii="Consolas" w:cs="Consolas" w:eastAsia="Consolas" w:hAnsi="Consolas"/>
                <w:sz w:val="18"/>
                <w:szCs w:val="18"/>
              </w:rPr>
              <w:t xml:space="preserve">        publish(f'tenant:{tenant_id}:ai_jobs', event)</w:t>
            </w:r>
          </w:p>
        </w:tc>
      </w:tr>
    </w:tbl>
    <w:p>
      <w:pPr>
        <w:spacing w:after="80"/>
      </w:pPr>
      <w:r>
        <w:t xml:space="preserve"/>
      </w:r>
    </w:p>
    <w:p>
      <w:pPr>
        <w:pStyle w:val="Heading2"/>
        <w:spacing w:after="140" w:before="280"/>
      </w:pPr>
      <w:r>
        <w:rPr>
          <w:rFonts w:ascii="Calibri" w:cs="Calibri" w:eastAsia="Calibri" w:hAnsi="Calibri"/>
          <w:b/>
          <w:bCs/>
          <w:color w:val="2E5C8A"/>
          <w:sz w:val="28"/>
          <w:szCs w:val="28"/>
        </w:rPr>
        <w:t xml:space="preserve">7.5 AI Verification Workflow (Human-in-the-Loop)</w:t>
      </w:r>
    </w:p>
    <w:p>
      <w:pPr>
        <w:spacing w:after="120" w:line="300"/>
      </w:pPr>
      <w:r>
        <w:rPr>
          <w:rFonts w:ascii="Calibri" w:cs="Calibri" w:eastAsia="Calibri" w:hAnsi="Calibri"/>
          <w:sz w:val="22"/>
          <w:szCs w:val="22"/>
        </w:rPr>
        <w:t xml:space="preserve">AI outputs that affect published content (AI-assisted authoring, generated quizzes) follow a mandatory verification lifecycle. Tutor responses to learners are exempt — they are live, advisory, and ephemeral.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Status</w:t>
            </w:r>
          </w:p>
        </w:tc>
        <w:tc>
          <w:tcPr>
            <w:tcW w:type="dxa" w:w="696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Meaning</w:t>
            </w:r>
          </w:p>
        </w:tc>
      </w:tr>
      <w:tr>
        <w:tc>
          <w:tcPr>
            <w:tcW w:type="dxa" w:w="24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PENDING_REVIEW</w:t>
            </w:r>
          </w:p>
        </w:tc>
        <w:tc>
          <w:tcPr>
            <w:tcW w:type="dxa" w:w="69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AI output generated, awaiting author review</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VERIFIED</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Author has reviewed and accepted unchanged</w:t>
            </w:r>
          </w:p>
        </w:tc>
      </w:tr>
      <w:tr>
        <w:tc>
          <w:tcPr>
            <w:tcW w:type="dxa" w:w="24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MODIFIED</w:t>
            </w:r>
          </w:p>
        </w:tc>
        <w:tc>
          <w:tcPr>
            <w:tcW w:type="dxa" w:w="69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Author has edited the AI output before accepting</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REJECTED</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Author has rejected the output; logged for prompt-improvement feedback</w:t>
            </w:r>
          </w:p>
        </w:tc>
      </w:tr>
    </w:tbl>
    <w:p>
      <w:pPr>
        <w:spacing w:after="80"/>
      </w:pPr>
      <w:r>
        <w:t xml:space="preserve"/>
      </w:r>
    </w:p>
    <w:p>
      <w:pPr>
        <w:spacing w:after="120" w:line="300"/>
      </w:pPr>
      <w:r>
        <w:rPr>
          <w:rFonts w:ascii="Calibri" w:cs="Calibri" w:eastAsia="Calibri" w:hAnsi="Calibri"/>
          <w:sz w:val="22"/>
          <w:szCs w:val="22"/>
        </w:rPr>
        <w:t xml:space="preserve">Rules:</w:t>
      </w:r>
    </w:p>
    <w:p>
      <w:pPr>
        <w:pStyle w:val="ListParagraph"/>
        <w:numPr>
          <w:ilvl w:val="0"/>
          <w:numId w:val="2"/>
        </w:numPr>
        <w:spacing w:after="60" w:line="290"/>
      </w:pPr>
      <w:r>
        <w:rPr>
          <w:rFonts w:ascii="Calibri" w:cs="Calibri" w:eastAsia="Calibri" w:hAnsi="Calibri"/>
          <w:sz w:val="22"/>
          <w:szCs w:val="22"/>
        </w:rPr>
        <w:t xml:space="preserve">AI-generated lessons and quizzes are never auto-published. A human author must move them from PENDING_REVIEW to VERIFIED/MODIFIED.</w:t>
      </w:r>
    </w:p>
    <w:p>
      <w:pPr>
        <w:pStyle w:val="ListParagraph"/>
        <w:numPr>
          <w:ilvl w:val="0"/>
          <w:numId w:val="2"/>
        </w:numPr>
        <w:spacing w:after="60" w:line="290"/>
      </w:pPr>
      <w:r>
        <w:rPr>
          <w:rFonts w:ascii="Calibri" w:cs="Calibri" w:eastAsia="Calibri" w:hAnsi="Calibri"/>
          <w:sz w:val="22"/>
          <w:szCs w:val="22"/>
        </w:rPr>
        <w:t xml:space="preserve">Rejected outputs are stored anonymously in an evaluation dataset (LangSmith) to improve prompts.</w:t>
      </w:r>
    </w:p>
    <w:p>
      <w:pPr>
        <w:pStyle w:val="ListParagraph"/>
        <w:numPr>
          <w:ilvl w:val="0"/>
          <w:numId w:val="2"/>
        </w:numPr>
        <w:spacing w:after="60" w:line="290"/>
      </w:pPr>
      <w:r>
        <w:rPr>
          <w:rFonts w:ascii="Calibri" w:cs="Calibri" w:eastAsia="Calibri" w:hAnsi="Calibri"/>
          <w:sz w:val="22"/>
          <w:szCs w:val="22"/>
        </w:rPr>
        <w:t xml:space="preserve">The frontend visually distinguishes AI-generated content (badge + tooltip) until verified.</w:t>
      </w:r>
    </w:p>
    <w:p>
      <w:pPr>
        <w:pStyle w:val="Heading2"/>
        <w:spacing w:after="140" w:before="280"/>
      </w:pPr>
      <w:r>
        <w:rPr>
          <w:rFonts w:ascii="Calibri" w:cs="Calibri" w:eastAsia="Calibri" w:hAnsi="Calibri"/>
          <w:b/>
          <w:bCs/>
          <w:color w:val="2E5C8A"/>
          <w:sz w:val="28"/>
          <w:szCs w:val="28"/>
        </w:rPr>
        <w:t xml:space="preserve">7.6 AI Cost Controls</w:t>
      </w:r>
    </w:p>
    <w:p>
      <w:pPr>
        <w:spacing w:after="120" w:line="300"/>
      </w:pPr>
      <w:r>
        <w:rPr>
          <w:rFonts w:ascii="Calibri" w:cs="Calibri" w:eastAsia="Calibri" w:hAnsi="Calibri"/>
          <w:sz w:val="22"/>
          <w:szCs w:val="22"/>
        </w:rPr>
        <w:t xml:space="preserve">AI costs are the second-largest variable expense after infrastructure. The following strategies keep them bounded:</w:t>
      </w:r>
    </w:p>
    <w:p>
      <w:pPr>
        <w:pStyle w:val="Heading3"/>
        <w:spacing w:after="100" w:before="220"/>
      </w:pPr>
      <w:r>
        <w:rPr>
          <w:rFonts w:ascii="Calibri" w:cs="Calibri" w:eastAsia="Calibri" w:hAnsi="Calibri"/>
          <w:b/>
          <w:bCs/>
          <w:color w:val="333333"/>
          <w:sz w:val="24"/>
          <w:szCs w:val="24"/>
        </w:rPr>
        <w:t xml:space="preserve">Semantic caching</w:t>
      </w:r>
    </w:p>
    <w:p>
      <w:pPr>
        <w:pStyle w:val="ListParagraph"/>
        <w:numPr>
          <w:ilvl w:val="0"/>
          <w:numId w:val="2"/>
        </w:numPr>
        <w:spacing w:after="60" w:line="290"/>
      </w:pPr>
      <w:r>
        <w:rPr>
          <w:rFonts w:ascii="Calibri" w:cs="Calibri" w:eastAsia="Calibri" w:hAnsi="Calibri"/>
          <w:sz w:val="22"/>
          <w:szCs w:val="22"/>
        </w:rPr>
        <w:t xml:space="preserve">Cache LLM responses for semantically similar queries using Redis + embedding similarity (cosine &gt; 0.95).</w:t>
      </w:r>
    </w:p>
    <w:p>
      <w:pPr>
        <w:pStyle w:val="ListParagraph"/>
        <w:numPr>
          <w:ilvl w:val="0"/>
          <w:numId w:val="2"/>
        </w:numPr>
        <w:spacing w:after="60" w:line="290"/>
      </w:pPr>
      <w:r>
        <w:rPr>
          <w:rFonts w:ascii="Calibri" w:cs="Calibri" w:eastAsia="Calibri" w:hAnsi="Calibri"/>
          <w:sz w:val="22"/>
          <w:szCs w:val="22"/>
        </w:rPr>
        <w:t xml:space="preserve">Cache keys are tenant-scoped (tenant:{id}:ai_cache:*) to maintain isolation.</w:t>
      </w:r>
    </w:p>
    <w:p>
      <w:pPr>
        <w:pStyle w:val="ListParagraph"/>
        <w:numPr>
          <w:ilvl w:val="0"/>
          <w:numId w:val="2"/>
        </w:numPr>
        <w:spacing w:after="60" w:line="290"/>
      </w:pPr>
      <w:r>
        <w:rPr>
          <w:rFonts w:ascii="Calibri" w:cs="Calibri" w:eastAsia="Calibri" w:hAnsi="Calibri"/>
          <w:sz w:val="22"/>
          <w:szCs w:val="22"/>
        </w:rPr>
        <w:t xml:space="preserve">TTL-based expiry: 24h for tutor answers, 7d for embeddings.</w:t>
      </w:r>
    </w:p>
    <w:p>
      <w:pPr>
        <w:pStyle w:val="Heading3"/>
        <w:spacing w:after="100" w:before="220"/>
      </w:pPr>
      <w:r>
        <w:rPr>
          <w:rFonts w:ascii="Calibri" w:cs="Calibri" w:eastAsia="Calibri" w:hAnsi="Calibri"/>
          <w:b/>
          <w:bCs/>
          <w:color w:val="333333"/>
          <w:sz w:val="24"/>
          <w:szCs w:val="24"/>
        </w:rPr>
        <w:t xml:space="preserve">Result reuse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Feature</w:t>
            </w:r>
          </w:p>
        </w:tc>
        <w:tc>
          <w:tcPr>
            <w:tcW w:type="dxa" w:w="636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Reuse Strategy</w:t>
            </w:r>
          </w:p>
        </w:tc>
      </w:tr>
      <w:tr>
        <w:tc>
          <w:tcPr>
            <w:tcW w:type="dxa" w:w="30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Lesson embeddings</w:t>
            </w:r>
          </w:p>
        </w:tc>
        <w:tc>
          <w:tcPr>
            <w:tcW w:type="dxa" w:w="63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Generated once per lesson version; reused for all retrievals</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Tutor answers</w:t>
            </w:r>
          </w:p>
        </w:tc>
        <w:tc>
          <w:tcPr>
            <w:tcW w:type="dxa" w:w="6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Cached by (course_id, semantic-hash-of-question); invalidated on lesson update</w:t>
            </w:r>
          </w:p>
        </w:tc>
      </w:tr>
      <w:tr>
        <w:tc>
          <w:tcPr>
            <w:tcW w:type="dxa" w:w="30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Generated outlines (authoring)</w:t>
            </w:r>
          </w:p>
        </w:tc>
        <w:tc>
          <w:tcPr>
            <w:tcW w:type="dxa" w:w="63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Stored as draft; regenerated only on explicit author request</w:t>
            </w:r>
          </w:p>
        </w:tc>
      </w:tr>
    </w:tbl>
    <w:p>
      <w:pPr>
        <w:spacing w:after="80"/>
      </w:pPr>
      <w:r>
        <w:t xml:space="preserve"/>
      </w:r>
    </w:p>
    <w:p>
      <w:pPr>
        <w:pStyle w:val="Heading3"/>
        <w:spacing w:after="100" w:before="220"/>
      </w:pPr>
      <w:r>
        <w:rPr>
          <w:rFonts w:ascii="Calibri" w:cs="Calibri" w:eastAsia="Calibri" w:hAnsi="Calibri"/>
          <w:b/>
          <w:bCs/>
          <w:color w:val="333333"/>
          <w:sz w:val="24"/>
          <w:szCs w:val="24"/>
        </w:rPr>
        <w:t xml:space="preserve">Cost-tier model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Use case</w:t>
            </w:r>
          </w:p>
        </w:tc>
        <w:tc>
          <w:tcPr>
            <w:tcW w:type="dxa" w:w="240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Tier</w:t>
            </w:r>
          </w:p>
        </w:tc>
        <w:tc>
          <w:tcPr>
            <w:tcW w:type="dxa" w:w="396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Examples</w:t>
            </w:r>
          </w:p>
        </w:tc>
      </w:tr>
      <w:tr>
        <w:tc>
          <w:tcPr>
            <w:tcW w:type="dxa" w:w="30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Embeddings</w:t>
            </w:r>
          </w:p>
        </w:tc>
        <w:tc>
          <w:tcPr>
            <w:tcW w:type="dxa" w:w="24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Small / Local</w:t>
            </w:r>
          </w:p>
        </w:tc>
        <w:tc>
          <w:tcPr>
            <w:tcW w:type="dxa" w:w="39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text-embedding-3-small or sentence-transformers</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Tutor (default)</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Mid</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gpt-4o-mini or Claude Haiku</w:t>
            </w:r>
          </w:p>
        </w:tc>
      </w:tr>
      <w:tr>
        <w:tc>
          <w:tcPr>
            <w:tcW w:type="dxa" w:w="30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Tutor (premium tenant)</w:t>
            </w:r>
          </w:p>
        </w:tc>
        <w:tc>
          <w:tcPr>
            <w:tcW w:type="dxa" w:w="24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Large</w:t>
            </w:r>
          </w:p>
        </w:tc>
        <w:tc>
          <w:tcPr>
            <w:tcW w:type="dxa" w:w="39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gpt-4o or Claude Sonnet</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Authoring (long content)</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Large</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gpt-4o or Claude Sonnet</w:t>
            </w:r>
          </w:p>
        </w:tc>
      </w:tr>
      <w:tr>
        <w:tc>
          <w:tcPr>
            <w:tcW w:type="dxa" w:w="30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Classification / routing</w:t>
            </w:r>
          </w:p>
        </w:tc>
        <w:tc>
          <w:tcPr>
            <w:tcW w:type="dxa" w:w="24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Small / Local</w:t>
            </w:r>
          </w:p>
        </w:tc>
        <w:tc>
          <w:tcPr>
            <w:tcW w:type="dxa" w:w="39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Local classifier or gpt-4o-mini</w:t>
            </w:r>
          </w:p>
        </w:tc>
      </w:tr>
    </w:tbl>
    <w:p>
      <w:pPr>
        <w:spacing w:after="80"/>
      </w:pPr>
      <w:r>
        <w:t xml:space="preserve"/>
      </w:r>
    </w:p>
    <w:p>
      <w:pPr>
        <w:pStyle w:val="Heading3"/>
        <w:spacing w:after="100" w:before="220"/>
      </w:pPr>
      <w:r>
        <w:rPr>
          <w:rFonts w:ascii="Calibri" w:cs="Calibri" w:eastAsia="Calibri" w:hAnsi="Calibri"/>
          <w:b/>
          <w:bCs/>
          <w:color w:val="333333"/>
          <w:sz w:val="24"/>
          <w:szCs w:val="24"/>
        </w:rPr>
        <w:t xml:space="preserve">Budget controls &amp; circuit breakers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Control</w:t>
            </w:r>
          </w:p>
        </w:tc>
        <w:tc>
          <w:tcPr>
            <w:tcW w:type="dxa" w:w="656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Implementation</w:t>
            </w:r>
          </w:p>
        </w:tc>
      </w:tr>
      <w:tr>
        <w:tc>
          <w:tcPr>
            <w:tcW w:type="dxa" w:w="28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Per-tenant monthly budget</w:t>
            </w:r>
          </w:p>
        </w:tc>
        <w:tc>
          <w:tcPr>
            <w:tcW w:type="dxa" w:w="65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Configurable token cap per tenant; soft warning at 80%, hard stop at 100%</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Per-feature token limits</w:t>
            </w:r>
          </w:p>
        </w:tc>
        <w:tc>
          <w:tcPr>
            <w:tcW w:type="dxa" w:w="6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Max tokens per single AI call (tutor: 2K in + 1K out)</w:t>
            </w:r>
          </w:p>
        </w:tc>
      </w:tr>
      <w:tr>
        <w:tc>
          <w:tcPr>
            <w:tcW w:type="dxa" w:w="28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Rate limiting</w:t>
            </w:r>
          </w:p>
        </w:tc>
        <w:tc>
          <w:tcPr>
            <w:tcW w:type="dxa" w:w="65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Max AI jobs per tenant per hour</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Circuit breaker</w:t>
            </w:r>
          </w:p>
        </w:tc>
        <w:tc>
          <w:tcPr>
            <w:tcW w:type="dxa" w:w="6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If error rate &gt; 30% in 5min window, pause AI calls + alert</w:t>
            </w:r>
          </w:p>
        </w:tc>
      </w:tr>
      <w:tr>
        <w:tc>
          <w:tcPr>
            <w:tcW w:type="dxa" w:w="28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Fallback cascade</w:t>
            </w:r>
          </w:p>
        </w:tc>
        <w:tc>
          <w:tcPr>
            <w:tcW w:type="dxa" w:w="65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Premium model fails / budget exceeded → cheaper model → cached response → friendly degraded message</w:t>
            </w:r>
          </w:p>
        </w:tc>
      </w:tr>
    </w:tbl>
    <w:p>
      <w:pPr>
        <w:spacing w:after="80"/>
      </w:pPr>
      <w:r>
        <w:t xml:space="preserve"/>
      </w:r>
    </w:p>
    <w:p>
      <w:pPr>
        <w:pStyle w:val="Heading2"/>
        <w:spacing w:after="140" w:before="280"/>
      </w:pPr>
      <w:r>
        <w:rPr>
          <w:rFonts w:ascii="Calibri" w:cs="Calibri" w:eastAsia="Calibri" w:hAnsi="Calibri"/>
          <w:b/>
          <w:bCs/>
          <w:color w:val="2E5C8A"/>
          <w:sz w:val="28"/>
          <w:szCs w:val="28"/>
        </w:rPr>
        <w:t xml:space="preserve">7.7 MCP Server (Phase 3)</w:t>
      </w:r>
    </w:p>
    <w:p>
      <w:pPr>
        <w:spacing w:after="120" w:line="300"/>
      </w:pPr>
      <w:r>
        <w:rPr>
          <w:rFonts w:ascii="Calibri" w:cs="Calibri" w:eastAsia="Calibri" w:hAnsi="Calibri"/>
          <w:sz w:val="22"/>
          <w:szCs w:val="22"/>
        </w:rPr>
        <w:t xml:space="preserve">OmniXtra exposes its capabilities as an MCP-compliant server, enabling external AI agents (Claude Desktop, ChatGPT, custom agents) to interact with the platform through standardised tool interfaces — while maintaining full tenant isolation, RBAC, and audit compliance.</w:t>
      </w:r>
    </w:p>
    <w:p>
      <w:pPr>
        <w:pStyle w:val="Heading3"/>
        <w:spacing w:after="100" w:before="220"/>
      </w:pPr>
      <w:r>
        <w:rPr>
          <w:rFonts w:ascii="Calibri" w:cs="Calibri" w:eastAsia="Calibri" w:hAnsi="Calibri"/>
          <w:b/>
          <w:bCs/>
          <w:color w:val="333333"/>
          <w:sz w:val="24"/>
          <w:szCs w:val="24"/>
        </w:rPr>
        <w:t xml:space="preserve">MCP tools (exposed)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Tool</w:t>
            </w:r>
          </w:p>
        </w:tc>
        <w:tc>
          <w:tcPr>
            <w:tcW w:type="dxa" w:w="440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Description</w:t>
            </w:r>
          </w:p>
        </w:tc>
        <w:tc>
          <w:tcPr>
            <w:tcW w:type="dxa" w:w="256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Required permission</w:t>
            </w:r>
          </w:p>
        </w:tc>
      </w:tr>
      <w:tr>
        <w:tc>
          <w:tcPr>
            <w:tcW w:type="dxa" w:w="24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search_courses</w:t>
            </w:r>
          </w:p>
        </w:tc>
        <w:tc>
          <w:tcPr>
            <w:tcW w:type="dxa" w:w="44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Semantic + keyword course search</w:t>
            </w:r>
          </w:p>
        </w:tc>
        <w:tc>
          <w:tcPr>
            <w:tcW w:type="dxa" w:w="25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courses:read</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get_course_summary</w:t>
            </w:r>
          </w:p>
        </w:tc>
        <w:tc>
          <w:tcPr>
            <w:tcW w:type="dxa" w:w="4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AI-generated summary of a course</w:t>
            </w:r>
          </w:p>
        </w:tc>
        <w:tc>
          <w:tcPr>
            <w:tcW w:type="dxa" w:w="2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courses:read</w:t>
            </w:r>
          </w:p>
        </w:tc>
      </w:tr>
      <w:tr>
        <w:tc>
          <w:tcPr>
            <w:tcW w:type="dxa" w:w="24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get_learner_progress</w:t>
            </w:r>
          </w:p>
        </w:tc>
        <w:tc>
          <w:tcPr>
            <w:tcW w:type="dxa" w:w="44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Progress for a learner across courses</w:t>
            </w:r>
          </w:p>
        </w:tc>
        <w:tc>
          <w:tcPr>
            <w:tcW w:type="dxa" w:w="25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analytics:read</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enrol_learner</w:t>
            </w:r>
          </w:p>
        </w:tc>
        <w:tc>
          <w:tcPr>
            <w:tcW w:type="dxa" w:w="4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Add a learner to a course</w:t>
            </w:r>
          </w:p>
        </w:tc>
        <w:tc>
          <w:tcPr>
            <w:tcW w:type="dxa" w:w="2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enrolment:write</w:t>
            </w:r>
          </w:p>
        </w:tc>
      </w:tr>
      <w:tr>
        <w:tc>
          <w:tcPr>
            <w:tcW w:type="dxa" w:w="24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generate_report</w:t>
            </w:r>
          </w:p>
        </w:tc>
        <w:tc>
          <w:tcPr>
            <w:tcW w:type="dxa" w:w="44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Cohort completion report</w:t>
            </w:r>
          </w:p>
        </w:tc>
        <w:tc>
          <w:tcPr>
            <w:tcW w:type="dxa" w:w="25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analytics:read</w:t>
            </w:r>
          </w:p>
        </w:tc>
      </w:tr>
    </w:tbl>
    <w:p>
      <w:pPr>
        <w:spacing w:after="80"/>
      </w:pPr>
      <w:r>
        <w:t xml:space="preserve"/>
      </w:r>
    </w:p>
    <w:p>
      <w:pPr>
        <w:pStyle w:val="Heading3"/>
        <w:spacing w:after="100" w:before="220"/>
      </w:pPr>
      <w:r>
        <w:rPr>
          <w:rFonts w:ascii="Calibri" w:cs="Calibri" w:eastAsia="Calibri" w:hAnsi="Calibri"/>
          <w:b/>
          <w:bCs/>
          <w:color w:val="333333"/>
          <w:sz w:val="24"/>
          <w:szCs w:val="24"/>
        </w:rPr>
        <w:t xml:space="preserve">Security model</w:t>
      </w:r>
    </w:p>
    <w:p>
      <w:pPr>
        <w:pStyle w:val="ListParagraph"/>
        <w:numPr>
          <w:ilvl w:val="0"/>
          <w:numId w:val="2"/>
        </w:numPr>
        <w:spacing w:after="60" w:line="290"/>
      </w:pPr>
      <w:r>
        <w:rPr>
          <w:rFonts w:ascii="Calibri" w:cs="Calibri" w:eastAsia="Calibri" w:hAnsi="Calibri"/>
          <w:b/>
          <w:bCs/>
          <w:sz w:val="22"/>
          <w:szCs w:val="22"/>
        </w:rPr>
        <w:t xml:space="preserve">Authentication</w:t>
      </w:r>
      <w:r>
        <w:rPr>
          <w:rFonts w:ascii="Calibri" w:cs="Calibri" w:eastAsia="Calibri" w:hAnsi="Calibri"/>
          <w:sz w:val="22"/>
          <w:szCs w:val="22"/>
        </w:rPr>
        <w:t xml:space="preserve">: API key per agent, scoped to a tenant and role.</w:t>
      </w:r>
    </w:p>
    <w:p>
      <w:pPr>
        <w:pStyle w:val="ListParagraph"/>
        <w:numPr>
          <w:ilvl w:val="0"/>
          <w:numId w:val="2"/>
        </w:numPr>
        <w:spacing w:after="60" w:line="290"/>
      </w:pPr>
      <w:r>
        <w:rPr>
          <w:rFonts w:ascii="Calibri" w:cs="Calibri" w:eastAsia="Calibri" w:hAnsi="Calibri"/>
          <w:b/>
          <w:bCs/>
          <w:sz w:val="22"/>
          <w:szCs w:val="22"/>
        </w:rPr>
        <w:t xml:space="preserve">Tenant isolation</w:t>
      </w:r>
      <w:r>
        <w:rPr>
          <w:rFonts w:ascii="Calibri" w:cs="Calibri" w:eastAsia="Calibri" w:hAnsi="Calibri"/>
          <w:sz w:val="22"/>
          <w:szCs w:val="22"/>
        </w:rPr>
        <w:t xml:space="preserve">: agent's API key binds to a tenant_id; all queries auto-scoped.</w:t>
      </w:r>
    </w:p>
    <w:p>
      <w:pPr>
        <w:pStyle w:val="ListParagraph"/>
        <w:numPr>
          <w:ilvl w:val="0"/>
          <w:numId w:val="2"/>
        </w:numPr>
        <w:spacing w:after="60" w:line="290"/>
      </w:pPr>
      <w:r>
        <w:rPr>
          <w:rFonts w:ascii="Calibri" w:cs="Calibri" w:eastAsia="Calibri" w:hAnsi="Calibri"/>
          <w:b/>
          <w:bCs/>
          <w:sz w:val="22"/>
          <w:szCs w:val="22"/>
        </w:rPr>
        <w:t xml:space="preserve">RBAC</w:t>
      </w:r>
      <w:r>
        <w:rPr>
          <w:rFonts w:ascii="Calibri" w:cs="Calibri" w:eastAsia="Calibri" w:hAnsi="Calibri"/>
          <w:sz w:val="22"/>
          <w:szCs w:val="22"/>
        </w:rPr>
        <w:t xml:space="preserve">: each tool requires specific permissions; the agent's role determines available tools.</w:t>
      </w:r>
    </w:p>
    <w:p>
      <w:pPr>
        <w:pStyle w:val="ListParagraph"/>
        <w:numPr>
          <w:ilvl w:val="0"/>
          <w:numId w:val="2"/>
        </w:numPr>
        <w:spacing w:after="60" w:line="290"/>
      </w:pPr>
      <w:r>
        <w:rPr>
          <w:rFonts w:ascii="Calibri" w:cs="Calibri" w:eastAsia="Calibri" w:hAnsi="Calibri"/>
          <w:b/>
          <w:bCs/>
          <w:sz w:val="22"/>
          <w:szCs w:val="22"/>
        </w:rPr>
        <w:t xml:space="preserve">Rate limiting</w:t>
      </w:r>
      <w:r>
        <w:rPr>
          <w:rFonts w:ascii="Calibri" w:cs="Calibri" w:eastAsia="Calibri" w:hAnsi="Calibri"/>
          <w:sz w:val="22"/>
          <w:szCs w:val="22"/>
        </w:rPr>
        <w:t xml:space="preserve">: per-agent rate limits separate from user limits.</w:t>
      </w:r>
    </w:p>
    <w:p>
      <w:pPr>
        <w:pStyle w:val="ListParagraph"/>
        <w:numPr>
          <w:ilvl w:val="0"/>
          <w:numId w:val="2"/>
        </w:numPr>
        <w:spacing w:after="60" w:line="290"/>
      </w:pPr>
      <w:r>
        <w:rPr>
          <w:rFonts w:ascii="Calibri" w:cs="Calibri" w:eastAsia="Calibri" w:hAnsi="Calibri"/>
          <w:b/>
          <w:bCs/>
          <w:sz w:val="22"/>
          <w:szCs w:val="22"/>
        </w:rPr>
        <w:t xml:space="preserve">Audit</w:t>
      </w:r>
      <w:r>
        <w:rPr>
          <w:rFonts w:ascii="Calibri" w:cs="Calibri" w:eastAsia="Calibri" w:hAnsi="Calibri"/>
          <w:sz w:val="22"/>
          <w:szCs w:val="22"/>
        </w:rPr>
        <w:t xml:space="preserve">: every MCP call logged with agent_id, tool, tenant_id, target, timestamp — identical to human-user audit entries.</w:t>
      </w:r>
    </w:p>
    <w:p>
      <w:pPr>
        <w:pStyle w:val="Heading2"/>
        <w:spacing w:after="140" w:before="280"/>
      </w:pPr>
      <w:r>
        <w:rPr>
          <w:rFonts w:ascii="Calibri" w:cs="Calibri" w:eastAsia="Calibri" w:hAnsi="Calibri"/>
          <w:b/>
          <w:bCs/>
          <w:color w:val="2E5C8A"/>
          <w:sz w:val="28"/>
          <w:szCs w:val="28"/>
        </w:rPr>
        <w:t xml:space="preserve">7.8 AI Observability (LangSmith)</w:t>
      </w:r>
    </w:p>
    <w:p>
      <w:pPr>
        <w:pStyle w:val="ListParagraph"/>
        <w:numPr>
          <w:ilvl w:val="0"/>
          <w:numId w:val="2"/>
        </w:numPr>
        <w:spacing w:after="60" w:line="290"/>
      </w:pPr>
      <w:r>
        <w:rPr>
          <w:rFonts w:ascii="Calibri" w:cs="Calibri" w:eastAsia="Calibri" w:hAnsi="Calibri"/>
          <w:sz w:val="22"/>
          <w:szCs w:val="22"/>
        </w:rPr>
        <w:t xml:space="preserve">Every graph execution traced automatically via LANGCHAIN_TRACING_V2=true.</w:t>
      </w:r>
    </w:p>
    <w:p>
      <w:pPr>
        <w:pStyle w:val="ListParagraph"/>
        <w:numPr>
          <w:ilvl w:val="0"/>
          <w:numId w:val="2"/>
        </w:numPr>
        <w:spacing w:after="60" w:line="290"/>
      </w:pPr>
      <w:r>
        <w:rPr>
          <w:rFonts w:ascii="Calibri" w:cs="Calibri" w:eastAsia="Calibri" w:hAnsi="Calibri"/>
          <w:sz w:val="22"/>
          <w:szCs w:val="22"/>
        </w:rPr>
        <w:t xml:space="preserve">Token usage and cost aggregated per graph, per tenant, per time period — surfaced in admin dashboard.</w:t>
      </w:r>
    </w:p>
    <w:p>
      <w:pPr>
        <w:pStyle w:val="ListParagraph"/>
        <w:numPr>
          <w:ilvl w:val="0"/>
          <w:numId w:val="2"/>
        </w:numPr>
        <w:spacing w:after="60" w:line="290"/>
      </w:pPr>
      <w:r>
        <w:rPr>
          <w:rFonts w:ascii="Calibri" w:cs="Calibri" w:eastAsia="Calibri" w:hAnsi="Calibri"/>
          <w:sz w:val="22"/>
          <w:szCs w:val="22"/>
        </w:rPr>
        <w:t xml:space="preserve">Evaluation datasets for regression testing: nightly runs against a held-out set of (question, expected-citation) pairs; alerts if pass rate drops &gt; 5%.</w:t>
      </w:r>
    </w:p>
    <w:p>
      <w:pPr>
        <w:pStyle w:val="ListParagraph"/>
        <w:numPr>
          <w:ilvl w:val="0"/>
          <w:numId w:val="2"/>
        </w:numPr>
        <w:spacing w:after="60" w:line="290"/>
      </w:pPr>
      <w:r>
        <w:rPr>
          <w:rFonts w:ascii="Calibri" w:cs="Calibri" w:eastAsia="Calibri" w:hAnsi="Calibri"/>
          <w:sz w:val="22"/>
          <w:szCs w:val="22"/>
        </w:rPr>
        <w:t xml:space="preserve">Prompt templates are version-controlled in the repo; LangSmith compares versions for A/B testing.</w:t>
      </w:r>
    </w:p>
    <w:p>
      <w:r>
        <w:br w:type="page"/>
      </w:r>
    </w:p>
    <w:p>
      <w:pPr>
        <w:pStyle w:val="Heading1"/>
        <w:spacing w:after="180" w:before="360"/>
      </w:pPr>
      <w:r>
        <w:rPr>
          <w:rFonts w:ascii="Calibri" w:cs="Calibri" w:eastAsia="Calibri" w:hAnsi="Calibri"/>
          <w:b/>
          <w:bCs/>
          <w:color w:val="1F3A5F"/>
          <w:sz w:val="36"/>
          <w:szCs w:val="36"/>
        </w:rPr>
        <w:t xml:space="preserve">8. API Design</w:t>
      </w:r>
    </w:p>
    <w:p>
      <w:pPr>
        <w:pStyle w:val="Heading2"/>
        <w:spacing w:after="140" w:before="280"/>
      </w:pPr>
      <w:r>
        <w:rPr>
          <w:rFonts w:ascii="Calibri" w:cs="Calibri" w:eastAsia="Calibri" w:hAnsi="Calibri"/>
          <w:b/>
          <w:bCs/>
          <w:color w:val="2E5C8A"/>
          <w:sz w:val="28"/>
          <w:szCs w:val="28"/>
        </w:rPr>
        <w:t xml:space="preserve">8.1 Conventions</w:t>
      </w:r>
    </w:p>
    <w:p>
      <w:pPr>
        <w:pStyle w:val="ListParagraph"/>
        <w:numPr>
          <w:ilvl w:val="0"/>
          <w:numId w:val="2"/>
        </w:numPr>
        <w:spacing w:after="60" w:line="290"/>
      </w:pPr>
      <w:r>
        <w:rPr>
          <w:rFonts w:ascii="Calibri" w:cs="Calibri" w:eastAsia="Calibri" w:hAnsi="Calibri"/>
          <w:sz w:val="22"/>
          <w:szCs w:val="22"/>
        </w:rPr>
        <w:t xml:space="preserve">RESTful resource-oriented design — nouns for resources, HTTP verbs for actions.</w:t>
      </w:r>
    </w:p>
    <w:p>
      <w:pPr>
        <w:pStyle w:val="ListParagraph"/>
        <w:numPr>
          <w:ilvl w:val="0"/>
          <w:numId w:val="2"/>
        </w:numPr>
        <w:spacing w:after="60" w:line="290"/>
      </w:pPr>
      <w:r>
        <w:rPr>
          <w:rFonts w:ascii="Calibri" w:cs="Calibri" w:eastAsia="Calibri" w:hAnsi="Calibri"/>
          <w:sz w:val="22"/>
          <w:szCs w:val="22"/>
        </w:rPr>
        <w:t xml:space="preserve">Strict versioning. All routes under /api/v1/. Backward compatibility within a major version.</w:t>
      </w:r>
    </w:p>
    <w:p>
      <w:pPr>
        <w:pStyle w:val="ListParagraph"/>
        <w:numPr>
          <w:ilvl w:val="0"/>
          <w:numId w:val="2"/>
        </w:numPr>
        <w:spacing w:after="60" w:line="290"/>
      </w:pPr>
      <w:r>
        <w:rPr>
          <w:rFonts w:ascii="Calibri" w:cs="Calibri" w:eastAsia="Calibri" w:hAnsi="Calibri"/>
          <w:sz w:val="22"/>
          <w:szCs w:val="22"/>
        </w:rPr>
        <w:t xml:space="preserve">OpenAPI auto-generated by FastAPI at /docs (Swagger UI) and /redoc.</w:t>
      </w:r>
    </w:p>
    <w:p>
      <w:pPr>
        <w:pStyle w:val="ListParagraph"/>
        <w:numPr>
          <w:ilvl w:val="0"/>
          <w:numId w:val="2"/>
        </w:numPr>
        <w:spacing w:after="60" w:line="290"/>
      </w:pPr>
      <w:r>
        <w:rPr>
          <w:rFonts w:ascii="Calibri" w:cs="Calibri" w:eastAsia="Calibri" w:hAnsi="Calibri"/>
          <w:sz w:val="22"/>
          <w:szCs w:val="22"/>
        </w:rPr>
        <w:t xml:space="preserve">Cursor-based pagination for all list endpoints. Offset pagination forbidden — performance degrades at scale.</w:t>
      </w:r>
    </w:p>
    <w:p>
      <w:pPr>
        <w:pStyle w:val="ListParagraph"/>
        <w:numPr>
          <w:ilvl w:val="0"/>
          <w:numId w:val="2"/>
        </w:numPr>
        <w:spacing w:after="60" w:line="290"/>
      </w:pPr>
      <w:r>
        <w:rPr>
          <w:rFonts w:ascii="Calibri" w:cs="Calibri" w:eastAsia="Calibri" w:hAnsi="Calibri"/>
          <w:sz w:val="22"/>
          <w:szCs w:val="22"/>
        </w:rPr>
        <w:t xml:space="preserve">PUT and DELETE are idempotent. POST accepts an Idempotency-Key header for safe retries on billing, enrolment, and certificate-issuance endpoints.</w:t>
      </w:r>
    </w:p>
    <w:p>
      <w:pPr>
        <w:pStyle w:val="Heading2"/>
        <w:spacing w:after="140" w:before="280"/>
      </w:pPr>
      <w:r>
        <w:rPr>
          <w:rFonts w:ascii="Calibri" w:cs="Calibri" w:eastAsia="Calibri" w:hAnsi="Calibri"/>
          <w:b/>
          <w:bCs/>
          <w:color w:val="2E5C8A"/>
          <w:sz w:val="28"/>
          <w:szCs w:val="28"/>
        </w:rPr>
        <w:t xml:space="preserve">8.2 Response Envelope</w:t>
      </w:r>
    </w:p>
    <w:p>
      <w:pPr>
        <w:spacing w:after="120" w:line="300"/>
      </w:pPr>
      <w:r>
        <w:rPr>
          <w:rFonts w:ascii="Calibri" w:cs="Calibri" w:eastAsia="Calibri" w:hAnsi="Calibri"/>
          <w:sz w:val="22"/>
          <w:szCs w:val="22"/>
        </w:rPr>
        <w:t xml:space="preserve">Every API response uses a consistent envelope. This contract is shared across the REST API and the future MCP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6FA" w:color="auto"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 Success</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"data": { ... },</w:t>
            </w:r>
          </w:p>
          <w:p>
            <w:pPr>
              <w:spacing w:after="0" w:line="240"/>
            </w:pPr>
            <w:r>
              <w:rPr>
                <w:rFonts w:ascii="Consolas" w:cs="Consolas" w:eastAsia="Consolas" w:hAnsi="Consolas"/>
                <w:sz w:val="18"/>
                <w:szCs w:val="18"/>
              </w:rPr>
              <w:t xml:space="preserve">  "error": null,</w:t>
            </w:r>
          </w:p>
          <w:p>
            <w:pPr>
              <w:spacing w:after="0" w:line="240"/>
            </w:pPr>
            <w:r>
              <w:rPr>
                <w:rFonts w:ascii="Consolas" w:cs="Consolas" w:eastAsia="Consolas" w:hAnsi="Consolas"/>
                <w:sz w:val="18"/>
                <w:szCs w:val="18"/>
              </w:rPr>
              <w:t xml:space="preserve">  "meta": {</w:t>
            </w:r>
          </w:p>
          <w:p>
            <w:pPr>
              <w:spacing w:after="0" w:line="240"/>
            </w:pPr>
            <w:r>
              <w:rPr>
                <w:rFonts w:ascii="Consolas" w:cs="Consolas" w:eastAsia="Consolas" w:hAnsi="Consolas"/>
                <w:sz w:val="18"/>
                <w:szCs w:val="18"/>
              </w:rPr>
              <w:t xml:space="preserve">    "request_id": "req_abc123",</w:t>
            </w:r>
          </w:p>
          <w:p>
            <w:pPr>
              <w:spacing w:after="0" w:line="240"/>
            </w:pPr>
            <w:r>
              <w:rPr>
                <w:rFonts w:ascii="Consolas" w:cs="Consolas" w:eastAsia="Consolas" w:hAnsi="Consolas"/>
                <w:sz w:val="18"/>
                <w:szCs w:val="18"/>
              </w:rPr>
              <w:t xml:space="preserve">    "page": { "cursor_next": "eyJpZCI6MTAwfQ==", "has_more": true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r>
          </w:p>
          <w:p>
            <w:pPr>
              <w:spacing w:after="0" w:line="240"/>
            </w:pPr>
            <w:r>
              <w:rPr>
                <w:rFonts w:ascii="Consolas" w:cs="Consolas" w:eastAsia="Consolas" w:hAnsi="Consolas"/>
                <w:sz w:val="18"/>
                <w:szCs w:val="18"/>
              </w:rPr>
              <w:t xml:space="preserve">// Error</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"data": null,</w:t>
            </w:r>
          </w:p>
          <w:p>
            <w:pPr>
              <w:spacing w:after="0" w:line="240"/>
            </w:pPr>
            <w:r>
              <w:rPr>
                <w:rFonts w:ascii="Consolas" w:cs="Consolas" w:eastAsia="Consolas" w:hAnsi="Consolas"/>
                <w:sz w:val="18"/>
                <w:szCs w:val="18"/>
              </w:rPr>
              <w:t xml:space="preserve">  "error": {</w:t>
            </w:r>
          </w:p>
          <w:p>
            <w:pPr>
              <w:spacing w:after="0" w:line="240"/>
            </w:pPr>
            <w:r>
              <w:rPr>
                <w:rFonts w:ascii="Consolas" w:cs="Consolas" w:eastAsia="Consolas" w:hAnsi="Consolas"/>
                <w:sz w:val="18"/>
                <w:szCs w:val="18"/>
              </w:rPr>
              <w:t xml:space="preserve">    "type": "ValidationError",</w:t>
            </w:r>
          </w:p>
          <w:p>
            <w:pPr>
              <w:spacing w:after="0" w:line="240"/>
            </w:pPr>
            <w:r>
              <w:rPr>
                <w:rFonts w:ascii="Consolas" w:cs="Consolas" w:eastAsia="Consolas" w:hAnsi="Consolas"/>
                <w:sz w:val="18"/>
                <w:szCs w:val="18"/>
              </w:rPr>
              <w:t xml:space="preserve">    "message": "course title must be 3-200 characters",</w:t>
            </w:r>
          </w:p>
          <w:p>
            <w:pPr>
              <w:spacing w:after="0" w:line="240"/>
            </w:pPr>
            <w:r>
              <w:rPr>
                <w:rFonts w:ascii="Consolas" w:cs="Consolas" w:eastAsia="Consolas" w:hAnsi="Consolas"/>
                <w:sz w:val="18"/>
                <w:szCs w:val="18"/>
              </w:rPr>
              <w:t xml:space="preserve">    "details": [{ "field": "title", "constraint": "length"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"meta": { "request_id": "req_abc123", "timestamp": "2026-05-16T10:30:00Z" }</w:t>
            </w:r>
          </w:p>
          <w:p>
            <w:pPr>
              <w:spacing w:after="0" w:line="240"/>
            </w:pPr>
            <w:r>
              <w:rPr>
                <w:rFonts w:ascii="Consolas" w:cs="Consolas" w:eastAsia="Consolas" w:hAnsi="Consolas"/>
                <w:sz w:val="18"/>
                <w:szCs w:val="18"/>
              </w:rPr>
              <w:t xml:space="preserve">}</w:t>
            </w:r>
          </w:p>
        </w:tc>
      </w:tr>
    </w:tbl>
    <w:p>
      <w:pPr>
        <w:spacing w:after="80"/>
      </w:pPr>
      <w:r>
        <w:t xml:space="preserve"/>
      </w:r>
    </w:p>
    <w:p>
      <w:pPr>
        <w:pStyle w:val="Heading2"/>
        <w:spacing w:after="140" w:before="280"/>
      </w:pPr>
      <w:r>
        <w:rPr>
          <w:rFonts w:ascii="Calibri" w:cs="Calibri" w:eastAsia="Calibri" w:hAnsi="Calibri"/>
          <w:b/>
          <w:bCs/>
          <w:color w:val="2E5C8A"/>
          <w:sz w:val="28"/>
          <w:szCs w:val="28"/>
        </w:rPr>
        <w:t xml:space="preserve">8.3 Typed Error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HTTP</w:t>
            </w:r>
          </w:p>
        </w:tc>
        <w:tc>
          <w:tcPr>
            <w:tcW w:type="dxa" w:w="240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Error type</w:t>
            </w:r>
          </w:p>
        </w:tc>
        <w:tc>
          <w:tcPr>
            <w:tcW w:type="dxa" w:w="616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When it fires</w:t>
            </w:r>
          </w:p>
        </w:tc>
      </w:tr>
      <w:tr>
        <w:tc>
          <w:tcPr>
            <w:tcW w:type="dxa" w:w="8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400</w:t>
            </w:r>
          </w:p>
        </w:tc>
        <w:tc>
          <w:tcPr>
            <w:tcW w:type="dxa" w:w="24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ValidationError</w:t>
            </w:r>
          </w:p>
        </w:tc>
        <w:tc>
          <w:tcPr>
            <w:tcW w:type="dxa" w:w="61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Pydantic schema rejection or business-rule violation</w:t>
            </w:r>
          </w:p>
        </w:tc>
      </w:tr>
      <w:tr>
        <w:tc>
          <w:tcPr>
            <w:tcW w:type="dxa" w:w="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401</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AuthenticationError</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Missing or invalid credentials</w:t>
            </w:r>
          </w:p>
        </w:tc>
      </w:tr>
      <w:tr>
        <w:tc>
          <w:tcPr>
            <w:tcW w:type="dxa" w:w="8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403</w:t>
            </w:r>
          </w:p>
        </w:tc>
        <w:tc>
          <w:tcPr>
            <w:tcW w:type="dxa" w:w="24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AuthorizationError</w:t>
            </w:r>
          </w:p>
        </w:tc>
        <w:tc>
          <w:tcPr>
            <w:tcW w:type="dxa" w:w="61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Authenticated but lacks the required permission</w:t>
            </w:r>
          </w:p>
        </w:tc>
      </w:tr>
      <w:tr>
        <w:tc>
          <w:tcPr>
            <w:tcW w:type="dxa" w:w="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404</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NotFoundError</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Resource does not exist (or does not exist in this tenant)</w:t>
            </w:r>
          </w:p>
        </w:tc>
      </w:tr>
      <w:tr>
        <w:tc>
          <w:tcPr>
            <w:tcW w:type="dxa" w:w="8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409</w:t>
            </w:r>
          </w:p>
        </w:tc>
        <w:tc>
          <w:tcPr>
            <w:tcW w:type="dxa" w:w="24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ConflictError</w:t>
            </w:r>
          </w:p>
        </w:tc>
        <w:tc>
          <w:tcPr>
            <w:tcW w:type="dxa" w:w="61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Duplicate slug, state transition violation</w:t>
            </w:r>
          </w:p>
        </w:tc>
      </w:tr>
      <w:tr>
        <w:tc>
          <w:tcPr>
            <w:tcW w:type="dxa" w:w="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422</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UnprocessableEntity</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Valid syntax but semantic error</w:t>
            </w:r>
          </w:p>
        </w:tc>
      </w:tr>
      <w:tr>
        <w:tc>
          <w:tcPr>
            <w:tcW w:type="dxa" w:w="8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429</w:t>
            </w:r>
          </w:p>
        </w:tc>
        <w:tc>
          <w:tcPr>
            <w:tcW w:type="dxa" w:w="24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RateLimitError</w:t>
            </w:r>
          </w:p>
        </w:tc>
        <w:tc>
          <w:tcPr>
            <w:tcW w:type="dxa" w:w="61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Per-tenant or per-IP throttle exceeded</w:t>
            </w:r>
          </w:p>
        </w:tc>
      </w:tr>
      <w:tr>
        <w:tc>
          <w:tcPr>
            <w:tcW w:type="dxa" w:w="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500</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InternalError</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Unexpected server failure; logged with full context</w:t>
            </w:r>
          </w:p>
        </w:tc>
      </w:tr>
    </w:tbl>
    <w:p>
      <w:pPr>
        <w:spacing w:after="80"/>
      </w:pPr>
      <w:r>
        <w:t xml:space="preserve"/>
      </w:r>
    </w:p>
    <w:p>
      <w:pPr>
        <w:spacing w:after="120" w:line="300"/>
      </w:pPr>
      <w:r>
        <w:rPr>
          <w:rFonts w:ascii="Calibri" w:cs="Calibri" w:eastAsia="Calibri" w:hAnsi="Calibri"/>
          <w:sz w:val="22"/>
          <w:szCs w:val="22"/>
        </w:rPr>
        <w:t xml:space="preserve">All errors are logged with request_id, tenant_id, actor_id (user or agent), ip_address, and user_agent for full traceability. Never log raw user input that may contain PII or course content.</w:t>
      </w:r>
    </w:p>
    <w:p>
      <w:pPr>
        <w:pStyle w:val="Heading2"/>
        <w:spacing w:after="140" w:before="280"/>
      </w:pPr>
      <w:r>
        <w:rPr>
          <w:rFonts w:ascii="Calibri" w:cs="Calibri" w:eastAsia="Calibri" w:hAnsi="Calibri"/>
          <w:b/>
          <w:bCs/>
          <w:color w:val="2E5C8A"/>
          <w:sz w:val="28"/>
          <w:szCs w:val="28"/>
        </w:rPr>
        <w:t xml:space="preserve">8.4 Real-Time Transport</w:t>
      </w:r>
    </w:p>
    <w:p>
      <w:pPr>
        <w:spacing w:after="120" w:line="300"/>
      </w:pPr>
      <w:r>
        <w:rPr>
          <w:rFonts w:ascii="Calibri" w:cs="Calibri" w:eastAsia="Calibri" w:hAnsi="Calibri"/>
          <w:b/>
          <w:bCs/>
          <w:sz w:val="22"/>
          <w:szCs w:val="22"/>
        </w:rPr>
        <w:t xml:space="preserve">Default to Server-Sent Events (SSE)</w:t>
      </w:r>
      <w:r>
        <w:rPr>
          <w:rFonts w:ascii="Calibri" w:cs="Calibri" w:eastAsia="Calibri" w:hAnsi="Calibri"/>
          <w:sz w:val="22"/>
          <w:szCs w:val="22"/>
        </w:rPr>
        <w:t xml:space="preserve"> for server → client streams. Use WebSockets only when the client must send data back through the same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Feature</w:t>
            </w:r>
          </w:p>
        </w:tc>
        <w:tc>
          <w:tcPr>
            <w:tcW w:type="dxa" w:w="180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Transport</w:t>
            </w:r>
          </w:p>
        </w:tc>
        <w:tc>
          <w:tcPr>
            <w:tcW w:type="dxa" w:w="456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Why</w:t>
            </w:r>
          </w:p>
        </w:tc>
      </w:tr>
      <w:tr>
        <w:tc>
          <w:tcPr>
            <w:tcW w:type="dxa" w:w="30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AI tutor streaming</w:t>
            </w:r>
          </w:p>
        </w:tc>
        <w:tc>
          <w:tcPr>
            <w:tcW w:type="dxa" w:w="18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SSE</w:t>
            </w:r>
          </w:p>
        </w:tc>
        <w:tc>
          <w:tcPr>
            <w:tcW w:type="dxa" w:w="45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One-way server → client; reconnects natively via EventSource</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Course completion notifications</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SSE</w:t>
            </w:r>
          </w:p>
        </w:tc>
        <w:tc>
          <w:tcPr>
            <w:tcW w:type="dxa" w:w="4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One-way</w:t>
            </w:r>
          </w:p>
        </w:tc>
      </w:tr>
      <w:tr>
        <w:tc>
          <w:tcPr>
            <w:tcW w:type="dxa" w:w="30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Authoring autosave indicator</w:t>
            </w:r>
          </w:p>
        </w:tc>
        <w:tc>
          <w:tcPr>
            <w:tcW w:type="dxa" w:w="18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SSE</w:t>
            </w:r>
          </w:p>
        </w:tc>
        <w:tc>
          <w:tcPr>
            <w:tcW w:type="dxa" w:w="45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One-way; server confirms saves</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Live collaboration on a course outline (future)</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WebSocket</w:t>
            </w:r>
          </w:p>
        </w:tc>
        <w:tc>
          <w:tcPr>
            <w:tcW w:type="dxa" w:w="4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Bidirectional editing presence</w:t>
            </w:r>
          </w:p>
        </w:tc>
      </w:tr>
      <w:tr>
        <w:tc>
          <w:tcPr>
            <w:tcW w:type="dxa" w:w="30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Heartbeat / connection management</w:t>
            </w:r>
          </w:p>
        </w:tc>
        <w:tc>
          <w:tcPr>
            <w:tcW w:type="dxa" w:w="18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SSE pings every 30s</w:t>
            </w:r>
          </w:p>
        </w:tc>
        <w:tc>
          <w:tcPr>
            <w:tcW w:type="dxa" w:w="45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Detects stale connections</w:t>
            </w:r>
          </w:p>
        </w:tc>
      </w:tr>
    </w:tbl>
    <w:p>
      <w:pPr>
        <w:spacing w:after="80"/>
      </w:pPr>
      <w:r>
        <w:t xml:space="preserve"/>
      </w:r>
    </w:p>
    <w:p>
      <w:pPr>
        <w:spacing w:after="120" w:line="300"/>
      </w:pPr>
      <w:r>
        <w:rPr>
          <w:rFonts w:ascii="Calibri" w:cs="Calibri" w:eastAsia="Calibri" w:hAnsi="Calibri"/>
          <w:sz w:val="22"/>
          <w:szCs w:val="22"/>
        </w:rPr>
        <w:t xml:space="preserve">Event distribution is via Redis Pub/Sub, decoupling producers (API, Dramatiq workers) from consumers (SSE endpoints). Channel names always include tenant_id: tenant:{id}:ai_jobs, tenant:{id}:notifications.</w:t>
      </w:r>
    </w:p>
    <w:p>
      <w:r>
        <w:br w:type="page"/>
      </w:r>
    </w:p>
    <w:p>
      <w:pPr>
        <w:pStyle w:val="Heading1"/>
        <w:spacing w:after="180" w:before="360"/>
      </w:pPr>
      <w:r>
        <w:rPr>
          <w:rFonts w:ascii="Calibri" w:cs="Calibri" w:eastAsia="Calibri" w:hAnsi="Calibri"/>
          <w:b/>
          <w:bCs/>
          <w:color w:val="1F3A5F"/>
          <w:sz w:val="36"/>
          <w:szCs w:val="36"/>
        </w:rPr>
        <w:t xml:space="preserve">9. Security, Privacy &amp; Compliance</w:t>
      </w:r>
    </w:p>
    <w:p>
      <w:pPr>
        <w:spacing w:after="120" w:line="300"/>
      </w:pPr>
      <w:r>
        <w:rPr>
          <w:rFonts w:ascii="Calibri" w:cs="Calibri" w:eastAsia="Calibri" w:hAnsi="Calibri"/>
          <w:sz w:val="22"/>
          <w:szCs w:val="22"/>
        </w:rPr>
        <w:t xml:space="preserve">Security posture is built in from day one. SOC 2 Type 1 is a Phase 3 milestone, but every control on the path to it is implemented from MVP forward — retrofitting is painful and bad-faith.</w:t>
      </w:r>
    </w:p>
    <w:p>
      <w:pPr>
        <w:pStyle w:val="Heading2"/>
        <w:spacing w:after="140" w:before="280"/>
      </w:pPr>
      <w:r>
        <w:rPr>
          <w:rFonts w:ascii="Calibri" w:cs="Calibri" w:eastAsia="Calibri" w:hAnsi="Calibri"/>
          <w:b/>
          <w:bCs/>
          <w:color w:val="2E5C8A"/>
          <w:sz w:val="28"/>
          <w:szCs w:val="28"/>
        </w:rPr>
        <w:t xml:space="preserve">9.1 Threat Model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360"/>
        <w:gridCol w:w="1600"/>
      </w:tblGrid>
      <w:tr>
        <w:trPr>
          <w:tblHeader/>
        </w:trPr>
        <w:tc>
          <w:tcPr>
            <w:tcW w:type="dxa" w:w="240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Threat</w:t>
            </w:r>
          </w:p>
        </w:tc>
        <w:tc>
          <w:tcPr>
            <w:tcW w:type="dxa" w:w="536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Mitigation</w:t>
            </w:r>
          </w:p>
        </w:tc>
        <w:tc>
          <w:tcPr>
            <w:tcW w:type="dxa" w:w="160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When</w:t>
            </w:r>
          </w:p>
        </w:tc>
      </w:tr>
      <w:tr>
        <w:tc>
          <w:tcPr>
            <w:tcW w:type="dxa" w:w="24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Cross-tenant data leak</w:t>
            </w:r>
          </w:p>
        </w:tc>
        <w:tc>
          <w:tcPr>
            <w:tcW w:type="dxa" w:w="53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Three-layer isolation (middleware + ORM + RLS) + automated cross-tenant tests</w:t>
            </w:r>
          </w:p>
        </w:tc>
        <w:tc>
          <w:tcPr>
            <w:tcW w:type="dxa" w:w="16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MVP</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Credential stuffing</w:t>
            </w:r>
          </w:p>
        </w:tc>
        <w:tc>
          <w:tcPr>
            <w:tcW w:type="dxa" w:w="5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Argon2id password hashing, login rate limiting, breached-password check (HIBP API)</w:t>
            </w:r>
          </w:p>
        </w:tc>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MVP</w:t>
            </w:r>
          </w:p>
        </w:tc>
      </w:tr>
      <w:tr>
        <w:tc>
          <w:tcPr>
            <w:tcW w:type="dxa" w:w="24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Session hijacking</w:t>
            </w:r>
          </w:p>
        </w:tc>
        <w:tc>
          <w:tcPr>
            <w:tcW w:type="dxa" w:w="53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HttpOnly + Secure + SameSite cookies, rotating session tokens with replay detection</w:t>
            </w:r>
          </w:p>
        </w:tc>
        <w:tc>
          <w:tcPr>
            <w:tcW w:type="dxa" w:w="16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MVP</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Account takeover</w:t>
            </w:r>
          </w:p>
        </w:tc>
        <w:tc>
          <w:tcPr>
            <w:tcW w:type="dxa" w:w="5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Optional MFA (TOTP), anomalous-login email alerts</w:t>
            </w:r>
          </w:p>
        </w:tc>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Phase 2</w:t>
            </w:r>
          </w:p>
        </w:tc>
      </w:tr>
      <w:tr>
        <w:tc>
          <w:tcPr>
            <w:tcW w:type="dxa" w:w="24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IDOR (insecure object access)</w:t>
            </w:r>
          </w:p>
        </w:tc>
        <w:tc>
          <w:tcPr>
            <w:tcW w:type="dxa" w:w="53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All endpoints scoped by tenant + actor authorisation check; centralised authz helper</w:t>
            </w:r>
          </w:p>
        </w:tc>
        <w:tc>
          <w:tcPr>
            <w:tcW w:type="dxa" w:w="16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MVP</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Prompt injection via course content / tutor</w:t>
            </w:r>
          </w:p>
        </w:tc>
        <w:tc>
          <w:tcPr>
            <w:tcW w:type="dxa" w:w="5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Content sanitisation, system-prompt isolation, output filtering, no tool calls from learner-facing tutor</w:t>
            </w:r>
          </w:p>
        </w:tc>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MVP</w:t>
            </w:r>
          </w:p>
        </w:tc>
      </w:tr>
      <w:tr>
        <w:tc>
          <w:tcPr>
            <w:tcW w:type="dxa" w:w="24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Malicious file upload</w:t>
            </w:r>
          </w:p>
        </w:tc>
        <w:tc>
          <w:tcPr>
            <w:tcW w:type="dxa" w:w="53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Content-type validation, magic-byte check, antivirus scan, isolated storage bucket per tenant</w:t>
            </w:r>
          </w:p>
        </w:tc>
        <w:tc>
          <w:tcPr>
            <w:tcW w:type="dxa" w:w="16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MVP</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DDoS / abuse</w:t>
            </w:r>
          </w:p>
        </w:tc>
        <w:tc>
          <w:tcPr>
            <w:tcW w:type="dxa" w:w="5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Cloudflare in front of everything, per-tenant rate limits, circuit breakers on AI calls</w:t>
            </w:r>
          </w:p>
        </w:tc>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MVP</w:t>
            </w:r>
          </w:p>
        </w:tc>
      </w:tr>
      <w:tr>
        <w:tc>
          <w:tcPr>
            <w:tcW w:type="dxa" w:w="24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XSS in course content</w:t>
            </w:r>
          </w:p>
        </w:tc>
        <w:tc>
          <w:tcPr>
            <w:tcW w:type="dxa" w:w="53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Content sanitised on render (DOMPurify); CSP headers</w:t>
            </w:r>
          </w:p>
        </w:tc>
        <w:tc>
          <w:tcPr>
            <w:tcW w:type="dxa" w:w="16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MVP</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CSRF</w:t>
            </w:r>
          </w:p>
        </w:tc>
        <w:tc>
          <w:tcPr>
            <w:tcW w:type="dxa" w:w="5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Double-submit cookie pattern on state-changing endpoints</w:t>
            </w:r>
          </w:p>
        </w:tc>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MVP</w:t>
            </w:r>
          </w:p>
        </w:tc>
      </w:tr>
      <w:tr>
        <w:tc>
          <w:tcPr>
            <w:tcW w:type="dxa" w:w="24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SQL injection</w:t>
            </w:r>
          </w:p>
        </w:tc>
        <w:tc>
          <w:tcPr>
            <w:tcW w:type="dxa" w:w="53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Parameterised queries only (SQLAlchemy ORM); no raw SQL outside of migrations</w:t>
            </w:r>
          </w:p>
        </w:tc>
        <w:tc>
          <w:tcPr>
            <w:tcW w:type="dxa" w:w="16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MVP</w:t>
            </w:r>
          </w:p>
        </w:tc>
      </w:tr>
    </w:tbl>
    <w:p>
      <w:pPr>
        <w:spacing w:after="80"/>
      </w:pPr>
      <w:r>
        <w:t xml:space="preserve"/>
      </w:r>
    </w:p>
    <w:p>
      <w:pPr>
        <w:pStyle w:val="Heading2"/>
        <w:spacing w:after="140" w:before="280"/>
      </w:pPr>
      <w:r>
        <w:rPr>
          <w:rFonts w:ascii="Calibri" w:cs="Calibri" w:eastAsia="Calibri" w:hAnsi="Calibri"/>
          <w:b/>
          <w:bCs/>
          <w:color w:val="2E5C8A"/>
          <w:sz w:val="28"/>
          <w:szCs w:val="28"/>
        </w:rPr>
        <w:t xml:space="preserve">9.2 Data Protection</w:t>
      </w:r>
    </w:p>
    <w:p>
      <w:pPr>
        <w:pStyle w:val="ListParagraph"/>
        <w:numPr>
          <w:ilvl w:val="0"/>
          <w:numId w:val="2"/>
        </w:numPr>
        <w:spacing w:after="60" w:line="290"/>
      </w:pPr>
      <w:r>
        <w:rPr>
          <w:rFonts w:ascii="Calibri" w:cs="Calibri" w:eastAsia="Calibri" w:hAnsi="Calibri"/>
          <w:sz w:val="22"/>
          <w:szCs w:val="22"/>
        </w:rPr>
        <w:t xml:space="preserve">Encryption in transit: TLS 1.3 everywhere; HSTS on the apex domain. TLS 1.2 is the absolute minimum accepted by load balancers; older protocols are rejected.</w:t>
      </w:r>
    </w:p>
    <w:p>
      <w:pPr>
        <w:pStyle w:val="ListParagraph"/>
        <w:numPr>
          <w:ilvl w:val="0"/>
          <w:numId w:val="2"/>
        </w:numPr>
        <w:spacing w:after="60" w:line="290"/>
      </w:pPr>
      <w:r>
        <w:rPr>
          <w:rFonts w:ascii="Calibri" w:cs="Calibri" w:eastAsia="Calibri" w:hAnsi="Calibri"/>
          <w:sz w:val="22"/>
          <w:szCs w:val="22"/>
        </w:rPr>
        <w:t xml:space="preserve">Encryption at rest: AES-256 across all data stores. Postgres (managed by Neon/Supabase) and object storage (R2/S3) both use AES-256-GCM at the storage layer. Backups are encrypted with AES-256 before being written to backup buckets.</w:t>
      </w:r>
    </w:p>
    <w:p>
      <w:pPr>
        <w:pStyle w:val="ListParagraph"/>
        <w:numPr>
          <w:ilvl w:val="0"/>
          <w:numId w:val="2"/>
        </w:numPr>
        <w:spacing w:after="60" w:line="290"/>
      </w:pPr>
      <w:r>
        <w:rPr>
          <w:rFonts w:ascii="Calibri" w:cs="Calibri" w:eastAsia="Calibri" w:hAnsi="Calibri"/>
          <w:sz w:val="22"/>
          <w:szCs w:val="22"/>
        </w:rPr>
        <w:t xml:space="preserve">Secrets: a single secrets manager (Doppler or 1Password Secrets Automation) — never .env files in production.</w:t>
      </w:r>
    </w:p>
    <w:p>
      <w:pPr>
        <w:pStyle w:val="ListParagraph"/>
        <w:numPr>
          <w:ilvl w:val="0"/>
          <w:numId w:val="2"/>
        </w:numPr>
        <w:spacing w:after="60" w:line="290"/>
      </w:pPr>
      <w:r>
        <w:rPr>
          <w:rFonts w:ascii="Calibri" w:cs="Calibri" w:eastAsia="Calibri" w:hAnsi="Calibri"/>
          <w:sz w:val="22"/>
          <w:szCs w:val="22"/>
        </w:rPr>
        <w:t xml:space="preserve">PII minimisation: collect only email, name, role, locale. No DOB, no address, no government IDs.</w:t>
      </w:r>
    </w:p>
    <w:p>
      <w:pPr>
        <w:pStyle w:val="ListParagraph"/>
        <w:numPr>
          <w:ilvl w:val="0"/>
          <w:numId w:val="2"/>
        </w:numPr>
        <w:spacing w:after="60" w:line="290"/>
      </w:pPr>
      <w:r>
        <w:rPr>
          <w:rFonts w:ascii="Calibri" w:cs="Calibri" w:eastAsia="Calibri" w:hAnsi="Calibri"/>
          <w:sz w:val="22"/>
          <w:szCs w:val="22"/>
        </w:rPr>
        <w:t xml:space="preserve">Backups: daily automated, 30-day retention; quarterly restore drill.</w:t>
      </w:r>
    </w:p>
    <w:p>
      <w:pPr>
        <w:pStyle w:val="ListParagraph"/>
        <w:numPr>
          <w:ilvl w:val="0"/>
          <w:numId w:val="2"/>
        </w:numPr>
        <w:spacing w:after="60" w:line="290"/>
      </w:pPr>
      <w:r>
        <w:rPr>
          <w:rFonts w:ascii="Calibri" w:cs="Calibri" w:eastAsia="Calibri" w:hAnsi="Calibri"/>
          <w:sz w:val="22"/>
          <w:szCs w:val="22"/>
        </w:rPr>
        <w:t xml:space="preserve">Log redaction: a structlog processor scrubs known sensitive field names (password, token, card_*) from all log output.</w:t>
      </w:r>
    </w:p>
    <w:p>
      <w:pPr>
        <w:pStyle w:val="Heading2"/>
        <w:spacing w:after="140" w:before="280"/>
      </w:pPr>
      <w:r>
        <w:rPr>
          <w:rFonts w:ascii="Calibri" w:cs="Calibri" w:eastAsia="Calibri" w:hAnsi="Calibri"/>
          <w:b/>
          <w:bCs/>
          <w:color w:val="2E5C8A"/>
          <w:sz w:val="28"/>
          <w:szCs w:val="28"/>
        </w:rPr>
        <w:t xml:space="preserve">9.3 Rate Limiting &amp; Tenant Traffic Isolation</w:t>
      </w:r>
    </w:p>
    <w:p>
      <w:pPr>
        <w:spacing w:after="120" w:line="300"/>
      </w:pPr>
      <w:r>
        <w:rPr>
          <w:rFonts w:ascii="Calibri" w:cs="Calibri" w:eastAsia="Calibri" w:hAnsi="Calibri"/>
          <w:sz w:val="22"/>
          <w:szCs w:val="22"/>
        </w:rPr>
        <w:t xml:space="preserve">Rate limiting is enforced at the edge (Cloudflare) and at the API layer to prevent denial-of-service threats and to isolate noisy-neighbour traffic so one tenant's behaviour cannot degrade service for others.</w:t>
      </w:r>
    </w:p>
    <w:p>
      <w:pPr>
        <w:pStyle w:val="Heading3"/>
        <w:spacing w:after="100" w:before="220"/>
      </w:pPr>
      <w:r>
        <w:rPr>
          <w:rFonts w:ascii="Calibri" w:cs="Calibri" w:eastAsia="Calibri" w:hAnsi="Calibri"/>
          <w:b/>
          <w:bCs/>
          <w:color w:val="333333"/>
          <w:sz w:val="24"/>
          <w:szCs w:val="24"/>
        </w:rPr>
        <w:t xml:space="preserve">Algorithm</w:t>
      </w:r>
    </w:p>
    <w:p>
      <w:pPr>
        <w:pStyle w:val="ListParagraph"/>
        <w:numPr>
          <w:ilvl w:val="0"/>
          <w:numId w:val="2"/>
        </w:numPr>
        <w:spacing w:after="60" w:line="290"/>
      </w:pPr>
      <w:r>
        <w:rPr>
          <w:rFonts w:ascii="Calibri" w:cs="Calibri" w:eastAsia="Calibri" w:hAnsi="Calibri"/>
          <w:b/>
          <w:bCs/>
          <w:sz w:val="22"/>
          <w:szCs w:val="22"/>
        </w:rPr>
        <w:t xml:space="preserve">Token-bucket</w:t>
      </w:r>
      <w:r>
        <w:rPr>
          <w:rFonts w:ascii="Calibri" w:cs="Calibri" w:eastAsia="Calibri" w:hAnsi="Calibri"/>
          <w:sz w:val="22"/>
          <w:szCs w:val="22"/>
        </w:rPr>
        <w:t xml:space="preserve"> is the chosen algorithm. Each (tenant, endpoint-class) pair has a bucket with a configured burst capacity and refill rate. Requests consume tokens; an empty bucket returns 429 with a Retry-After header. Token-bucket is preferred over fixed-window because it absorbs short bursts gracefully while still enforcing the long-run rate.</w:t>
      </w:r>
    </w:p>
    <w:p>
      <w:pPr>
        <w:pStyle w:val="ListParagraph"/>
        <w:numPr>
          <w:ilvl w:val="0"/>
          <w:numId w:val="2"/>
        </w:numPr>
        <w:spacing w:after="60" w:line="290"/>
      </w:pPr>
      <w:r>
        <w:rPr>
          <w:rFonts w:ascii="Calibri" w:cs="Calibri" w:eastAsia="Calibri" w:hAnsi="Calibri"/>
          <w:b/>
          <w:bCs/>
          <w:sz w:val="22"/>
          <w:szCs w:val="22"/>
        </w:rPr>
        <w:t xml:space="preserve">Implementation</w:t>
      </w:r>
      <w:r>
        <w:rPr>
          <w:rFonts w:ascii="Calibri" w:cs="Calibri" w:eastAsia="Calibri" w:hAnsi="Calibri"/>
          <w:sz w:val="22"/>
          <w:szCs w:val="22"/>
        </w:rPr>
        <w:t xml:space="preserve">: Redis-backed sliding token buckets, atomic via Lua scripts so the read/decrement is race-free. Keys are namespaced </w:t>
      </w:r>
      <w:r>
        <w:rPr>
          <w:rFonts w:ascii="Calibri" w:cs="Calibri" w:eastAsia="Calibri" w:hAnsi="Calibri"/>
          <w:i/>
          <w:iCs/>
          <w:sz w:val="22"/>
          <w:szCs w:val="22"/>
        </w:rPr>
        <w:t xml:space="preserve">ratelimit:{tenant_id}:{class}:{actor_id}</w:t>
      </w:r>
      <w:r>
        <w:rPr>
          <w:rFonts w:ascii="Calibri" w:cs="Calibri" w:eastAsia="Calibri" w:hAnsi="Calibri"/>
          <w:sz w:val="22"/>
          <w:szCs w:val="22"/>
        </w:rPr>
        <w:t xml:space="preserve">.</w:t>
      </w:r>
    </w:p>
    <w:p>
      <w:pPr>
        <w:pStyle w:val="Heading3"/>
        <w:spacing w:after="100" w:before="220"/>
      </w:pPr>
      <w:r>
        <w:rPr>
          <w:rFonts w:ascii="Calibri" w:cs="Calibri" w:eastAsia="Calibri" w:hAnsi="Calibri"/>
          <w:b/>
          <w:bCs/>
          <w:color w:val="333333"/>
          <w:sz w:val="24"/>
          <w:szCs w:val="24"/>
        </w:rPr>
        <w:t xml:space="preserve">Bucket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Dimension</w:t>
            </w:r>
          </w:p>
        </w:tc>
        <w:tc>
          <w:tcPr>
            <w:tcW w:type="dxa" w:w="400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Why</w:t>
            </w:r>
          </w:p>
        </w:tc>
        <w:tc>
          <w:tcPr>
            <w:tcW w:type="dxa" w:w="256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Default cap (Starter plan)</w:t>
            </w:r>
          </w:p>
        </w:tc>
      </w:tr>
      <w:tr>
        <w:tc>
          <w:tcPr>
            <w:tcW w:type="dxa" w:w="28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Per-tenant, per-endpoint-class</w:t>
            </w:r>
          </w:p>
        </w:tc>
        <w:tc>
          <w:tcPr>
            <w:tcW w:type="dxa" w:w="40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Primary defence against noisy neighbours — Tenant A flooding /ai/tutor cannot consume budget that Tenant B needs</w:t>
            </w:r>
          </w:p>
        </w:tc>
        <w:tc>
          <w:tcPr>
            <w:tcW w:type="dxa" w:w="25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600 req/min on /ai/*, 1200 req/min on /api/v1/*</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Per-user, per-endpoint-class</w:t>
            </w:r>
          </w:p>
        </w:tc>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Defence against a single compromised user token within a tenant</w:t>
            </w:r>
          </w:p>
        </w:tc>
        <w:tc>
          <w:tcPr>
            <w:tcW w:type="dxa" w:w="2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120 req/min per user on /ai/*</w:t>
            </w:r>
          </w:p>
        </w:tc>
      </w:tr>
      <w:tr>
        <w:tc>
          <w:tcPr>
            <w:tcW w:type="dxa" w:w="28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Per-IP, unauthenticated</w:t>
            </w:r>
          </w:p>
        </w:tc>
        <w:tc>
          <w:tcPr>
            <w:tcW w:type="dxa" w:w="40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Defence against signup spam and brute-force on login</w:t>
            </w:r>
          </w:p>
        </w:tc>
        <w:tc>
          <w:tcPr>
            <w:tcW w:type="dxa" w:w="25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20 req/min per IP on /auth/login and /auth/signup</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Per-MCP agent</w:t>
            </w:r>
          </w:p>
        </w:tc>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External agents on Phase 3 have separate buckets from human users</w:t>
            </w:r>
          </w:p>
        </w:tc>
        <w:tc>
          <w:tcPr>
            <w:tcW w:type="dxa" w:w="2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Configurable per agent, default 300 req/min</w:t>
            </w:r>
          </w:p>
        </w:tc>
      </w:tr>
    </w:tbl>
    <w:p>
      <w:pPr>
        <w:spacing w:after="80"/>
      </w:pPr>
      <w:r>
        <w:t xml:space="preserve"/>
      </w:r>
    </w:p>
    <w:p>
      <w:pPr>
        <w:pStyle w:val="Heading3"/>
        <w:spacing w:after="100" w:before="220"/>
      </w:pPr>
      <w:r>
        <w:rPr>
          <w:rFonts w:ascii="Calibri" w:cs="Calibri" w:eastAsia="Calibri" w:hAnsi="Calibri"/>
          <w:b/>
          <w:bCs/>
          <w:color w:val="333333"/>
          <w:sz w:val="24"/>
          <w:szCs w:val="24"/>
        </w:rPr>
        <w:t xml:space="preserve">Tenant isolation guarantees</w:t>
      </w:r>
    </w:p>
    <w:p>
      <w:pPr>
        <w:pStyle w:val="ListParagraph"/>
        <w:numPr>
          <w:ilvl w:val="0"/>
          <w:numId w:val="2"/>
        </w:numPr>
        <w:spacing w:after="60" w:line="290"/>
      </w:pPr>
      <w:r>
        <w:rPr>
          <w:rFonts w:ascii="Calibri" w:cs="Calibri" w:eastAsia="Calibri" w:hAnsi="Calibri"/>
          <w:sz w:val="22"/>
          <w:szCs w:val="22"/>
        </w:rPr>
        <w:t xml:space="preserve">Per-tenant buckets are the primary isolation mechanism: Tenant A exhausting its quota does not consume Tenant B's tokens — the buckets are independent Redis keys.</w:t>
      </w:r>
    </w:p>
    <w:p>
      <w:pPr>
        <w:pStyle w:val="ListParagraph"/>
        <w:numPr>
          <w:ilvl w:val="0"/>
          <w:numId w:val="2"/>
        </w:numPr>
        <w:spacing w:after="60" w:line="290"/>
      </w:pPr>
      <w:r>
        <w:rPr>
          <w:rFonts w:ascii="Calibri" w:cs="Calibri" w:eastAsia="Calibri" w:hAnsi="Calibri"/>
          <w:sz w:val="22"/>
          <w:szCs w:val="22"/>
        </w:rPr>
        <w:t xml:space="preserve">CPU-bound endpoints (AI calls, PDF certificate rendering, video transcoding) additionally enforce per-tenant concurrency limits. A tenant cannot occupy more than N concurrent worker slots, ensuring at least 1 slot remains available for every other active tenant.</w:t>
      </w:r>
    </w:p>
    <w:p>
      <w:pPr>
        <w:pStyle w:val="ListParagraph"/>
        <w:numPr>
          <w:ilvl w:val="0"/>
          <w:numId w:val="2"/>
        </w:numPr>
        <w:spacing w:after="60" w:line="290"/>
      </w:pPr>
      <w:r>
        <w:rPr>
          <w:rFonts w:ascii="Calibri" w:cs="Calibri" w:eastAsia="Calibri" w:hAnsi="Calibri"/>
          <w:sz w:val="22"/>
          <w:szCs w:val="22"/>
        </w:rPr>
        <w:t xml:space="preserve">Rate limit configuration is per-plan (Starter/Growth/Business/Enterprise) and overridable per-tenant for support-driven temporary increases — every override creates an audit log entry.</w:t>
      </w:r>
    </w:p>
    <w:p>
      <w:pPr>
        <w:pStyle w:val="ListParagraph"/>
        <w:numPr>
          <w:ilvl w:val="0"/>
          <w:numId w:val="2"/>
        </w:numPr>
        <w:spacing w:after="60" w:line="290"/>
      </w:pPr>
      <w:r>
        <w:rPr>
          <w:rFonts w:ascii="Calibri" w:cs="Calibri" w:eastAsia="Calibri" w:hAnsi="Calibri"/>
          <w:sz w:val="22"/>
          <w:szCs w:val="22"/>
        </w:rPr>
        <w:t xml:space="preserve">429 responses include X-RateLimit-Limit, X-RateLimit-Remaining, X-RateLimit-Reset, and Retry-After headers so well-behaved clients back off correctly.</w:t>
      </w:r>
    </w:p>
    <w:p>
      <w:pPr>
        <w:pStyle w:val="Heading2"/>
        <w:spacing w:after="140" w:before="280"/>
      </w:pPr>
      <w:r>
        <w:rPr>
          <w:rFonts w:ascii="Calibri" w:cs="Calibri" w:eastAsia="Calibri" w:hAnsi="Calibri"/>
          <w:b/>
          <w:bCs/>
          <w:color w:val="2E5C8A"/>
          <w:sz w:val="28"/>
          <w:szCs w:val="28"/>
        </w:rPr>
        <w:t xml:space="preserve">9.4 Sensitive Data Encryption (Future-Proof Pattern)</w:t>
      </w:r>
    </w:p>
    <w:p>
      <w:pPr>
        <w:spacing w:after="120" w:line="300"/>
      </w:pPr>
      <w:r>
        <w:rPr>
          <w:rFonts w:ascii="Calibri" w:cs="Calibri" w:eastAsia="Calibri" w:hAnsi="Calibri"/>
          <w:sz w:val="22"/>
          <w:szCs w:val="22"/>
        </w:rPr>
        <w:t xml:space="preserve">For any field we later classify as sensitive (e.g. saved payment-method tokens, learner notes if we add a journalling feature), encrypted values are stored as JSON envelopes — not raw ciphertext — so the encryption scheme can evolve without re-encrypting existing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6FA" w:color="auto"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"v": 1,                    // envelope version</w:t>
            </w:r>
          </w:p>
          <w:p>
            <w:pPr>
              <w:spacing w:after="0" w:line="240"/>
            </w:pPr>
            <w:r>
              <w:rPr>
                <w:rFonts w:ascii="Consolas" w:cs="Consolas" w:eastAsia="Consolas" w:hAnsi="Consolas"/>
                <w:sz w:val="18"/>
                <w:szCs w:val="18"/>
              </w:rPr>
              <w:t xml:space="preserve">  "alg": "fernet",           // algorithm identifier</w:t>
            </w:r>
          </w:p>
          <w:p>
            <w:pPr>
              <w:spacing w:after="0" w:line="240"/>
            </w:pPr>
            <w:r>
              <w:rPr>
                <w:rFonts w:ascii="Consolas" w:cs="Consolas" w:eastAsia="Consolas" w:hAnsi="Consolas"/>
                <w:sz w:val="18"/>
                <w:szCs w:val="18"/>
              </w:rPr>
              <w:t xml:space="preserve">  "kid": "primary",          // key identifier</w:t>
            </w:r>
          </w:p>
          <w:p>
            <w:pPr>
              <w:spacing w:after="0" w:line="240"/>
            </w:pPr>
            <w:r>
              <w:rPr>
                <w:rFonts w:ascii="Consolas" w:cs="Consolas" w:eastAsia="Consolas" w:hAnsi="Consolas"/>
                <w:sz w:val="18"/>
                <w:szCs w:val="18"/>
              </w:rPr>
              <w:t xml:space="preserve">  "ct": "base64ciphertext"   // the ciphertext</w:t>
            </w:r>
          </w:p>
          <w:p>
            <w:pPr>
              <w:spacing w:after="0" w:line="240"/>
            </w:pPr>
            <w:r>
              <w:rPr>
                <w:rFonts w:ascii="Consolas" w:cs="Consolas" w:eastAsia="Consolas" w:hAnsi="Consolas"/>
                <w:sz w:val="18"/>
                <w:szCs w:val="18"/>
              </w:rPr>
              <w:t xml:space="preserve">}</w:t>
            </w:r>
          </w:p>
        </w:tc>
      </w:tr>
    </w:tbl>
    <w:p>
      <w:pPr>
        <w:spacing w:after="80"/>
      </w:pPr>
      <w:r>
        <w:t xml:space="preserve"/>
      </w:r>
    </w:p>
    <w:p>
      <w:pPr>
        <w:spacing w:after="120" w:line="300"/>
      </w:pPr>
      <w:r>
        <w:rPr>
          <w:rFonts w:ascii="Calibri" w:cs="Calibri" w:eastAsia="Calibri" w:hAnsi="Calibri"/>
          <w:sz w:val="22"/>
          <w:szCs w:val="22"/>
        </w:rPr>
        <w:t xml:space="preserve">This enables future migration to envelope encryption with a KMS (AWS KMS or HashiCorp Vault) without re-encrypting existing data — the v field selects the decryption strategy.</w:t>
      </w:r>
    </w:p>
    <w:p>
      <w:pPr>
        <w:pStyle w:val="Heading2"/>
        <w:spacing w:after="140" w:before="280"/>
      </w:pPr>
      <w:r>
        <w:rPr>
          <w:rFonts w:ascii="Calibri" w:cs="Calibri" w:eastAsia="Calibri" w:hAnsi="Calibri"/>
          <w:b/>
          <w:bCs/>
          <w:color w:val="2E5C8A"/>
          <w:sz w:val="28"/>
          <w:szCs w:val="28"/>
        </w:rPr>
        <w:t xml:space="preserve">9.5 Audit Trail (Transactional Outbox + WORM)</w:t>
      </w:r>
    </w:p>
    <w:p>
      <w:pPr>
        <w:spacing w:after="120" w:line="300"/>
      </w:pPr>
      <w:r>
        <w:rPr>
          <w:rFonts w:ascii="Calibri" w:cs="Calibri" w:eastAsia="Calibri" w:hAnsi="Calibri"/>
          <w:sz w:val="22"/>
          <w:szCs w:val="22"/>
        </w:rPr>
        <w:t xml:space="preserve">Every data mutation that affects billing, enrolment, completion, or admin actions writes an audit log entry in the same database transaction as the business operation. If the transaction fails, both the data change and the audit entry roll back together — eliminating any compliance gap where a record changes but the trail is lost.</w:t>
      </w:r>
    </w:p>
    <w:p>
      <w:pPr>
        <w:spacing w:after="120" w:line="300"/>
      </w:pPr>
      <w:r>
        <w:rPr>
          <w:rFonts w:ascii="Calibri" w:cs="Calibri" w:eastAsia="Calibri" w:hAnsi="Calibri"/>
          <w:sz w:val="22"/>
          <w:szCs w:val="22"/>
        </w:rPr>
        <w:t xml:space="preserve">Audit log entries capture:</w:t>
      </w:r>
    </w:p>
    <w:p>
      <w:pPr>
        <w:pStyle w:val="ListParagraph"/>
        <w:numPr>
          <w:ilvl w:val="0"/>
          <w:numId w:val="2"/>
        </w:numPr>
        <w:spacing w:after="60" w:line="290"/>
      </w:pPr>
      <w:r>
        <w:rPr>
          <w:rFonts w:ascii="Calibri" w:cs="Calibri" w:eastAsia="Calibri" w:hAnsi="Calibri"/>
          <w:sz w:val="22"/>
          <w:szCs w:val="22"/>
        </w:rPr>
        <w:t xml:space="preserve">Actor: user_id, agent_id (for MCP), tenant_id</w:t>
      </w:r>
    </w:p>
    <w:p>
      <w:pPr>
        <w:pStyle w:val="ListParagraph"/>
        <w:numPr>
          <w:ilvl w:val="0"/>
          <w:numId w:val="2"/>
        </w:numPr>
        <w:spacing w:after="60" w:line="290"/>
      </w:pPr>
      <w:r>
        <w:rPr>
          <w:rFonts w:ascii="Calibri" w:cs="Calibri" w:eastAsia="Calibri" w:hAnsi="Calibri"/>
          <w:sz w:val="22"/>
          <w:szCs w:val="22"/>
        </w:rPr>
        <w:t xml:space="preserve">Action: CREATE / READ / UPDATE / DELETE / LOGIN / PUBLISH / ...</w:t>
      </w:r>
    </w:p>
    <w:p>
      <w:pPr>
        <w:pStyle w:val="ListParagraph"/>
        <w:numPr>
          <w:ilvl w:val="0"/>
          <w:numId w:val="2"/>
        </w:numPr>
        <w:spacing w:after="60" w:line="290"/>
      </w:pPr>
      <w:r>
        <w:rPr>
          <w:rFonts w:ascii="Calibri" w:cs="Calibri" w:eastAsia="Calibri" w:hAnsi="Calibri"/>
          <w:sz w:val="22"/>
          <w:szCs w:val="22"/>
        </w:rPr>
        <w:t xml:space="preserve">Target: resource_type, resource_id</w:t>
      </w:r>
    </w:p>
    <w:p>
      <w:pPr>
        <w:pStyle w:val="ListParagraph"/>
        <w:numPr>
          <w:ilvl w:val="0"/>
          <w:numId w:val="2"/>
        </w:numPr>
        <w:spacing w:after="60" w:line="290"/>
      </w:pPr>
      <w:r>
        <w:rPr>
          <w:rFonts w:ascii="Calibri" w:cs="Calibri" w:eastAsia="Calibri" w:hAnsi="Calibri"/>
          <w:sz w:val="22"/>
          <w:szCs w:val="22"/>
        </w:rPr>
        <w:t xml:space="preserve">Context: request_id, ip_address, user_agent, timestamp</w:t>
      </w:r>
    </w:p>
    <w:p>
      <w:pPr>
        <w:pStyle w:val="ListParagraph"/>
        <w:numPr>
          <w:ilvl w:val="0"/>
          <w:numId w:val="2"/>
        </w:numPr>
        <w:spacing w:after="60" w:line="290"/>
      </w:pPr>
      <w:r>
        <w:rPr>
          <w:rFonts w:ascii="Calibri" w:cs="Calibri" w:eastAsia="Calibri" w:hAnsi="Calibri"/>
          <w:sz w:val="22"/>
          <w:szCs w:val="22"/>
        </w:rPr>
        <w:t xml:space="preserve">Diff: old_values / new_values JSON (for updates)</w:t>
      </w:r>
    </w:p>
    <w:p>
      <w:pPr>
        <w:spacing w:after="80"/>
      </w:pPr>
      <w:r>
        <w:t xml:space="preserve"/>
      </w:r>
    </w:p>
    <w:p>
      <w:pPr>
        <w:spacing w:after="120" w:line="300"/>
      </w:pPr>
      <w:r>
        <w:rPr>
          <w:rFonts w:ascii="Calibri" w:cs="Calibri" w:eastAsia="Calibri" w:hAnsi="Calibri"/>
          <w:sz w:val="22"/>
          <w:szCs w:val="22"/>
        </w:rPr>
        <w:t xml:space="preserve">Audit logs are append-only at the database level (no UPDATE, no DELETE permissions granted to the application role). The database role used by the application has INSERT and SELECT privileges on audit_log only — UPDATE and DELETE are revoked at the role level so a SQL injection or compromised credential cannot rewrite history.</w:t>
      </w:r>
    </w:p>
    <w:p>
      <w:pPr>
        <w:spacing w:after="120" w:line="300"/>
      </w:pPr>
      <w:r>
        <w:rPr>
          <w:rFonts w:ascii="Calibri" w:cs="Calibri" w:eastAsia="Calibri" w:hAnsi="Calibri"/>
          <w:sz w:val="22"/>
          <w:szCs w:val="22"/>
        </w:rPr>
        <w:t xml:space="preserve">In addition to the database append-only constraint, audit log entries that record security-sensitive events (auth changes, billing changes, profile changes, role/permission changes, compliance setting changes) are also streamed to write-once-read-many (WORM) object storage as a tamper-evident second copy:</w:t>
      </w:r>
    </w:p>
    <w:p>
      <w:pPr>
        <w:pStyle w:val="ListParagraph"/>
        <w:numPr>
          <w:ilvl w:val="0"/>
          <w:numId w:val="2"/>
        </w:numPr>
        <w:spacing w:after="60" w:line="290"/>
      </w:pPr>
      <w:r>
        <w:rPr>
          <w:rFonts w:ascii="Calibri" w:cs="Calibri" w:eastAsia="Calibri" w:hAnsi="Calibri"/>
          <w:b/>
          <w:bCs/>
          <w:sz w:val="22"/>
          <w:szCs w:val="22"/>
        </w:rPr>
        <w:t xml:space="preserve">Storage</w:t>
      </w:r>
      <w:r>
        <w:rPr>
          <w:rFonts w:ascii="Calibri" w:cs="Calibri" w:eastAsia="Calibri" w:hAnsi="Calibri"/>
          <w:sz w:val="22"/>
          <w:szCs w:val="22"/>
        </w:rPr>
        <w:t xml:space="preserve">: Cloudflare R2 (or S3) with Object Lock in compliance mode, retention 7 years. Object Lock prevents deletion or overwrite by anyone — including the root account — for the retention period.</w:t>
      </w:r>
    </w:p>
    <w:p>
      <w:pPr>
        <w:pStyle w:val="ListParagraph"/>
        <w:numPr>
          <w:ilvl w:val="0"/>
          <w:numId w:val="2"/>
        </w:numPr>
        <w:spacing w:after="60" w:line="290"/>
      </w:pPr>
      <w:r>
        <w:rPr>
          <w:rFonts w:ascii="Calibri" w:cs="Calibri" w:eastAsia="Calibri" w:hAnsi="Calibri"/>
          <w:b/>
          <w:bCs/>
          <w:sz w:val="22"/>
          <w:szCs w:val="22"/>
        </w:rPr>
        <w:t xml:space="preserve">Streaming</w:t>
      </w:r>
      <w:r>
        <w:rPr>
          <w:rFonts w:ascii="Calibri" w:cs="Calibri" w:eastAsia="Calibri" w:hAnsi="Calibri"/>
          <w:sz w:val="22"/>
          <w:szCs w:val="22"/>
        </w:rPr>
        <w:t xml:space="preserve">: a Dramatiq actor batches and flushes audit events to WORM storage every 5 minutes (or on shutdown). Batches are signed (HMAC) so tampering can be detected.</w:t>
      </w:r>
    </w:p>
    <w:p>
      <w:pPr>
        <w:pStyle w:val="ListParagraph"/>
        <w:numPr>
          <w:ilvl w:val="0"/>
          <w:numId w:val="2"/>
        </w:numPr>
        <w:spacing w:after="60" w:line="290"/>
      </w:pPr>
      <w:r>
        <w:rPr>
          <w:rFonts w:ascii="Calibri" w:cs="Calibri" w:eastAsia="Calibri" w:hAnsi="Calibri"/>
          <w:b/>
          <w:bCs/>
          <w:sz w:val="22"/>
          <w:szCs w:val="22"/>
        </w:rPr>
        <w:t xml:space="preserve">Partitioning</w:t>
      </w:r>
      <w:r>
        <w:rPr>
          <w:rFonts w:ascii="Calibri" w:cs="Calibri" w:eastAsia="Calibri" w:hAnsi="Calibri"/>
          <w:sz w:val="22"/>
          <w:szCs w:val="22"/>
        </w:rPr>
        <w:t xml:space="preserve">: one object key per tenant per day (audit/{tenant_id}/{YYYY-MM-DD}/{batch}.jsonl.gz), so tenant exports do not require scanning unrelated data.</w:t>
      </w:r>
    </w:p>
    <w:p>
      <w:pPr>
        <w:pStyle w:val="ListParagraph"/>
        <w:numPr>
          <w:ilvl w:val="0"/>
          <w:numId w:val="2"/>
        </w:numPr>
        <w:spacing w:after="60" w:line="290"/>
      </w:pPr>
      <w:r>
        <w:rPr>
          <w:rFonts w:ascii="Calibri" w:cs="Calibri" w:eastAsia="Calibri" w:hAnsi="Calibri"/>
          <w:b/>
          <w:bCs/>
          <w:sz w:val="22"/>
          <w:szCs w:val="22"/>
        </w:rPr>
        <w:t xml:space="preserve">Verification</w:t>
      </w:r>
      <w:r>
        <w:rPr>
          <w:rFonts w:ascii="Calibri" w:cs="Calibri" w:eastAsia="Calibri" w:hAnsi="Calibri"/>
          <w:sz w:val="22"/>
          <w:szCs w:val="22"/>
        </w:rPr>
        <w:t xml:space="preserve">: a nightly job recomputes the HMAC chain over the previous day's batches and alerts if the chain breaks. Quarterly drill: restore a random tenant's audit trail from WORM storage and reconcile against the live database.</w:t>
      </w:r>
    </w:p>
    <w:p>
      <w:pPr>
        <w:spacing w:after="80"/>
      </w:pPr>
      <w:r>
        <w:t xml:space="preserve"/>
      </w:r>
    </w:p>
    <w:p>
      <w:pPr>
        <w:spacing w:after="120" w:line="300"/>
      </w:pPr>
      <w:r>
        <w:rPr>
          <w:rFonts w:ascii="Calibri" w:cs="Calibri" w:eastAsia="Calibri" w:hAnsi="Calibri"/>
          <w:sz w:val="22"/>
          <w:szCs w:val="22"/>
        </w:rPr>
        <w:t xml:space="preserve">Retention: live audit_log table retains 2 years for query performance. WORM storage retains 7 years for compliance evidence. GDPR Article 17 right-to-erasure is handled via soft-delete of the underlying record + anonymisation of the audit trail (replace user identifiers with a deterministic tombstone) — the audit trail itself is never deleted, because audit logs are processing-records under GDPR Article 30 with a separate legal basis (legitimate interest in security and compliance).</w:t>
      </w:r>
    </w:p>
    <w:p>
      <w:pPr>
        <w:pStyle w:val="Heading2"/>
        <w:spacing w:after="140" w:before="280"/>
      </w:pPr>
      <w:r>
        <w:rPr>
          <w:rFonts w:ascii="Calibri" w:cs="Calibri" w:eastAsia="Calibri" w:hAnsi="Calibri"/>
          <w:b/>
          <w:bCs/>
          <w:color w:val="2E5C8A"/>
          <w:sz w:val="28"/>
          <w:szCs w:val="28"/>
        </w:rPr>
        <w:t xml:space="preserve">9.6 Compliance Posture</w:t>
      </w:r>
    </w:p>
    <w:p>
      <w:pPr>
        <w:pStyle w:val="ListParagraph"/>
        <w:numPr>
          <w:ilvl w:val="0"/>
          <w:numId w:val="2"/>
        </w:numPr>
        <w:spacing w:after="60" w:line="290"/>
      </w:pPr>
      <w:r>
        <w:rPr>
          <w:rFonts w:ascii="Calibri" w:cs="Calibri" w:eastAsia="Calibri" w:hAnsi="Calibri"/>
          <w:b/>
          <w:bCs/>
          <w:sz w:val="22"/>
          <w:szCs w:val="22"/>
        </w:rPr>
        <w:t xml:space="preserve">GDPR (from day 1)</w:t>
      </w:r>
      <w:r>
        <w:rPr>
          <w:rFonts w:ascii="Calibri" w:cs="Calibri" w:eastAsia="Calibri" w:hAnsi="Calibri"/>
          <w:sz w:val="22"/>
          <w:szCs w:val="22"/>
        </w:rPr>
        <w:t xml:space="preserve">: data export endpoint per tenant, account deletion within 30 days, DPA available on request, sub-processor list published, EU data residency option in Phase 2.</w:t>
      </w:r>
    </w:p>
    <w:p>
      <w:pPr>
        <w:pStyle w:val="ListParagraph"/>
        <w:numPr>
          <w:ilvl w:val="0"/>
          <w:numId w:val="2"/>
        </w:numPr>
        <w:spacing w:after="60" w:line="290"/>
      </w:pPr>
      <w:r>
        <w:rPr>
          <w:rFonts w:ascii="Calibri" w:cs="Calibri" w:eastAsia="Calibri" w:hAnsi="Calibri"/>
          <w:b/>
          <w:bCs/>
          <w:sz w:val="22"/>
          <w:szCs w:val="22"/>
        </w:rPr>
        <w:t xml:space="preserve">SOC 2 Type 1 (Phase 3)</w:t>
      </w:r>
      <w:r>
        <w:rPr>
          <w:rFonts w:ascii="Calibri" w:cs="Calibri" w:eastAsia="Calibri" w:hAnsi="Calibri"/>
          <w:sz w:val="22"/>
          <w:szCs w:val="22"/>
        </w:rPr>
        <w:t xml:space="preserve">: begin policy work in month 6; engage auditor in month 9.</w:t>
      </w:r>
    </w:p>
    <w:p>
      <w:pPr>
        <w:pStyle w:val="ListParagraph"/>
        <w:numPr>
          <w:ilvl w:val="0"/>
          <w:numId w:val="2"/>
        </w:numPr>
        <w:spacing w:after="60" w:line="290"/>
      </w:pPr>
      <w:r>
        <w:rPr>
          <w:rFonts w:ascii="Calibri" w:cs="Calibri" w:eastAsia="Calibri" w:hAnsi="Calibri"/>
          <w:b/>
          <w:bCs/>
          <w:sz w:val="22"/>
          <w:szCs w:val="22"/>
        </w:rPr>
        <w:t xml:space="preserve">Accessibility (WCAG 2.1 AA)</w:t>
      </w:r>
      <w:r>
        <w:rPr>
          <w:rFonts w:ascii="Calibri" w:cs="Calibri" w:eastAsia="Calibri" w:hAnsi="Calibri"/>
          <w:sz w:val="22"/>
          <w:szCs w:val="22"/>
        </w:rPr>
        <w:t xml:space="preserve">: baseline from MVP; an accessibility audit at end of Phase 2.</w:t>
      </w:r>
    </w:p>
    <w:p>
      <w:pPr>
        <w:pStyle w:val="ListParagraph"/>
        <w:numPr>
          <w:ilvl w:val="0"/>
          <w:numId w:val="2"/>
        </w:numPr>
        <w:spacing w:after="60" w:line="290"/>
      </w:pPr>
      <w:r>
        <w:rPr>
          <w:rFonts w:ascii="Calibri" w:cs="Calibri" w:eastAsia="Calibri" w:hAnsi="Calibri"/>
          <w:b/>
          <w:bCs/>
          <w:sz w:val="22"/>
          <w:szCs w:val="22"/>
        </w:rPr>
        <w:t xml:space="preserve">SCORM/xAPI (Phase 2)</w:t>
      </w:r>
      <w:r>
        <w:rPr>
          <w:rFonts w:ascii="Calibri" w:cs="Calibri" w:eastAsia="Calibri" w:hAnsi="Calibri"/>
          <w:sz w:val="22"/>
          <w:szCs w:val="22"/>
        </w:rPr>
        <w:t xml:space="preserve">: import compliance only; not seeking ADL certification.</w:t>
      </w:r>
    </w:p>
    <w:p>
      <w:pPr>
        <w:pStyle w:val="Heading2"/>
        <w:spacing w:after="140" w:before="280"/>
      </w:pPr>
      <w:r>
        <w:rPr>
          <w:rFonts w:ascii="Calibri" w:cs="Calibri" w:eastAsia="Calibri" w:hAnsi="Calibri"/>
          <w:b/>
          <w:bCs/>
          <w:color w:val="2E5C8A"/>
          <w:sz w:val="28"/>
          <w:szCs w:val="28"/>
        </w:rPr>
        <w:t xml:space="preserve">9.7 Data Residency</w:t>
      </w:r>
    </w:p>
    <w:p>
      <w:pPr>
        <w:spacing w:after="120" w:line="300"/>
      </w:pPr>
      <w:r>
        <w:rPr>
          <w:rFonts w:ascii="Calibri" w:cs="Calibri" w:eastAsia="Calibri" w:hAnsi="Calibri"/>
          <w:sz w:val="22"/>
          <w:szCs w:val="22"/>
        </w:rPr>
        <w:t xml:space="preserve">Customers in the EU, UK, and increasingly Canada and Australia are required by procurement to know exactly where their data is stored and processed. The Charter treats residency as a first-class architectural concern with a phased rollout:</w:t>
      </w:r>
    </w:p>
    <w:p>
      <w:pPr>
        <w:pStyle w:val="Heading3"/>
        <w:spacing w:after="100" w:before="220"/>
      </w:pPr>
      <w:r>
        <w:rPr>
          <w:rFonts w:ascii="Calibri" w:cs="Calibri" w:eastAsia="Calibri" w:hAnsi="Calibri"/>
          <w:b/>
          <w:bCs/>
          <w:color w:val="333333"/>
          <w:sz w:val="24"/>
          <w:szCs w:val="24"/>
        </w:rPr>
        <w:t xml:space="preserve">MVP — single-region (US East)</w:t>
      </w:r>
    </w:p>
    <w:p>
      <w:pPr>
        <w:pStyle w:val="ListParagraph"/>
        <w:numPr>
          <w:ilvl w:val="0"/>
          <w:numId w:val="2"/>
        </w:numPr>
        <w:spacing w:after="60" w:line="290"/>
      </w:pPr>
      <w:r>
        <w:rPr>
          <w:rFonts w:ascii="Calibri" w:cs="Calibri" w:eastAsia="Calibri" w:hAnsi="Calibri"/>
          <w:sz w:val="22"/>
          <w:szCs w:val="22"/>
        </w:rPr>
        <w:t xml:space="preserve">All production data — Postgres (Neon), Redis (Upstash), object storage (R2), email logs (Resend) — lives in a single US East region by default.</w:t>
      </w:r>
    </w:p>
    <w:p>
      <w:pPr>
        <w:pStyle w:val="ListParagraph"/>
        <w:numPr>
          <w:ilvl w:val="0"/>
          <w:numId w:val="2"/>
        </w:numPr>
        <w:spacing w:after="60" w:line="290"/>
      </w:pPr>
      <w:r>
        <w:rPr>
          <w:rFonts w:ascii="Calibri" w:cs="Calibri" w:eastAsia="Calibri" w:hAnsi="Calibri"/>
          <w:sz w:val="22"/>
          <w:szCs w:val="22"/>
        </w:rPr>
        <w:t xml:space="preserve">The sign-up flow and DPA disclose this clearly. EU customers who accept US hosting can sign up immediately under Standard Contractual Clauses (SCCs).</w:t>
      </w:r>
    </w:p>
    <w:p>
      <w:pPr>
        <w:pStyle w:val="ListParagraph"/>
        <w:numPr>
          <w:ilvl w:val="0"/>
          <w:numId w:val="2"/>
        </w:numPr>
        <w:spacing w:after="60" w:line="290"/>
      </w:pPr>
      <w:r>
        <w:rPr>
          <w:rFonts w:ascii="Calibri" w:cs="Calibri" w:eastAsia="Calibri" w:hAnsi="Calibri"/>
          <w:sz w:val="22"/>
          <w:szCs w:val="22"/>
        </w:rPr>
        <w:t xml:space="preserve">Sub-processor list published at omnixtra.app/legal/subprocessors and versioned in the repo. Customers can subscribe to change notifications.</w:t>
      </w:r>
    </w:p>
    <w:p>
      <w:pPr>
        <w:pStyle w:val="Heading3"/>
        <w:spacing w:after="100" w:before="220"/>
      </w:pPr>
      <w:r>
        <w:rPr>
          <w:rFonts w:ascii="Calibri" w:cs="Calibri" w:eastAsia="Calibri" w:hAnsi="Calibri"/>
          <w:b/>
          <w:bCs/>
          <w:color w:val="333333"/>
          <w:sz w:val="24"/>
          <w:szCs w:val="24"/>
        </w:rPr>
        <w:t xml:space="preserve">Phase 2 — EU region as an option</w:t>
      </w:r>
    </w:p>
    <w:p>
      <w:pPr>
        <w:pStyle w:val="ListParagraph"/>
        <w:numPr>
          <w:ilvl w:val="0"/>
          <w:numId w:val="2"/>
        </w:numPr>
        <w:spacing w:after="60" w:line="290"/>
      </w:pPr>
      <w:r>
        <w:rPr>
          <w:rFonts w:ascii="Calibri" w:cs="Calibri" w:eastAsia="Calibri" w:hAnsi="Calibri"/>
          <w:b/>
          <w:bCs/>
          <w:sz w:val="22"/>
          <w:szCs w:val="22"/>
        </w:rPr>
        <w:t xml:space="preserve">Architecture</w:t>
      </w:r>
      <w:r>
        <w:rPr>
          <w:rFonts w:ascii="Calibri" w:cs="Calibri" w:eastAsia="Calibri" w:hAnsi="Calibri"/>
          <w:sz w:val="22"/>
          <w:szCs w:val="22"/>
        </w:rPr>
        <w:t xml:space="preserve">: a second, fully-isolated deployment in eu-west (Frankfurt or Dublin). Separate Postgres cluster, separate Redis, separate object storage bucket, separate Stripe account where required. No shared data plane between regions.</w:t>
      </w:r>
    </w:p>
    <w:p>
      <w:pPr>
        <w:pStyle w:val="ListParagraph"/>
        <w:numPr>
          <w:ilvl w:val="0"/>
          <w:numId w:val="2"/>
        </w:numPr>
        <w:spacing w:after="60" w:line="290"/>
      </w:pPr>
      <w:r>
        <w:rPr>
          <w:rFonts w:ascii="Calibri" w:cs="Calibri" w:eastAsia="Calibri" w:hAnsi="Calibri"/>
          <w:b/>
          <w:bCs/>
          <w:sz w:val="22"/>
          <w:szCs w:val="22"/>
        </w:rPr>
        <w:t xml:space="preserve">Tenant assignment</w:t>
      </w:r>
      <w:r>
        <w:rPr>
          <w:rFonts w:ascii="Calibri" w:cs="Calibri" w:eastAsia="Calibri" w:hAnsi="Calibri"/>
          <w:sz w:val="22"/>
          <w:szCs w:val="22"/>
        </w:rPr>
        <w:t xml:space="preserve">: chosen at tenant creation, immutable thereafter. The tenant record stores a region field; the subdomain router resolves to the correct regional API endpoint (alpha.eu.omnixtra.app vs alpha.omnixtra.app).</w:t>
      </w:r>
    </w:p>
    <w:p>
      <w:pPr>
        <w:pStyle w:val="ListParagraph"/>
        <w:numPr>
          <w:ilvl w:val="0"/>
          <w:numId w:val="2"/>
        </w:numPr>
        <w:spacing w:after="60" w:line="290"/>
      </w:pPr>
      <w:r>
        <w:rPr>
          <w:rFonts w:ascii="Calibri" w:cs="Calibri" w:eastAsia="Calibri" w:hAnsi="Calibri"/>
          <w:b/>
          <w:bCs/>
          <w:sz w:val="22"/>
          <w:szCs w:val="22"/>
        </w:rPr>
        <w:t xml:space="preserve">Cross-region operations</w:t>
      </w:r>
      <w:r>
        <w:rPr>
          <w:rFonts w:ascii="Calibri" w:cs="Calibri" w:eastAsia="Calibri" w:hAnsi="Calibri"/>
          <w:sz w:val="22"/>
          <w:szCs w:val="22"/>
        </w:rPr>
        <w:t xml:space="preserve">: disallowed by default. The only data that may cross regions is anonymised, aggregated usage metrics, and only via a one-way pipeline with explicit allow-listed fields. No customer content, no PII, no audit logs cross the boundary.</w:t>
      </w:r>
    </w:p>
    <w:p>
      <w:pPr>
        <w:pStyle w:val="ListParagraph"/>
        <w:numPr>
          <w:ilvl w:val="0"/>
          <w:numId w:val="2"/>
        </w:numPr>
        <w:spacing w:after="60" w:line="290"/>
      </w:pPr>
      <w:r>
        <w:rPr>
          <w:rFonts w:ascii="Calibri" w:cs="Calibri" w:eastAsia="Calibri" w:hAnsi="Calibri"/>
          <w:b/>
          <w:bCs/>
          <w:sz w:val="22"/>
          <w:szCs w:val="22"/>
        </w:rPr>
        <w:t xml:space="preserve">AI provider routing</w:t>
      </w:r>
      <w:r>
        <w:rPr>
          <w:rFonts w:ascii="Calibri" w:cs="Calibri" w:eastAsia="Calibri" w:hAnsi="Calibri"/>
          <w:sz w:val="22"/>
          <w:szCs w:val="22"/>
        </w:rPr>
        <w:t xml:space="preserve">: EU tenants use EU-resident LLM endpoints where available (Azure OpenAI in EU regions, Anthropic EU endpoint when available). Tenants can opt out of AI features entirely if no compliant provider exists for their requirements.</w:t>
      </w:r>
    </w:p>
    <w:p>
      <w:pPr>
        <w:pStyle w:val="ListParagraph"/>
        <w:numPr>
          <w:ilvl w:val="0"/>
          <w:numId w:val="2"/>
        </w:numPr>
        <w:spacing w:after="60" w:line="290"/>
      </w:pPr>
      <w:r>
        <w:rPr>
          <w:rFonts w:ascii="Calibri" w:cs="Calibri" w:eastAsia="Calibri" w:hAnsi="Calibri"/>
          <w:b/>
          <w:bCs/>
          <w:sz w:val="22"/>
          <w:szCs w:val="22"/>
        </w:rPr>
        <w:t xml:space="preserve">Identity &amp; control plane</w:t>
      </w:r>
      <w:r>
        <w:rPr>
          <w:rFonts w:ascii="Calibri" w:cs="Calibri" w:eastAsia="Calibri" w:hAnsi="Calibri"/>
          <w:sz w:val="22"/>
          <w:szCs w:val="22"/>
        </w:rPr>
        <w:t xml:space="preserve">: a thin global control plane handles billing, sub-processor consent, and account-level operations. Tenant content data never touches it. Locating this in the US is acceptable under GDPR for billing data under SCCs.</w:t>
      </w:r>
    </w:p>
    <w:p>
      <w:pPr>
        <w:pStyle w:val="Heading3"/>
        <w:spacing w:after="100" w:before="220"/>
      </w:pPr>
      <w:r>
        <w:rPr>
          <w:rFonts w:ascii="Calibri" w:cs="Calibri" w:eastAsia="Calibri" w:hAnsi="Calibri"/>
          <w:b/>
          <w:bCs/>
          <w:color w:val="333333"/>
          <w:sz w:val="24"/>
          <w:szCs w:val="24"/>
        </w:rPr>
        <w:t xml:space="preserve">Phase 3 — additional regions on demand</w:t>
      </w:r>
    </w:p>
    <w:p>
      <w:pPr>
        <w:pStyle w:val="ListParagraph"/>
        <w:numPr>
          <w:ilvl w:val="0"/>
          <w:numId w:val="2"/>
        </w:numPr>
        <w:spacing w:after="60" w:line="290"/>
      </w:pPr>
      <w:r>
        <w:rPr>
          <w:rFonts w:ascii="Calibri" w:cs="Calibri" w:eastAsia="Calibri" w:hAnsi="Calibri"/>
          <w:sz w:val="22"/>
          <w:szCs w:val="22"/>
        </w:rPr>
        <w:t xml:space="preserve">Additional regions (UK, APAC, Canada) added only when a specific customer commitment justifies the operational cost. The architectural pattern from Phase 2 generalises — each region is a standalone deployment.</w:t>
      </w:r>
    </w:p>
    <w:p>
      <w:pPr>
        <w:pStyle w:val="ListParagraph"/>
        <w:numPr>
          <w:ilvl w:val="0"/>
          <w:numId w:val="2"/>
        </w:numPr>
        <w:spacing w:after="60" w:line="290"/>
      </w:pPr>
      <w:r>
        <w:rPr>
          <w:rFonts w:ascii="Calibri" w:cs="Calibri" w:eastAsia="Calibri" w:hAnsi="Calibri"/>
          <w:sz w:val="22"/>
          <w:szCs w:val="22"/>
        </w:rPr>
        <w:t xml:space="preserve">No multi-region active-active for a single tenant. A tenant lives in exactly one region for its lifetime, with documented migration tooling if the tenant later requests a move.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C8A" w:sz="12"/>
              <w:left w:val="single" w:color="2E5C8A" w:sz="24"/>
              <w:bottom w:val="single" w:color="2E5C8A" w:sz="12"/>
              <w:right w:val="single" w:color="2E5C8A" w:sz="12"/>
            </w:tcBorders>
            <w:shd w:fill="E8F1FF" w:color="auto" w:val="clear"/>
            <w:tcMar>
              <w:top w:type="dxa" w:w="160"/>
              <w:left w:type="dxa" w:w="200"/>
              <w:bottom w:type="dxa" w:w="160"/>
              <w:right w:type="dxa" w:w="200"/>
            </w:tcMar>
          </w:tcPr>
          <w:p>
            <w:pPr>
              <w:spacing w:after="80"/>
            </w:pPr>
            <w:r>
              <w:rPr>
                <w:rFonts w:ascii="Calibri" w:cs="Calibri" w:eastAsia="Calibri" w:hAnsi="Calibri"/>
                <w:b/>
                <w:bCs/>
                <w:color w:val="5C4419"/>
                <w:sz w:val="22"/>
                <w:szCs w:val="22"/>
              </w:rPr>
              <w:t xml:space="preserve">Why not multi-region from MVP</w:t>
            </w:r>
          </w:p>
          <w:p>
            <w:r>
              <w:rPr>
                <w:rFonts w:ascii="Calibri" w:cs="Calibri" w:eastAsia="Calibri" w:hAnsi="Calibri"/>
                <w:color w:val="333333"/>
                <w:sz w:val="22"/>
                <w:szCs w:val="22"/>
              </w:rPr>
              <w:t xml:space="preserve">Multi-region adds ~3x infrastructure cost and ~2x operational burden (twice the migrations to run, twice the monitoring, twice the incident response surface). At MVP scale this would consume the entire engineering budget for no business return — EU SMBs willing to accept US hosting under SCCs are a viable beachhead. The Charter commits to the architectural shape that makes Phase 2 EU rollout straightforward, without paying the cost now.</w:t>
            </w:r>
          </w:p>
        </w:tc>
      </w:tr>
    </w:tbl>
    <w:p>
      <w:r>
        <w:br w:type="page"/>
      </w:r>
    </w:p>
    <w:p>
      <w:pPr>
        <w:pStyle w:val="Heading1"/>
        <w:spacing w:after="180" w:before="360"/>
      </w:pPr>
      <w:r>
        <w:rPr>
          <w:rFonts w:ascii="Calibri" w:cs="Calibri" w:eastAsia="Calibri" w:hAnsi="Calibri"/>
          <w:b/>
          <w:bCs/>
          <w:color w:val="1F3A5F"/>
          <w:sz w:val="36"/>
          <w:szCs w:val="36"/>
        </w:rPr>
        <w:t xml:space="preserve">10. Engineering Practices</w:t>
      </w:r>
    </w:p>
    <w:p>
      <w:pPr>
        <w:pStyle w:val="Heading2"/>
        <w:spacing w:after="140" w:before="280"/>
      </w:pPr>
      <w:r>
        <w:rPr>
          <w:rFonts w:ascii="Calibri" w:cs="Calibri" w:eastAsia="Calibri" w:hAnsi="Calibri"/>
          <w:b/>
          <w:bCs/>
          <w:color w:val="2E5C8A"/>
          <w:sz w:val="28"/>
          <w:szCs w:val="28"/>
        </w:rPr>
        <w:t xml:space="preserve">10.1 Repository Layout</w:t>
      </w:r>
    </w:p>
    <w:p>
      <w:pPr>
        <w:spacing w:after="120" w:line="300"/>
      </w:pPr>
      <w:r>
        <w:rPr>
          <w:rFonts w:ascii="Calibri" w:cs="Calibri" w:eastAsia="Calibri" w:hAnsi="Calibri"/>
          <w:sz w:val="22"/>
          <w:szCs w:val="22"/>
        </w:rPr>
        <w:t xml:space="preserve">Single monorepo. Two top-level apps, a shared package, infrastructure-as-code.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6FA" w:color="auto"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omnixtra/</w:t>
            </w:r>
          </w:p>
          <w:p>
            <w:pPr>
              <w:spacing w:after="0" w:line="240"/>
            </w:pPr>
            <w:r>
              <w:rPr>
                <w:rFonts w:ascii="Consolas" w:cs="Consolas" w:eastAsia="Consolas" w:hAnsi="Consolas"/>
                <w:sz w:val="18"/>
                <w:szCs w:val="18"/>
              </w:rPr>
              <w:t xml:space="preserve">├── apps/</w:t>
            </w:r>
          </w:p>
          <w:p>
            <w:pPr>
              <w:spacing w:after="0" w:line="240"/>
            </w:pPr>
            <w:r>
              <w:rPr>
                <w:rFonts w:ascii="Consolas" w:cs="Consolas" w:eastAsia="Consolas" w:hAnsi="Consolas"/>
                <w:sz w:val="18"/>
                <w:szCs w:val="18"/>
              </w:rPr>
              <w:t xml:space="preserve">│   ├── api/                FastAPI backend (modular monolith)</w:t>
            </w:r>
          </w:p>
          <w:p>
            <w:pPr>
              <w:spacing w:after="0" w:line="240"/>
            </w:pPr>
            <w:r>
              <w:rPr>
                <w:rFonts w:ascii="Consolas" w:cs="Consolas" w:eastAsia="Consolas" w:hAnsi="Consolas"/>
                <w:sz w:val="18"/>
                <w:szCs w:val="18"/>
              </w:rPr>
              <w:t xml:space="preserve">│   │   ├── app/</w:t>
            </w:r>
          </w:p>
          <w:p>
            <w:pPr>
              <w:spacing w:after="0" w:line="240"/>
            </w:pPr>
            <w:r>
              <w:rPr>
                <w:rFonts w:ascii="Consolas" w:cs="Consolas" w:eastAsia="Consolas" w:hAnsi="Consolas"/>
                <w:sz w:val="18"/>
                <w:szCs w:val="18"/>
              </w:rPr>
              <w:t xml:space="preserve">│   │   │   ├── core/         config, db, redis, logging, security, exceptions</w:t>
            </w:r>
          </w:p>
          <w:p>
            <w:pPr>
              <w:spacing w:after="0" w:line="240"/>
            </w:pPr>
            <w:r>
              <w:rPr>
                <w:rFonts w:ascii="Consolas" w:cs="Consolas" w:eastAsia="Consolas" w:hAnsi="Consolas"/>
                <w:sz w:val="18"/>
                <w:szCs w:val="18"/>
              </w:rPr>
              <w:t xml:space="preserve">│   │   │   ├── shared/       response envelope, audit interface, utilities</w:t>
            </w:r>
          </w:p>
          <w:p>
            <w:pPr>
              <w:spacing w:after="0" w:line="240"/>
            </w:pPr>
            <w:r>
              <w:rPr>
                <w:rFonts w:ascii="Consolas" w:cs="Consolas" w:eastAsia="Consolas" w:hAnsi="Consolas"/>
                <w:sz w:val="18"/>
                <w:szCs w:val="18"/>
              </w:rPr>
              <w:t xml:space="preserve">│   │   │   ├── tenancy/      tenant context, middleware, RLS helpers</w:t>
            </w:r>
          </w:p>
          <w:p>
            <w:pPr>
              <w:spacing w:after="0" w:line="240"/>
            </w:pPr>
            <w:r>
              <w:rPr>
                <w:rFonts w:ascii="Consolas" w:cs="Consolas" w:eastAsia="Consolas" w:hAnsi="Consolas"/>
                <w:sz w:val="18"/>
                <w:szCs w:val="18"/>
              </w:rPr>
              <w:t xml:space="preserve">│   │   │   ├── auth/         users, sessions, RBAC</w:t>
            </w:r>
          </w:p>
          <w:p>
            <w:pPr>
              <w:spacing w:after="0" w:line="240"/>
            </w:pPr>
            <w:r>
              <w:rPr>
                <w:rFonts w:ascii="Consolas" w:cs="Consolas" w:eastAsia="Consolas" w:hAnsi="Consolas"/>
                <w:sz w:val="18"/>
                <w:szCs w:val="18"/>
              </w:rPr>
              <w:t xml:space="preserve">│   │   │   ├── courses/      course CRUD, publishing</w:t>
            </w:r>
          </w:p>
          <w:p>
            <w:pPr>
              <w:spacing w:after="0" w:line="240"/>
            </w:pPr>
            <w:r>
              <w:rPr>
                <w:rFonts w:ascii="Consolas" w:cs="Consolas" w:eastAsia="Consolas" w:hAnsi="Consolas"/>
                <w:sz w:val="18"/>
                <w:szCs w:val="18"/>
              </w:rPr>
              <w:t xml:space="preserve">│   │   │   ├── learning/     enrolments, progress, certificates</w:t>
            </w:r>
          </w:p>
          <w:p>
            <w:pPr>
              <w:spacing w:after="0" w:line="240"/>
            </w:pPr>
            <w:r>
              <w:rPr>
                <w:rFonts w:ascii="Consolas" w:cs="Consolas" w:eastAsia="Consolas" w:hAnsi="Consolas"/>
                <w:sz w:val="18"/>
                <w:szCs w:val="18"/>
              </w:rPr>
              <w:t xml:space="preserve">│   │   │   ├── ai/           tutor, RAG, embeddings, graphs</w:t>
            </w:r>
          </w:p>
          <w:p>
            <w:pPr>
              <w:spacing w:after="0" w:line="240"/>
            </w:pPr>
            <w:r>
              <w:rPr>
                <w:rFonts w:ascii="Consolas" w:cs="Consolas" w:eastAsia="Consolas" w:hAnsi="Consolas"/>
                <w:sz w:val="18"/>
                <w:szCs w:val="18"/>
              </w:rPr>
              <w:t xml:space="preserve">│   │   │   ├── billing/      Stripe integration</w:t>
            </w:r>
          </w:p>
          <w:p>
            <w:pPr>
              <w:spacing w:after="0" w:line="240"/>
            </w:pPr>
            <w:r>
              <w:rPr>
                <w:rFonts w:ascii="Consolas" w:cs="Consolas" w:eastAsia="Consolas" w:hAnsi="Consolas"/>
                <w:sz w:val="18"/>
                <w:szCs w:val="18"/>
              </w:rPr>
              <w:t xml:space="preserve">│   │   │   ├── admin/        admin endpoints</w:t>
            </w:r>
          </w:p>
          <w:p>
            <w:pPr>
              <w:spacing w:after="0" w:line="240"/>
            </w:pPr>
            <w:r>
              <w:rPr>
                <w:rFonts w:ascii="Consolas" w:cs="Consolas" w:eastAsia="Consolas" w:hAnsi="Consolas"/>
                <w:sz w:val="18"/>
                <w:szCs w:val="18"/>
              </w:rPr>
              <w:t xml:space="preserve">│   │   │   ├── mcp/          MCP server (Phase 3)</w:t>
            </w:r>
          </w:p>
          <w:p>
            <w:pPr>
              <w:spacing w:after="0" w:line="240"/>
            </w:pPr>
            <w:r>
              <w:rPr>
                <w:rFonts w:ascii="Consolas" w:cs="Consolas" w:eastAsia="Consolas" w:hAnsi="Consolas"/>
                <w:sz w:val="18"/>
                <w:szCs w:val="18"/>
              </w:rPr>
              <w:t xml:space="preserve">│   │   │   └── workers/      Dramatiq actors</w:t>
            </w:r>
          </w:p>
          <w:p>
            <w:pPr>
              <w:spacing w:after="0" w:line="240"/>
            </w:pPr>
            <w:r>
              <w:rPr>
                <w:rFonts w:ascii="Consolas" w:cs="Consolas" w:eastAsia="Consolas" w:hAnsi="Consolas"/>
                <w:sz w:val="18"/>
                <w:szCs w:val="18"/>
              </w:rPr>
              <w:t xml:space="preserve">│   │   ├── migrations/       Alembic</w:t>
            </w:r>
          </w:p>
          <w:p>
            <w:pPr>
              <w:spacing w:after="0" w:line="240"/>
            </w:pPr>
            <w:r>
              <w:rPr>
                <w:rFonts w:ascii="Consolas" w:cs="Consolas" w:eastAsia="Consolas" w:hAnsi="Consolas"/>
                <w:sz w:val="18"/>
                <w:szCs w:val="18"/>
              </w:rPr>
              <w:t xml:space="preserve">│   │   └── tests/</w:t>
            </w:r>
          </w:p>
          <w:p>
            <w:pPr>
              <w:spacing w:after="0" w:line="240"/>
            </w:pPr>
            <w:r>
              <w:rPr>
                <w:rFonts w:ascii="Consolas" w:cs="Consolas" w:eastAsia="Consolas" w:hAnsi="Consolas"/>
                <w:sz w:val="18"/>
                <w:szCs w:val="18"/>
              </w:rPr>
              <w:t xml:space="preserve">│   └── web/                Next.js frontend (App Router)</w:t>
            </w:r>
          </w:p>
          <w:p>
            <w:pPr>
              <w:spacing w:after="0" w:line="240"/>
            </w:pPr>
            <w:r>
              <w:rPr>
                <w:rFonts w:ascii="Consolas" w:cs="Consolas" w:eastAsia="Consolas" w:hAnsi="Consolas"/>
                <w:sz w:val="18"/>
                <w:szCs w:val="18"/>
              </w:rPr>
              <w:t xml:space="preserve">├── packages/</w:t>
            </w:r>
          </w:p>
          <w:p>
            <w:pPr>
              <w:spacing w:after="0" w:line="240"/>
            </w:pPr>
            <w:r>
              <w:rPr>
                <w:rFonts w:ascii="Consolas" w:cs="Consolas" w:eastAsia="Consolas" w:hAnsi="Consolas"/>
                <w:sz w:val="18"/>
                <w:szCs w:val="18"/>
              </w:rPr>
              <w:t xml:space="preserve">│   └── shared-types/      generated from OpenAPI</w:t>
            </w:r>
          </w:p>
          <w:p>
            <w:pPr>
              <w:spacing w:after="0" w:line="240"/>
            </w:pPr>
            <w:r>
              <w:rPr>
                <w:rFonts w:ascii="Consolas" w:cs="Consolas" w:eastAsia="Consolas" w:hAnsi="Consolas"/>
                <w:sz w:val="18"/>
                <w:szCs w:val="18"/>
              </w:rPr>
              <w:t xml:space="preserve">├── infra/</w:t>
            </w:r>
          </w:p>
          <w:p>
            <w:pPr>
              <w:spacing w:after="0" w:line="240"/>
            </w:pPr>
            <w:r>
              <w:rPr>
                <w:rFonts w:ascii="Consolas" w:cs="Consolas" w:eastAsia="Consolas" w:hAnsi="Consolas"/>
                <w:sz w:val="18"/>
                <w:szCs w:val="18"/>
              </w:rPr>
              <w:t xml:space="preserve">│   └── terraform/         (or Pulumi)</w:t>
            </w:r>
          </w:p>
          <w:p>
            <w:pPr>
              <w:spacing w:after="0" w:line="240"/>
            </w:pPr>
            <w:r>
              <w:rPr>
                <w:rFonts w:ascii="Consolas" w:cs="Consolas" w:eastAsia="Consolas" w:hAnsi="Consolas"/>
                <w:sz w:val="18"/>
                <w:szCs w:val="18"/>
              </w:rPr>
              <w:t xml:space="preserve">├── .devcontainer/         DevContainer config</w:t>
            </w:r>
          </w:p>
          <w:p>
            <w:pPr>
              <w:spacing w:after="0" w:line="240"/>
            </w:pPr>
            <w:r>
              <w:rPr>
                <w:rFonts w:ascii="Consolas" w:cs="Consolas" w:eastAsia="Consolas" w:hAnsi="Consolas"/>
                <w:sz w:val="18"/>
                <w:szCs w:val="18"/>
              </w:rPr>
              <w:t xml:space="preserve">├── docs/</w:t>
            </w:r>
          </w:p>
          <w:p>
            <w:pPr>
              <w:spacing w:after="0" w:line="240"/>
            </w:pPr>
            <w:r>
              <w:rPr>
                <w:rFonts w:ascii="Consolas" w:cs="Consolas" w:eastAsia="Consolas" w:hAnsi="Consolas"/>
                <w:sz w:val="18"/>
                <w:szCs w:val="18"/>
              </w:rPr>
              <w:t xml:space="preserve">│   ├── adr/               Architecture Decision Records</w:t>
            </w:r>
          </w:p>
          <w:p>
            <w:pPr>
              <w:spacing w:after="0" w:line="240"/>
            </w:pPr>
            <w:r>
              <w:rPr>
                <w:rFonts w:ascii="Consolas" w:cs="Consolas" w:eastAsia="Consolas" w:hAnsi="Consolas"/>
                <w:sz w:val="18"/>
                <w:szCs w:val="18"/>
              </w:rPr>
              <w:t xml:space="preserve">│   ├── runbooks/          Operational runbooks</w:t>
            </w:r>
          </w:p>
          <w:p>
            <w:pPr>
              <w:spacing w:after="0" w:line="240"/>
            </w:pPr>
            <w:r>
              <w:rPr>
                <w:rFonts w:ascii="Consolas" w:cs="Consolas" w:eastAsia="Consolas" w:hAnsi="Consolas"/>
                <w:sz w:val="18"/>
                <w:szCs w:val="18"/>
              </w:rPr>
              <w:t xml:space="preserve">│   └── architecture/      Mermaid diagrams</w:t>
            </w:r>
          </w:p>
          <w:p>
            <w:pPr>
              <w:spacing w:after="0" w:line="240"/>
            </w:pPr>
            <w:r>
              <w:rPr>
                <w:rFonts w:ascii="Consolas" w:cs="Consolas" w:eastAsia="Consolas" w:hAnsi="Consolas"/>
                <w:sz w:val="18"/>
                <w:szCs w:val="18"/>
              </w:rPr>
              <w:t xml:space="preserve">└── .github/workflows/</w:t>
            </w:r>
          </w:p>
        </w:tc>
      </w:tr>
    </w:tbl>
    <w:p>
      <w:pPr>
        <w:spacing w:after="80"/>
      </w:pPr>
      <w:r>
        <w:t xml:space="preserve"/>
      </w:r>
    </w:p>
    <w:p>
      <w:pPr>
        <w:pStyle w:val="Heading2"/>
        <w:spacing w:after="140" w:before="280"/>
      </w:pPr>
      <w:r>
        <w:rPr>
          <w:rFonts w:ascii="Calibri" w:cs="Calibri" w:eastAsia="Calibri" w:hAnsi="Calibri"/>
          <w:b/>
          <w:bCs/>
          <w:color w:val="2E5C8A"/>
          <w:sz w:val="28"/>
          <w:szCs w:val="28"/>
        </w:rPr>
        <w:t xml:space="preserve">10.2 Development Environment (DevContainers)</w:t>
      </w:r>
    </w:p>
    <w:p>
      <w:pPr>
        <w:spacing w:after="120" w:line="300"/>
      </w:pPr>
      <w:r>
        <w:rPr>
          <w:rFonts w:ascii="Calibri" w:cs="Calibri" w:eastAsia="Calibri" w:hAnsi="Calibri"/>
          <w:sz w:val="22"/>
          <w:szCs w:val="22"/>
        </w:rPr>
        <w:t xml:space="preserve">The DevContainer is the primary development environment for backend work. All backend development, testing, and debugging should assume container context. Frontend may run either inside the container or locally for fast HMR — the choice is per-developer.</w:t>
      </w:r>
    </w:p>
    <w:p>
      <w:pPr>
        <w:spacing w:after="120" w:line="300"/>
      </w:pPr>
      <w:r>
        <w:rPr>
          <w:rFonts w:ascii="Calibri" w:cs="Calibri" w:eastAsia="Calibri" w:hAnsi="Calibri"/>
          <w:sz w:val="22"/>
          <w:szCs w:val="22"/>
        </w:rPr>
        <w:t xml:space="preserve">Rules for the DevContainer setup:</w:t>
      </w:r>
    </w:p>
    <w:p>
      <w:pPr>
        <w:pStyle w:val="ListParagraph"/>
        <w:numPr>
          <w:ilvl w:val="0"/>
          <w:numId w:val="2"/>
        </w:numPr>
        <w:spacing w:after="60" w:line="290"/>
      </w:pPr>
      <w:r>
        <w:rPr>
          <w:rFonts w:ascii="Calibri" w:cs="Calibri" w:eastAsia="Calibri" w:hAnsi="Calibri"/>
          <w:sz w:val="22"/>
          <w:szCs w:val="22"/>
        </w:rPr>
        <w:t xml:space="preserve">`docker compose up` must start all backend services with zero configuration.</w:t>
      </w:r>
    </w:p>
    <w:p>
      <w:pPr>
        <w:pStyle w:val="ListParagraph"/>
        <w:numPr>
          <w:ilvl w:val="0"/>
          <w:numId w:val="2"/>
        </w:numPr>
        <w:spacing w:after="60" w:line="290"/>
      </w:pPr>
      <w:r>
        <w:rPr>
          <w:rFonts w:ascii="Calibri" w:cs="Calibri" w:eastAsia="Calibri" w:hAnsi="Calibri"/>
          <w:sz w:val="22"/>
          <w:szCs w:val="22"/>
        </w:rPr>
        <w:t xml:space="preserve">.env.example contains all required variables with sensible defaults.</w:t>
      </w:r>
    </w:p>
    <w:p>
      <w:pPr>
        <w:pStyle w:val="ListParagraph"/>
        <w:numPr>
          <w:ilvl w:val="0"/>
          <w:numId w:val="2"/>
        </w:numPr>
        <w:spacing w:after="60" w:line="290"/>
      </w:pPr>
      <w:r>
        <w:rPr>
          <w:rFonts w:ascii="Calibri" w:cs="Calibri" w:eastAsia="Calibri" w:hAnsi="Calibri"/>
          <w:sz w:val="22"/>
          <w:szCs w:val="22"/>
        </w:rPr>
        <w:t xml:space="preserve">PostgreSQL auto-creates the database and enables pgvector on first run.</w:t>
      </w:r>
    </w:p>
    <w:p>
      <w:pPr>
        <w:pStyle w:val="ListParagraph"/>
        <w:numPr>
          <w:ilvl w:val="0"/>
          <w:numId w:val="2"/>
        </w:numPr>
        <w:spacing w:after="60" w:line="290"/>
      </w:pPr>
      <w:r>
        <w:rPr>
          <w:rFonts w:ascii="Calibri" w:cs="Calibri" w:eastAsia="Calibri" w:hAnsi="Calibri"/>
          <w:sz w:val="22"/>
          <w:szCs w:val="22"/>
        </w:rPr>
        <w:t xml:space="preserve">All services declare healthchecks; app/worker services wait for db/redis to be healthy via depends_on with condition: service_healthy.</w:t>
      </w:r>
    </w:p>
    <w:p>
      <w:pPr>
        <w:pStyle w:val="ListParagraph"/>
        <w:numPr>
          <w:ilvl w:val="0"/>
          <w:numId w:val="2"/>
        </w:numPr>
        <w:spacing w:after="60" w:line="290"/>
      </w:pPr>
      <w:r>
        <w:rPr>
          <w:rFonts w:ascii="Calibri" w:cs="Calibri" w:eastAsia="Calibri" w:hAnsi="Calibri"/>
          <w:sz w:val="22"/>
          <w:szCs w:val="22"/>
        </w:rPr>
        <w:t xml:space="preserve">Frontend connects to containerised backend via NEXT_PUBLIC_API_URL.</w:t>
      </w:r>
    </w:p>
    <w:p>
      <w:pPr>
        <w:pStyle w:val="Heading2"/>
        <w:spacing w:after="140" w:before="280"/>
      </w:pPr>
      <w:r>
        <w:rPr>
          <w:rFonts w:ascii="Calibri" w:cs="Calibri" w:eastAsia="Calibri" w:hAnsi="Calibri"/>
          <w:b/>
          <w:bCs/>
          <w:color w:val="2E5C8A"/>
          <w:sz w:val="28"/>
          <w:szCs w:val="28"/>
        </w:rPr>
        <w:t xml:space="preserve">10.3 Branching, CI/CD, and Reviews</w:t>
      </w:r>
    </w:p>
    <w:p>
      <w:pPr>
        <w:pStyle w:val="ListParagraph"/>
        <w:numPr>
          <w:ilvl w:val="0"/>
          <w:numId w:val="2"/>
        </w:numPr>
        <w:spacing w:after="60" w:line="290"/>
      </w:pPr>
      <w:r>
        <w:rPr>
          <w:rFonts w:ascii="Calibri" w:cs="Calibri" w:eastAsia="Calibri" w:hAnsi="Calibri"/>
          <w:sz w:val="22"/>
          <w:szCs w:val="22"/>
        </w:rPr>
        <w:t xml:space="preserve">Trunk-based development. main is always deployable.</w:t>
      </w:r>
    </w:p>
    <w:p>
      <w:pPr>
        <w:pStyle w:val="ListParagraph"/>
        <w:numPr>
          <w:ilvl w:val="0"/>
          <w:numId w:val="2"/>
        </w:numPr>
        <w:spacing w:after="60" w:line="290"/>
      </w:pPr>
      <w:r>
        <w:rPr>
          <w:rFonts w:ascii="Calibri" w:cs="Calibri" w:eastAsia="Calibri" w:hAnsi="Calibri"/>
          <w:sz w:val="22"/>
          <w:szCs w:val="22"/>
        </w:rPr>
        <w:t xml:space="preserve">Short-lived feature branches (≤ 2 days), merged via PR with at least one approval (or self-review checklist when solo).</w:t>
      </w:r>
    </w:p>
    <w:p>
      <w:pPr>
        <w:pStyle w:val="ListParagraph"/>
        <w:numPr>
          <w:ilvl w:val="0"/>
          <w:numId w:val="2"/>
        </w:numPr>
        <w:spacing w:after="60" w:line="290"/>
      </w:pPr>
      <w:r>
        <w:rPr>
          <w:rFonts w:ascii="Calibri" w:cs="Calibri" w:eastAsia="Calibri" w:hAnsi="Calibri"/>
          <w:sz w:val="22"/>
          <w:szCs w:val="22"/>
        </w:rPr>
        <w:t xml:space="preserve">Conventional Commits. Squash-merge.</w:t>
      </w:r>
    </w:p>
    <w:p>
      <w:pPr>
        <w:pStyle w:val="ListParagraph"/>
        <w:numPr>
          <w:ilvl w:val="0"/>
          <w:numId w:val="2"/>
        </w:numPr>
        <w:spacing w:after="60" w:line="290"/>
      </w:pPr>
      <w:r>
        <w:rPr>
          <w:rFonts w:ascii="Calibri" w:cs="Calibri" w:eastAsia="Calibri" w:hAnsi="Calibri"/>
          <w:sz w:val="22"/>
          <w:szCs w:val="22"/>
        </w:rPr>
        <w:t xml:space="preserve">CI on every PR: lint (ruff, eslint), typecheck (mypy --strict, tsc strict), unit tests, integration tests against a real Postgres.</w:t>
      </w:r>
    </w:p>
    <w:p>
      <w:pPr>
        <w:pStyle w:val="ListParagraph"/>
        <w:numPr>
          <w:ilvl w:val="0"/>
          <w:numId w:val="2"/>
        </w:numPr>
        <w:spacing w:after="60" w:line="290"/>
      </w:pPr>
      <w:r>
        <w:rPr>
          <w:rFonts w:ascii="Calibri" w:cs="Calibri" w:eastAsia="Calibri" w:hAnsi="Calibri"/>
          <w:sz w:val="22"/>
          <w:szCs w:val="22"/>
        </w:rPr>
        <w:t xml:space="preserve">CD: merge to main → auto-deploy to staging; tag → deploy to production. Migrations run before app start; failures auto-rollback.</w:t>
      </w:r>
    </w:p>
    <w:p>
      <w:pPr>
        <w:pStyle w:val="Heading2"/>
        <w:spacing w:after="140" w:before="280"/>
      </w:pPr>
      <w:r>
        <w:rPr>
          <w:rFonts w:ascii="Calibri" w:cs="Calibri" w:eastAsia="Calibri" w:hAnsi="Calibri"/>
          <w:b/>
          <w:bCs/>
          <w:color w:val="2E5C8A"/>
          <w:sz w:val="28"/>
          <w:szCs w:val="28"/>
        </w:rPr>
        <w:t xml:space="preserve">10.4 Testing Strategy</w:t>
      </w:r>
    </w:p>
    <w:p>
      <w:pPr>
        <w:pStyle w:val="ListParagraph"/>
        <w:numPr>
          <w:ilvl w:val="0"/>
          <w:numId w:val="2"/>
        </w:numPr>
        <w:spacing w:after="60" w:line="290"/>
      </w:pPr>
      <w:r>
        <w:rPr>
          <w:rFonts w:ascii="Calibri" w:cs="Calibri" w:eastAsia="Calibri" w:hAnsi="Calibri"/>
          <w:b/>
          <w:bCs/>
          <w:sz w:val="22"/>
          <w:szCs w:val="22"/>
        </w:rPr>
        <w:t xml:space="preserve">Unit tests</w:t>
      </w:r>
      <w:r>
        <w:rPr>
          <w:rFonts w:ascii="Calibri" w:cs="Calibri" w:eastAsia="Calibri" w:hAnsi="Calibri"/>
          <w:sz w:val="22"/>
          <w:szCs w:val="22"/>
        </w:rPr>
        <w:t xml:space="preserve">: pure business logic. Fast, no I/O. Coverage gate: 70% on changed code.</w:t>
      </w:r>
    </w:p>
    <w:p>
      <w:pPr>
        <w:pStyle w:val="ListParagraph"/>
        <w:numPr>
          <w:ilvl w:val="0"/>
          <w:numId w:val="2"/>
        </w:numPr>
        <w:spacing w:after="60" w:line="290"/>
      </w:pPr>
      <w:r>
        <w:rPr>
          <w:rFonts w:ascii="Calibri" w:cs="Calibri" w:eastAsia="Calibri" w:hAnsi="Calibri"/>
          <w:b/>
          <w:bCs/>
          <w:sz w:val="22"/>
          <w:szCs w:val="22"/>
        </w:rPr>
        <w:t xml:space="preserve">Integration tests</w:t>
      </w:r>
      <w:r>
        <w:rPr>
          <w:rFonts w:ascii="Calibri" w:cs="Calibri" w:eastAsia="Calibri" w:hAnsi="Calibri"/>
          <w:sz w:val="22"/>
          <w:szCs w:val="22"/>
        </w:rPr>
        <w:t xml:space="preserve">: API endpoints against a real Postgres + Redis (docker-compose for local, services in CI). Always run a multi-tenant 'isolation' suite that asserts cross-tenant queries return empty.</w:t>
      </w:r>
    </w:p>
    <w:p>
      <w:pPr>
        <w:pStyle w:val="ListParagraph"/>
        <w:numPr>
          <w:ilvl w:val="0"/>
          <w:numId w:val="2"/>
        </w:numPr>
        <w:spacing w:after="60" w:line="290"/>
      </w:pPr>
      <w:r>
        <w:rPr>
          <w:rFonts w:ascii="Calibri" w:cs="Calibri" w:eastAsia="Calibri" w:hAnsi="Calibri"/>
          <w:b/>
          <w:bCs/>
          <w:sz w:val="22"/>
          <w:szCs w:val="22"/>
        </w:rPr>
        <w:t xml:space="preserve">Contract tests</w:t>
      </w:r>
      <w:r>
        <w:rPr>
          <w:rFonts w:ascii="Calibri" w:cs="Calibri" w:eastAsia="Calibri" w:hAnsi="Calibri"/>
          <w:sz w:val="22"/>
          <w:szCs w:val="22"/>
        </w:rPr>
        <w:t xml:space="preserve">: OpenAPI schema → typed client; frontend cannot drift from backend silently.</w:t>
      </w:r>
    </w:p>
    <w:p>
      <w:pPr>
        <w:pStyle w:val="ListParagraph"/>
        <w:numPr>
          <w:ilvl w:val="0"/>
          <w:numId w:val="2"/>
        </w:numPr>
        <w:spacing w:after="60" w:line="290"/>
      </w:pPr>
      <w:r>
        <w:rPr>
          <w:rFonts w:ascii="Calibri" w:cs="Calibri" w:eastAsia="Calibri" w:hAnsi="Calibri"/>
          <w:b/>
          <w:bCs/>
          <w:sz w:val="22"/>
          <w:szCs w:val="22"/>
        </w:rPr>
        <w:t xml:space="preserve">End-to-end (Playwright)</w:t>
      </w:r>
      <w:r>
        <w:rPr>
          <w:rFonts w:ascii="Calibri" w:cs="Calibri" w:eastAsia="Calibri" w:hAnsi="Calibri"/>
          <w:sz w:val="22"/>
          <w:szCs w:val="22"/>
        </w:rPr>
        <w:t xml:space="preserve">: ~10 critical-path scenarios only (signup → publish course → enrol → complete → certificate).</w:t>
      </w:r>
    </w:p>
    <w:p>
      <w:pPr>
        <w:pStyle w:val="ListParagraph"/>
        <w:numPr>
          <w:ilvl w:val="0"/>
          <w:numId w:val="2"/>
        </w:numPr>
        <w:spacing w:after="60" w:line="290"/>
      </w:pPr>
      <w:r>
        <w:rPr>
          <w:rFonts w:ascii="Calibri" w:cs="Calibri" w:eastAsia="Calibri" w:hAnsi="Calibri"/>
          <w:b/>
          <w:bCs/>
          <w:sz w:val="22"/>
          <w:szCs w:val="22"/>
        </w:rPr>
        <w:t xml:space="preserve">Load testing (k6)</w:t>
      </w:r>
      <w:r>
        <w:rPr>
          <w:rFonts w:ascii="Calibri" w:cs="Calibri" w:eastAsia="Calibri" w:hAnsi="Calibri"/>
          <w:sz w:val="22"/>
          <w:szCs w:val="22"/>
        </w:rPr>
        <w:t xml:space="preserve">: before each major release; baseline = 100 concurrent learners across 10 tenants without p95 degradation.</w:t>
      </w:r>
    </w:p>
    <w:p>
      <w:pPr>
        <w:pStyle w:val="ListParagraph"/>
        <w:numPr>
          <w:ilvl w:val="0"/>
          <w:numId w:val="2"/>
        </w:numPr>
        <w:spacing w:after="60" w:line="290"/>
      </w:pPr>
      <w:r>
        <w:rPr>
          <w:rFonts w:ascii="Calibri" w:cs="Calibri" w:eastAsia="Calibri" w:hAnsi="Calibri"/>
          <w:b/>
          <w:bCs/>
          <w:sz w:val="22"/>
          <w:szCs w:val="22"/>
        </w:rPr>
        <w:t xml:space="preserve">AI evals (LangSmith)</w:t>
      </w:r>
      <w:r>
        <w:rPr>
          <w:rFonts w:ascii="Calibri" w:cs="Calibri" w:eastAsia="Calibri" w:hAnsi="Calibri"/>
          <w:sz w:val="22"/>
          <w:szCs w:val="22"/>
        </w:rPr>
        <w:t xml:space="preserve">: small held-out (question, expected-citation) set run nightly. Regression alert if pass-rate drops &gt; 5%.</w:t>
      </w:r>
    </w:p>
    <w:p>
      <w:pPr>
        <w:pStyle w:val="Heading2"/>
        <w:spacing w:after="140" w:before="280"/>
      </w:pPr>
      <w:r>
        <w:rPr>
          <w:rFonts w:ascii="Calibri" w:cs="Calibri" w:eastAsia="Calibri" w:hAnsi="Calibri"/>
          <w:b/>
          <w:bCs/>
          <w:color w:val="2E5C8A"/>
          <w:sz w:val="28"/>
          <w:szCs w:val="28"/>
        </w:rPr>
        <w:t xml:space="preserve">10.5 Definition of Done</w:t>
      </w:r>
    </w:p>
    <w:p>
      <w:pPr>
        <w:spacing w:after="120" w:line="300"/>
      </w:pPr>
      <w:r>
        <w:rPr>
          <w:rFonts w:ascii="Calibri" w:cs="Calibri" w:eastAsia="Calibri" w:hAnsi="Calibri"/>
          <w:sz w:val="22"/>
          <w:szCs w:val="22"/>
        </w:rPr>
        <w:t xml:space="preserve">No sprint item is considered complete unless all of the following are met:</w:t>
      </w:r>
    </w:p>
    <w:p>
      <w:pPr>
        <w:pStyle w:val="ListParagraph"/>
        <w:numPr>
          <w:ilvl w:val="0"/>
          <w:numId w:val="3"/>
        </w:numPr>
        <w:spacing w:after="80" w:line="290"/>
      </w:pPr>
      <w:r>
        <w:rPr>
          <w:rFonts w:ascii="Calibri" w:cs="Calibri" w:eastAsia="Calibri" w:hAnsi="Calibri"/>
          <w:sz w:val="22"/>
          <w:szCs w:val="22"/>
        </w:rPr>
        <w:t xml:space="preserve">Code passes ruff check, mypy --strict, eslint, tsc strict, and all tests.</w:t>
      </w:r>
    </w:p>
    <w:p>
      <w:pPr>
        <w:pStyle w:val="ListParagraph"/>
        <w:numPr>
          <w:ilvl w:val="0"/>
          <w:numId w:val="3"/>
        </w:numPr>
        <w:spacing w:after="80" w:line="290"/>
      </w:pPr>
      <w:r>
        <w:rPr>
          <w:rFonts w:ascii="Calibri" w:cs="Calibri" w:eastAsia="Calibri" w:hAnsi="Calibri"/>
          <w:sz w:val="22"/>
          <w:szCs w:val="22"/>
        </w:rPr>
        <w:t xml:space="preserve">API endpoints documented in OpenAPI (auto-generated).</w:t>
      </w:r>
    </w:p>
    <w:p>
      <w:pPr>
        <w:pStyle w:val="ListParagraph"/>
        <w:numPr>
          <w:ilvl w:val="0"/>
          <w:numId w:val="3"/>
        </w:numPr>
        <w:spacing w:after="80" w:line="290"/>
      </w:pPr>
      <w:r>
        <w:rPr>
          <w:rFonts w:ascii="Calibri" w:cs="Calibri" w:eastAsia="Calibri" w:hAnsi="Calibri"/>
          <w:sz w:val="22"/>
          <w:szCs w:val="22"/>
        </w:rPr>
        <w:t xml:space="preserve">Unit and integration tests written with meaningful coverage on changed code.</w:t>
      </w:r>
    </w:p>
    <w:p>
      <w:pPr>
        <w:pStyle w:val="ListParagraph"/>
        <w:numPr>
          <w:ilvl w:val="0"/>
          <w:numId w:val="3"/>
        </w:numPr>
        <w:spacing w:after="80" w:line="290"/>
      </w:pPr>
      <w:r>
        <w:rPr>
          <w:rFonts w:ascii="Calibri" w:cs="Calibri" w:eastAsia="Calibri" w:hAnsi="Calibri"/>
          <w:sz w:val="22"/>
          <w:szCs w:val="22"/>
        </w:rPr>
        <w:t xml:space="preserve">Audit logging applied wherever data is created, updated, deleted, or accessed for billing/admin purposes.</w:t>
      </w:r>
    </w:p>
    <w:p>
      <w:pPr>
        <w:pStyle w:val="ListParagraph"/>
        <w:numPr>
          <w:ilvl w:val="0"/>
          <w:numId w:val="3"/>
        </w:numPr>
        <w:spacing w:after="80" w:line="290"/>
      </w:pPr>
      <w:r>
        <w:rPr>
          <w:rFonts w:ascii="Calibri" w:cs="Calibri" w:eastAsia="Calibri" w:hAnsi="Calibri"/>
          <w:sz w:val="22"/>
          <w:szCs w:val="22"/>
        </w:rPr>
        <w:t xml:space="preserve">Tenant isolation verified (cross-tenant test exists and passes).</w:t>
      </w:r>
    </w:p>
    <w:p>
      <w:pPr>
        <w:pStyle w:val="ListParagraph"/>
        <w:numPr>
          <w:ilvl w:val="0"/>
          <w:numId w:val="3"/>
        </w:numPr>
        <w:spacing w:after="80" w:line="290"/>
      </w:pPr>
      <w:r>
        <w:rPr>
          <w:rFonts w:ascii="Calibri" w:cs="Calibri" w:eastAsia="Calibri" w:hAnsi="Calibri"/>
          <w:sz w:val="22"/>
          <w:szCs w:val="22"/>
        </w:rPr>
        <w:t xml:space="preserve">No sensitive data exposed in logs, responses, or error messages.</w:t>
      </w:r>
    </w:p>
    <w:p>
      <w:pPr>
        <w:pStyle w:val="ListParagraph"/>
        <w:numPr>
          <w:ilvl w:val="0"/>
          <w:numId w:val="3"/>
        </w:numPr>
        <w:spacing w:after="80" w:line="290"/>
      </w:pPr>
      <w:r>
        <w:rPr>
          <w:rFonts w:ascii="Calibri" w:cs="Calibri" w:eastAsia="Calibri" w:hAnsi="Calibri"/>
          <w:sz w:val="22"/>
          <w:szCs w:val="22"/>
        </w:rPr>
        <w:t xml:space="preserve">Frontend components strongly typed (no any).</w:t>
      </w:r>
    </w:p>
    <w:p>
      <w:pPr>
        <w:pStyle w:val="ListParagraph"/>
        <w:numPr>
          <w:ilvl w:val="0"/>
          <w:numId w:val="3"/>
        </w:numPr>
        <w:spacing w:after="80" w:line="290"/>
      </w:pPr>
      <w:r>
        <w:rPr>
          <w:rFonts w:ascii="Calibri" w:cs="Calibri" w:eastAsia="Calibri" w:hAnsi="Calibri"/>
          <w:sz w:val="22"/>
          <w:szCs w:val="22"/>
        </w:rPr>
        <w:t xml:space="preserve">Migrations reversible.</w:t>
      </w:r>
    </w:p>
    <w:p>
      <w:pPr>
        <w:pStyle w:val="ListParagraph"/>
        <w:numPr>
          <w:ilvl w:val="0"/>
          <w:numId w:val="3"/>
        </w:numPr>
        <w:spacing w:after="80" w:line="290"/>
      </w:pPr>
      <w:r>
        <w:rPr>
          <w:rFonts w:ascii="Calibri" w:cs="Calibri" w:eastAsia="Calibri" w:hAnsi="Calibri"/>
          <w:sz w:val="22"/>
          <w:szCs w:val="22"/>
        </w:rPr>
        <w:t xml:space="preserve">PR reviewed against the Pull Request Checklist (§10.6).</w:t>
      </w:r>
    </w:p>
    <w:p>
      <w:pPr>
        <w:pStyle w:val="Heading2"/>
        <w:spacing w:after="140" w:before="280"/>
      </w:pPr>
      <w:r>
        <w:rPr>
          <w:rFonts w:ascii="Calibri" w:cs="Calibri" w:eastAsia="Calibri" w:hAnsi="Calibri"/>
          <w:b/>
          <w:bCs/>
          <w:color w:val="2E5C8A"/>
          <w:sz w:val="28"/>
          <w:szCs w:val="28"/>
        </w:rPr>
        <w:t xml:space="preserve">10.6 Pull Request Checklist</w:t>
      </w:r>
    </w:p>
    <w:p>
      <w:pPr>
        <w:spacing w:after="120" w:line="300"/>
      </w:pPr>
      <w:r>
        <w:rPr>
          <w:rFonts w:ascii="Calibri" w:cs="Calibri" w:eastAsia="Calibri" w:hAnsi="Calibri"/>
          <w:sz w:val="22"/>
          <w:szCs w:val="22"/>
        </w:rPr>
        <w:t xml:space="preserve">Every PR is reviewed against this checklist before merge:</w:t>
      </w:r>
    </w:p>
    <w:p>
      <w:pPr>
        <w:pStyle w:val="ListParagraph"/>
        <w:numPr>
          <w:ilvl w:val="0"/>
          <w:numId w:val="2"/>
        </w:numPr>
        <w:spacing w:after="60" w:line="290"/>
      </w:pPr>
      <w:r>
        <w:rPr>
          <w:rFonts w:ascii="Calibri" w:cs="Calibri" w:eastAsia="Calibri" w:hAnsi="Calibri"/>
          <w:sz w:val="22"/>
          <w:szCs w:val="22"/>
        </w:rPr>
        <w:t xml:space="preserve">☐ Tenant-safe queries (no cross-tenant data access).</w:t>
      </w:r>
    </w:p>
    <w:p>
      <w:pPr>
        <w:pStyle w:val="ListParagraph"/>
        <w:numPr>
          <w:ilvl w:val="0"/>
          <w:numId w:val="2"/>
        </w:numPr>
        <w:spacing w:after="60" w:line="290"/>
      </w:pPr>
      <w:r>
        <w:rPr>
          <w:rFonts w:ascii="Calibri" w:cs="Calibri" w:eastAsia="Calibri" w:hAnsi="Calibri"/>
          <w:sz w:val="22"/>
          <w:szCs w:val="22"/>
        </w:rPr>
        <w:t xml:space="preserve">☐ RBAC enforced on all new endpoints.</w:t>
      </w:r>
    </w:p>
    <w:p>
      <w:pPr>
        <w:pStyle w:val="ListParagraph"/>
        <w:numPr>
          <w:ilvl w:val="0"/>
          <w:numId w:val="2"/>
        </w:numPr>
        <w:spacing w:after="60" w:line="290"/>
      </w:pPr>
      <w:r>
        <w:rPr>
          <w:rFonts w:ascii="Calibri" w:cs="Calibri" w:eastAsia="Calibri" w:hAnsi="Calibri"/>
          <w:sz w:val="22"/>
          <w:szCs w:val="22"/>
        </w:rPr>
        <w:t xml:space="preserve">☐ Tests added or updated for changed code.</w:t>
      </w:r>
    </w:p>
    <w:p>
      <w:pPr>
        <w:pStyle w:val="ListParagraph"/>
        <w:numPr>
          <w:ilvl w:val="0"/>
          <w:numId w:val="2"/>
        </w:numPr>
        <w:spacing w:after="60" w:line="290"/>
      </w:pPr>
      <w:r>
        <w:rPr>
          <w:rFonts w:ascii="Calibri" w:cs="Calibri" w:eastAsia="Calibri" w:hAnsi="Calibri"/>
          <w:sz w:val="22"/>
          <w:szCs w:val="22"/>
        </w:rPr>
        <w:t xml:space="preserve">☐ No sensitive data exposure in logs, errors, or responses.</w:t>
      </w:r>
    </w:p>
    <w:p>
      <w:pPr>
        <w:pStyle w:val="ListParagraph"/>
        <w:numPr>
          <w:ilvl w:val="0"/>
          <w:numId w:val="2"/>
        </w:numPr>
        <w:spacing w:after="60" w:line="290"/>
      </w:pPr>
      <w:r>
        <w:rPr>
          <w:rFonts w:ascii="Calibri" w:cs="Calibri" w:eastAsia="Calibri" w:hAnsi="Calibri"/>
          <w:sz w:val="22"/>
          <w:szCs w:val="22"/>
        </w:rPr>
        <w:t xml:space="preserve">☐ Logs use structured format with request_id and tenant_id.</w:t>
      </w:r>
    </w:p>
    <w:p>
      <w:pPr>
        <w:pStyle w:val="ListParagraph"/>
        <w:numPr>
          <w:ilvl w:val="0"/>
          <w:numId w:val="2"/>
        </w:numPr>
        <w:spacing w:after="60" w:line="290"/>
      </w:pPr>
      <w:r>
        <w:rPr>
          <w:rFonts w:ascii="Calibri" w:cs="Calibri" w:eastAsia="Calibri" w:hAnsi="Calibri"/>
          <w:sz w:val="22"/>
          <w:szCs w:val="22"/>
        </w:rPr>
        <w:t xml:space="preserve">☐ All types fully defined (no Any in Python, no any in TypeScript).</w:t>
      </w:r>
    </w:p>
    <w:p>
      <w:pPr>
        <w:pStyle w:val="ListParagraph"/>
        <w:numPr>
          <w:ilvl w:val="0"/>
          <w:numId w:val="2"/>
        </w:numPr>
        <w:spacing w:after="60" w:line="290"/>
      </w:pPr>
      <w:r>
        <w:rPr>
          <w:rFonts w:ascii="Calibri" w:cs="Calibri" w:eastAsia="Calibri" w:hAnsi="Calibri"/>
          <w:sz w:val="22"/>
          <w:szCs w:val="22"/>
        </w:rPr>
        <w:t xml:space="preserve">☐ No dead code or commented-out blocks.</w:t>
      </w:r>
    </w:p>
    <w:p>
      <w:pPr>
        <w:pStyle w:val="ListParagraph"/>
        <w:numPr>
          <w:ilvl w:val="0"/>
          <w:numId w:val="2"/>
        </w:numPr>
        <w:spacing w:after="60" w:line="290"/>
      </w:pPr>
      <w:r>
        <w:rPr>
          <w:rFonts w:ascii="Calibri" w:cs="Calibri" w:eastAsia="Calibri" w:hAnsi="Calibri"/>
          <w:sz w:val="22"/>
          <w:szCs w:val="22"/>
        </w:rPr>
        <w:t xml:space="preserve">☐ Database migrations are reversible.</w:t>
      </w:r>
    </w:p>
    <w:p>
      <w:pPr>
        <w:pStyle w:val="ListParagraph"/>
        <w:numPr>
          <w:ilvl w:val="0"/>
          <w:numId w:val="2"/>
        </w:numPr>
        <w:spacing w:after="60" w:line="290"/>
      </w:pPr>
      <w:r>
        <w:rPr>
          <w:rFonts w:ascii="Calibri" w:cs="Calibri" w:eastAsia="Calibri" w:hAnsi="Calibri"/>
          <w:sz w:val="22"/>
          <w:szCs w:val="22"/>
        </w:rPr>
        <w:t xml:space="preserve">☐ API response follows the standard envelope (§8.2).</w:t>
      </w:r>
    </w:p>
    <w:p>
      <w:pPr>
        <w:pStyle w:val="ListParagraph"/>
        <w:numPr>
          <w:ilvl w:val="0"/>
          <w:numId w:val="2"/>
        </w:numPr>
        <w:spacing w:after="60" w:line="290"/>
      </w:pPr>
      <w:r>
        <w:rPr>
          <w:rFonts w:ascii="Calibri" w:cs="Calibri" w:eastAsia="Calibri" w:hAnsi="Calibri"/>
          <w:sz w:val="22"/>
          <w:szCs w:val="22"/>
        </w:rPr>
        <w:t xml:space="preserve">☐ Idempotency-Key header supported on POST endpoints that mutate billing, enrolment, or completion.</w:t>
      </w:r>
    </w:p>
    <w:p>
      <w:pPr>
        <w:pStyle w:val="Heading2"/>
        <w:spacing w:after="140" w:before="280"/>
      </w:pPr>
      <w:r>
        <w:rPr>
          <w:rFonts w:ascii="Calibri" w:cs="Calibri" w:eastAsia="Calibri" w:hAnsi="Calibri"/>
          <w:b/>
          <w:bCs/>
          <w:color w:val="2E5C8A"/>
          <w:sz w:val="28"/>
          <w:szCs w:val="28"/>
        </w:rPr>
        <w:t xml:space="preserve">10.7 Documentation</w:t>
      </w:r>
    </w:p>
    <w:p>
      <w:pPr>
        <w:pStyle w:val="ListParagraph"/>
        <w:numPr>
          <w:ilvl w:val="0"/>
          <w:numId w:val="2"/>
        </w:numPr>
        <w:spacing w:after="60" w:line="290"/>
      </w:pPr>
      <w:r>
        <w:rPr>
          <w:rFonts w:ascii="Calibri" w:cs="Calibri" w:eastAsia="Calibri" w:hAnsi="Calibri"/>
          <w:sz w:val="22"/>
          <w:szCs w:val="22"/>
        </w:rPr>
        <w:t xml:space="preserve">This Charter is the source of truth for product and architecture decisions.</w:t>
      </w:r>
    </w:p>
    <w:p>
      <w:pPr>
        <w:pStyle w:val="ListParagraph"/>
        <w:numPr>
          <w:ilvl w:val="0"/>
          <w:numId w:val="2"/>
        </w:numPr>
        <w:spacing w:after="60" w:line="290"/>
      </w:pPr>
      <w:r>
        <w:rPr>
          <w:rFonts w:ascii="Calibri" w:cs="Calibri" w:eastAsia="Calibri" w:hAnsi="Calibri"/>
          <w:sz w:val="22"/>
          <w:szCs w:val="22"/>
        </w:rPr>
        <w:t xml:space="preserve">Architecture Decision Records (ADRs) in /docs/adr/. Every reversible-but-important decision gets one.</w:t>
      </w:r>
    </w:p>
    <w:p>
      <w:pPr>
        <w:pStyle w:val="ListParagraph"/>
        <w:numPr>
          <w:ilvl w:val="0"/>
          <w:numId w:val="2"/>
        </w:numPr>
        <w:spacing w:after="60" w:line="290"/>
      </w:pPr>
      <w:r>
        <w:rPr>
          <w:rFonts w:ascii="Calibri" w:cs="Calibri" w:eastAsia="Calibri" w:hAnsi="Calibri"/>
          <w:sz w:val="22"/>
          <w:szCs w:val="22"/>
        </w:rPr>
        <w:t xml:space="preserve">Runbooks in /docs/runbooks/. One per recurring operational task (database failover, abuse incident, customer data export, refund processing).</w:t>
      </w:r>
    </w:p>
    <w:p>
      <w:pPr>
        <w:pStyle w:val="ListParagraph"/>
        <w:numPr>
          <w:ilvl w:val="0"/>
          <w:numId w:val="2"/>
        </w:numPr>
        <w:spacing w:after="60" w:line="290"/>
      </w:pPr>
      <w:r>
        <w:rPr>
          <w:rFonts w:ascii="Calibri" w:cs="Calibri" w:eastAsia="Calibri" w:hAnsi="Calibri"/>
          <w:sz w:val="22"/>
          <w:szCs w:val="22"/>
        </w:rPr>
        <w:t xml:space="preserve">API contract is the OpenAPI spec generated by FastAPI; no hand-written API docs.</w:t>
      </w:r>
    </w:p>
    <w:p>
      <w:pPr>
        <w:pStyle w:val="ListParagraph"/>
        <w:numPr>
          <w:ilvl w:val="0"/>
          <w:numId w:val="2"/>
        </w:numPr>
        <w:spacing w:after="60" w:line="290"/>
      </w:pPr>
      <w:r>
        <w:rPr>
          <w:rFonts w:ascii="Calibri" w:cs="Calibri" w:eastAsia="Calibri" w:hAnsi="Calibri"/>
          <w:sz w:val="22"/>
          <w:szCs w:val="22"/>
        </w:rPr>
        <w:t xml:space="preserve">Architecture diagrams in /docs/architecture/ as Mermaid sources, rendered in PR previews.</w:t>
      </w:r>
    </w:p>
    <w:p>
      <w:r>
        <w:br w:type="page"/>
      </w:r>
    </w:p>
    <w:p>
      <w:pPr>
        <w:pStyle w:val="Heading1"/>
        <w:spacing w:after="180" w:before="360"/>
      </w:pPr>
      <w:r>
        <w:rPr>
          <w:rFonts w:ascii="Calibri" w:cs="Calibri" w:eastAsia="Calibri" w:hAnsi="Calibri"/>
          <w:b/>
          <w:bCs/>
          <w:color w:val="1F3A5F"/>
          <w:sz w:val="36"/>
          <w:szCs w:val="36"/>
        </w:rPr>
        <w:t xml:space="preserve">11. Delivery Plan &amp; Timeline</w:t>
      </w:r>
    </w:p>
    <w:p>
      <w:pPr>
        <w:pStyle w:val="Heading2"/>
        <w:spacing w:after="140" w:before="280"/>
      </w:pPr>
      <w:r>
        <w:rPr>
          <w:rFonts w:ascii="Calibri" w:cs="Calibri" w:eastAsia="Calibri" w:hAnsi="Calibri"/>
          <w:b/>
          <w:bCs/>
          <w:color w:val="2E5C8A"/>
          <w:sz w:val="28"/>
          <w:szCs w:val="28"/>
        </w:rPr>
        <w:t xml:space="preserve">11.1 MVP — 10-Week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4000"/>
        <w:gridCol w:w="2160"/>
      </w:tblGrid>
      <w:tr>
        <w:trPr>
          <w:tblHeader/>
        </w:trPr>
        <w:tc>
          <w:tcPr>
            <w:tcW w:type="dxa" w:w="150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Sprint (2 wks)</w:t>
            </w:r>
          </w:p>
        </w:tc>
        <w:tc>
          <w:tcPr>
            <w:tcW w:type="dxa" w:w="170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Theme</w:t>
            </w:r>
          </w:p>
        </w:tc>
        <w:tc>
          <w:tcPr>
            <w:tcW w:type="dxa" w:w="400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Key Deliverables</w:t>
            </w:r>
          </w:p>
        </w:tc>
        <w:tc>
          <w:tcPr>
            <w:tcW w:type="dxa" w:w="216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Exit Criteria</w:t>
            </w:r>
          </w:p>
        </w:tc>
      </w:tr>
      <w:tr>
        <w:tc>
          <w:tcPr>
            <w:tcW w:type="dxa" w:w="15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S0 — Pre-flight</w:t>
            </w:r>
          </w:p>
        </w:tc>
        <w:tc>
          <w:tcPr>
            <w:tcW w:type="dxa" w:w="17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Foundations</w:t>
            </w:r>
          </w:p>
        </w:tc>
        <w:tc>
          <w:tcPr>
            <w:tcW w:type="dxa" w:w="40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Repo, DevContainer (healthchecks + service_healthy), CI, Sentry, structlog, OTel, ADR-001 (stack), ADR-002 (tenancy)</w:t>
            </w:r>
          </w:p>
        </w:tc>
        <w:tc>
          <w:tcPr>
            <w:tcW w:type="dxa" w:w="21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docker compose up boots clean; smoke test green</w:t>
            </w:r>
          </w:p>
        </w:tc>
      </w:tr>
      <w:tr>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S1 — Tenancy &amp; Auth</w:t>
            </w:r>
          </w:p>
        </w:tc>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Multi-tenant skeleton</w:t>
            </w:r>
          </w:p>
        </w:tc>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Tenant model, subdomain routing, 3-layer isolation (middleware + ORM + RLS), signup, login, password reset, RBAC seed</w:t>
            </w:r>
          </w:p>
        </w:tc>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Cross-tenant isolation test passes; two tenants cannot see each other's data</w:t>
            </w:r>
          </w:p>
        </w:tc>
      </w:tr>
      <w:tr>
        <w:tc>
          <w:tcPr>
            <w:tcW w:type="dxa" w:w="15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S2 — Authoring</w:t>
            </w:r>
          </w:p>
        </w:tc>
        <w:tc>
          <w:tcPr>
            <w:tcW w:type="dxa" w:w="17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Course builder</w:t>
            </w:r>
          </w:p>
        </w:tc>
        <w:tc>
          <w:tcPr>
            <w:tcW w:type="dxa" w:w="40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Course/Section/Lesson CRUD, drag-drop reorder, draft→publish workflow, media upload to R2, transactional audit</w:t>
            </w:r>
          </w:p>
        </w:tc>
        <w:tc>
          <w:tcPr>
            <w:tcW w:type="dxa" w:w="21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An admin can build and publish a 5-lesson course end-to-end with full audit trail</w:t>
            </w:r>
          </w:p>
        </w:tc>
      </w:tr>
      <w:tr>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S3 — Learning experience</w:t>
            </w:r>
          </w:p>
        </w:tc>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Player &amp; progress</w:t>
            </w:r>
          </w:p>
        </w:tc>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Course player, video lesson, quiz lesson, progress tracking, certificate PDF, idempotency on enrolment/completion</w:t>
            </w:r>
          </w:p>
        </w:tc>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Learner can complete a course and download a certificate; idempotency tested</w:t>
            </w:r>
          </w:p>
        </w:tc>
      </w:tr>
      <w:tr>
        <w:tc>
          <w:tcPr>
            <w:tcW w:type="dxa" w:w="15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S4 — AI tutor</w:t>
            </w:r>
          </w:p>
        </w:tc>
        <w:tc>
          <w:tcPr>
            <w:tcW w:type="dxa" w:w="17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LangGraph + RAG</w:t>
            </w:r>
          </w:p>
        </w:tc>
        <w:tc>
          <w:tcPr>
            <w:tcW w:type="dxa" w:w="40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Embedding pipeline, pgvector retrieval, LangGraph tutor graph, SSE streaming, conversation history, semantic cache</w:t>
            </w:r>
          </w:p>
        </w:tc>
        <w:tc>
          <w:tcPr>
            <w:tcW w:type="dxa" w:w="21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Tutor answers correctly with citations on a 20-question eval set; cache hit rate &gt; 40% on repeat queries</w:t>
            </w:r>
          </w:p>
        </w:tc>
      </w:tr>
      <w:tr>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S5 — Billing &amp; Polish</w:t>
            </w:r>
          </w:p>
        </w:tc>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Self-serve + ship</w:t>
            </w:r>
          </w:p>
        </w:tc>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Stripe checkout, plan gating, branding, analytics MVP, onboarding wizard, marketing site, MCP/observability dashboards</w:t>
            </w:r>
          </w:p>
        </w:tc>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First design-partner can sign up, pay, and run a course end-to-end</w:t>
            </w:r>
          </w:p>
        </w:tc>
      </w:tr>
    </w:tbl>
    <w:p>
      <w:pPr>
        <w:spacing w:after="80"/>
      </w:pPr>
      <w:r>
        <w:t xml:space="preserve"/>
      </w:r>
    </w:p>
    <w:p>
      <w:pPr>
        <w:pStyle w:val="Heading2"/>
        <w:spacing w:after="140" w:before="280"/>
      </w:pPr>
      <w:r>
        <w:rPr>
          <w:rFonts w:ascii="Calibri" w:cs="Calibri" w:eastAsia="Calibri" w:hAnsi="Calibri"/>
          <w:b/>
          <w:bCs/>
          <w:color w:val="2E5C8A"/>
          <w:sz w:val="28"/>
          <w:szCs w:val="28"/>
        </w:rPr>
        <w:t xml:space="preserve">11.2 Phase 2 &amp; Phase 3 Outline</w:t>
      </w:r>
    </w:p>
    <w:p>
      <w:pPr>
        <w:pStyle w:val="Heading3"/>
        <w:spacing w:after="100" w:before="220"/>
      </w:pPr>
      <w:r>
        <w:rPr>
          <w:rFonts w:ascii="Calibri" w:cs="Calibri" w:eastAsia="Calibri" w:hAnsi="Calibri"/>
          <w:b/>
          <w:bCs/>
          <w:color w:val="333333"/>
          <w:sz w:val="24"/>
          <w:szCs w:val="24"/>
        </w:rPr>
        <w:t xml:space="preserve">Phase 2 — Months 4–6</w:t>
      </w:r>
    </w:p>
    <w:p>
      <w:pPr>
        <w:pStyle w:val="ListParagraph"/>
        <w:numPr>
          <w:ilvl w:val="0"/>
          <w:numId w:val="3"/>
        </w:numPr>
        <w:spacing w:after="80" w:line="290"/>
      </w:pPr>
      <w:r>
        <w:rPr>
          <w:rFonts w:ascii="Calibri" w:cs="Calibri" w:eastAsia="Calibri" w:hAnsi="Calibri"/>
          <w:sz w:val="22"/>
          <w:szCs w:val="22"/>
        </w:rPr>
        <w:t xml:space="preserve">M4: SSO (SAML + OIDC), audit log export, advanced analytics.</w:t>
      </w:r>
    </w:p>
    <w:p>
      <w:pPr>
        <w:pStyle w:val="ListParagraph"/>
        <w:numPr>
          <w:ilvl w:val="0"/>
          <w:numId w:val="3"/>
        </w:numPr>
        <w:spacing w:after="80" w:line="290"/>
      </w:pPr>
      <w:r>
        <w:rPr>
          <w:rFonts w:ascii="Calibri" w:cs="Calibri" w:eastAsia="Calibri" w:hAnsi="Calibri"/>
          <w:sz w:val="22"/>
          <w:szCs w:val="22"/>
        </w:rPr>
        <w:t xml:space="preserve">M5: SCORM 1.2 import + xAPI statements, discussion forums.</w:t>
      </w:r>
    </w:p>
    <w:p>
      <w:pPr>
        <w:pStyle w:val="ListParagraph"/>
        <w:numPr>
          <w:ilvl w:val="0"/>
          <w:numId w:val="3"/>
        </w:numPr>
        <w:spacing w:after="80" w:line="290"/>
      </w:pPr>
      <w:r>
        <w:rPr>
          <w:rFonts w:ascii="Calibri" w:cs="Calibri" w:eastAsia="Calibri" w:hAnsi="Calibri"/>
          <w:sz w:val="22"/>
          <w:szCs w:val="22"/>
        </w:rPr>
        <w:t xml:space="preserve">M6: AI-assisted authoring (with verification workflow), Zoom/Meet live-class integration, custom domains.</w:t>
      </w:r>
    </w:p>
    <w:p>
      <w:pPr>
        <w:pStyle w:val="Heading3"/>
        <w:spacing w:after="100" w:before="220"/>
      </w:pPr>
      <w:r>
        <w:rPr>
          <w:rFonts w:ascii="Calibri" w:cs="Calibri" w:eastAsia="Calibri" w:hAnsi="Calibri"/>
          <w:b/>
          <w:bCs/>
          <w:color w:val="333333"/>
          <w:sz w:val="24"/>
          <w:szCs w:val="24"/>
        </w:rPr>
        <w:t xml:space="preserve">Phase 3 — Months 7–9</w:t>
      </w:r>
    </w:p>
    <w:p>
      <w:pPr>
        <w:pStyle w:val="ListParagraph"/>
        <w:numPr>
          <w:ilvl w:val="0"/>
          <w:numId w:val="3"/>
        </w:numPr>
        <w:spacing w:after="80" w:line="290"/>
      </w:pPr>
      <w:r>
        <w:rPr>
          <w:rFonts w:ascii="Calibri" w:cs="Calibri" w:eastAsia="Calibri" w:hAnsi="Calibri"/>
          <w:sz w:val="22"/>
          <w:szCs w:val="22"/>
        </w:rPr>
        <w:t xml:space="preserve">M7: Marketplace foundation (Stripe Connect), public course pages.</w:t>
      </w:r>
    </w:p>
    <w:p>
      <w:pPr>
        <w:pStyle w:val="ListParagraph"/>
        <w:numPr>
          <w:ilvl w:val="0"/>
          <w:numId w:val="3"/>
        </w:numPr>
        <w:spacing w:after="80" w:line="290"/>
      </w:pPr>
      <w:r>
        <w:rPr>
          <w:rFonts w:ascii="Calibri" w:cs="Calibri" w:eastAsia="Calibri" w:hAnsi="Calibri"/>
          <w:sz w:val="22"/>
          <w:szCs w:val="22"/>
        </w:rPr>
        <w:t xml:space="preserve">M8: MCP server release (external AI agent access); agentic AI skills via LangGraph + MCP tools.</w:t>
      </w:r>
    </w:p>
    <w:p>
      <w:pPr>
        <w:pStyle w:val="ListParagraph"/>
        <w:numPr>
          <w:ilvl w:val="0"/>
          <w:numId w:val="3"/>
        </w:numPr>
        <w:spacing w:after="80" w:line="290"/>
      </w:pPr>
      <w:r>
        <w:rPr>
          <w:rFonts w:ascii="Calibri" w:cs="Calibri" w:eastAsia="Calibri" w:hAnsi="Calibri"/>
          <w:sz w:val="22"/>
          <w:szCs w:val="22"/>
        </w:rPr>
        <w:t xml:space="preserve">M9: SOC 2 Type 1 audit period begins, mobile PWA polish.</w:t>
      </w:r>
    </w:p>
    <w:p>
      <w:r>
        <w:br w:type="page"/>
      </w:r>
    </w:p>
    <w:p>
      <w:pPr>
        <w:pStyle w:val="Heading1"/>
        <w:spacing w:after="180" w:before="360"/>
      </w:pPr>
      <w:r>
        <w:rPr>
          <w:rFonts w:ascii="Calibri" w:cs="Calibri" w:eastAsia="Calibri" w:hAnsi="Calibri"/>
          <w:b/>
          <w:bCs/>
          <w:color w:val="1F3A5F"/>
          <w:sz w:val="36"/>
          <w:szCs w:val="36"/>
        </w:rPr>
        <w:t xml:space="preserve">12.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3960"/>
      </w:tblGrid>
      <w:tr>
        <w:trPr>
          <w:tblHeader/>
        </w:trPr>
        <w:tc>
          <w:tcPr>
            <w:tcW w:type="dxa" w:w="300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Risk</w:t>
            </w:r>
          </w:p>
        </w:tc>
        <w:tc>
          <w:tcPr>
            <w:tcW w:type="dxa" w:w="120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Likelihood</w:t>
            </w:r>
          </w:p>
        </w:tc>
        <w:tc>
          <w:tcPr>
            <w:tcW w:type="dxa" w:w="120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Impact</w:t>
            </w:r>
          </w:p>
        </w:tc>
        <w:tc>
          <w:tcPr>
            <w:tcW w:type="dxa" w:w="396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Mitigation</w:t>
            </w:r>
          </w:p>
        </w:tc>
      </w:tr>
      <w:tr>
        <w:tc>
          <w:tcPr>
            <w:tcW w:type="dxa" w:w="30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Scope creep pulls SCORM/live/marketplace into MVP, slipping by months</w:t>
            </w:r>
          </w:p>
        </w:tc>
        <w:tc>
          <w:tcPr>
            <w:tcW w:type="dxa" w:w="12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High</w:t>
            </w:r>
          </w:p>
        </w:tc>
        <w:tc>
          <w:tcPr>
            <w:tcW w:type="dxa" w:w="12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Severe</w:t>
            </w:r>
          </w:p>
        </w:tc>
        <w:tc>
          <w:tcPr>
            <w:tcW w:type="dxa" w:w="39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This Charter explicitly defers them; any change requires written amendment and replanning</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Solo-founder bus factor — illness, burnout, attrition</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Severe</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All knowledge in this repo; ADRs for every key decision; weekly cadence with a trusted advisor</w:t>
            </w:r>
          </w:p>
        </w:tc>
      </w:tr>
      <w:tr>
        <w:tc>
          <w:tcPr>
            <w:tcW w:type="dxa" w:w="30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AI provider cost runaway per tenant</w:t>
            </w:r>
          </w:p>
        </w:tc>
        <w:tc>
          <w:tcPr>
            <w:tcW w:type="dxa" w:w="12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Medium</w:t>
            </w:r>
          </w:p>
        </w:tc>
        <w:tc>
          <w:tcPr>
            <w:tcW w:type="dxa" w:w="12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High</w:t>
            </w:r>
          </w:p>
        </w:tc>
        <w:tc>
          <w:tcPr>
            <w:tcW w:type="dxa" w:w="39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Per-tenant token budgets, hard monthly caps per plan, semantic caching, circuit breaker on error rate &gt;30% (§7.6)</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Cross-tenant data leak (existential)</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Low</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Catastrophic</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Three-layer enforcement (§6), automated cross-tenant tests, external pen test before Phase 3</w:t>
            </w:r>
          </w:p>
        </w:tc>
      </w:tr>
      <w:tr>
        <w:tc>
          <w:tcPr>
            <w:tcW w:type="dxa" w:w="30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Video infrastructure costs (storage, egress, encoding)</w:t>
            </w:r>
          </w:p>
        </w:tc>
        <w:tc>
          <w:tcPr>
            <w:tcW w:type="dxa" w:w="12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High</w:t>
            </w:r>
          </w:p>
        </w:tc>
        <w:tc>
          <w:tcPr>
            <w:tcW w:type="dxa" w:w="12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Medium</w:t>
            </w:r>
          </w:p>
        </w:tc>
        <w:tc>
          <w:tcPr>
            <w:tcW w:type="dxa" w:w="39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Managed Mux/Cloudflare Stream from day one, R2 for storage, per-plan video minutes cap</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Self-serve doesn't convert; market wants sales-led</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High</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Track activation funnel weekly; have an inbound demo path ready; pivot trigger = &lt;2% trial→paid after 200 signups</w:t>
            </w:r>
          </w:p>
        </w:tc>
      </w:tr>
      <w:tr>
        <w:tc>
          <w:tcPr>
            <w:tcW w:type="dxa" w:w="30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Competitor ships similar AI tutor</w:t>
            </w:r>
          </w:p>
        </w:tc>
        <w:tc>
          <w:tcPr>
            <w:tcW w:type="dxa" w:w="12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High</w:t>
            </w:r>
          </w:p>
        </w:tc>
        <w:tc>
          <w:tcPr>
            <w:tcW w:type="dxa" w:w="12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Medium</w:t>
            </w:r>
          </w:p>
        </w:tc>
        <w:tc>
          <w:tcPr>
            <w:tcW w:type="dxa" w:w="39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Differentiate on price + self-serve speed + multi-tenant; defensible moat is execution velocity</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Postgres + pgvector hits scale wall earlier than expected</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Low</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Medium</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Monitor index size and query latency; clear migration path to dedicated vector store (Pinecone, Qdrant) documented in an ADR</w:t>
            </w:r>
          </w:p>
        </w:tc>
      </w:tr>
      <w:tr>
        <w:tc>
          <w:tcPr>
            <w:tcW w:type="dxa" w:w="30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Prompt injection via course content leaks tenant data</w:t>
            </w:r>
          </w:p>
        </w:tc>
        <w:tc>
          <w:tcPr>
            <w:tcW w:type="dxa" w:w="12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Medium</w:t>
            </w:r>
          </w:p>
        </w:tc>
        <w:tc>
          <w:tcPr>
            <w:tcW w:type="dxa" w:w="12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High</w:t>
            </w:r>
          </w:p>
        </w:tc>
        <w:tc>
          <w:tcPr>
            <w:tcW w:type="dxa" w:w="39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Content sanitisation, anonymised retrieval payloads, no tool calls from learner-facing tutor (§7.2), evals for injection resistance</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GDPR complaint from EU customer</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Low</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High</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Data export + delete endpoints from MVP; DPA + sub-processor list published; legal advice on first EU sale</w:t>
            </w:r>
          </w:p>
        </w:tc>
      </w:tr>
    </w:tbl>
    <w:p>
      <w:r>
        <w:br w:type="page"/>
      </w:r>
    </w:p>
    <w:p>
      <w:pPr>
        <w:pStyle w:val="Heading1"/>
        <w:spacing w:after="180" w:before="360"/>
      </w:pPr>
      <w:r>
        <w:rPr>
          <w:rFonts w:ascii="Calibri" w:cs="Calibri" w:eastAsia="Calibri" w:hAnsi="Calibri"/>
          <w:b/>
          <w:bCs/>
          <w:color w:val="1F3A5F"/>
          <w:sz w:val="36"/>
          <w:szCs w:val="36"/>
        </w:rPr>
        <w:t xml:space="preserve">13. Operations &amp; Observability</w:t>
      </w:r>
    </w:p>
    <w:p>
      <w:pPr>
        <w:pStyle w:val="Heading2"/>
        <w:spacing w:after="140" w:before="280"/>
      </w:pPr>
      <w:r>
        <w:rPr>
          <w:rFonts w:ascii="Calibri" w:cs="Calibri" w:eastAsia="Calibri" w:hAnsi="Calibri"/>
          <w:b/>
          <w:bCs/>
          <w:color w:val="2E5C8A"/>
          <w:sz w:val="28"/>
          <w:szCs w:val="28"/>
        </w:rPr>
        <w:t xml:space="preserve">13.1 Environments</w:t>
      </w:r>
    </w:p>
    <w:p>
      <w:pPr>
        <w:pStyle w:val="ListParagraph"/>
        <w:numPr>
          <w:ilvl w:val="0"/>
          <w:numId w:val="2"/>
        </w:numPr>
        <w:spacing w:after="60" w:line="290"/>
      </w:pPr>
      <w:r>
        <w:rPr>
          <w:rFonts w:ascii="Calibri" w:cs="Calibri" w:eastAsia="Calibri" w:hAnsi="Calibri"/>
          <w:sz w:val="22"/>
          <w:szCs w:val="22"/>
        </w:rPr>
        <w:t xml:space="preserve">local — docker-compose: api, web, postgres, redis, worker. Seeded with a demo tenant and demo accounts.</w:t>
      </w:r>
    </w:p>
    <w:p>
      <w:pPr>
        <w:pStyle w:val="ListParagraph"/>
        <w:numPr>
          <w:ilvl w:val="0"/>
          <w:numId w:val="2"/>
        </w:numPr>
        <w:spacing w:after="60" w:line="290"/>
      </w:pPr>
      <w:r>
        <w:rPr>
          <w:rFonts w:ascii="Calibri" w:cs="Calibri" w:eastAsia="Calibri" w:hAnsi="Calibri"/>
          <w:sz w:val="22"/>
          <w:szCs w:val="22"/>
        </w:rPr>
        <w:t xml:space="preserve">staging — autodeploy from main. Production-equivalent infrastructure at minimum size. Stripe test mode.</w:t>
      </w:r>
    </w:p>
    <w:p>
      <w:pPr>
        <w:pStyle w:val="ListParagraph"/>
        <w:numPr>
          <w:ilvl w:val="0"/>
          <w:numId w:val="2"/>
        </w:numPr>
        <w:spacing w:after="60" w:line="290"/>
      </w:pPr>
      <w:r>
        <w:rPr>
          <w:rFonts w:ascii="Calibri" w:cs="Calibri" w:eastAsia="Calibri" w:hAnsi="Calibri"/>
          <w:sz w:val="22"/>
          <w:szCs w:val="22"/>
        </w:rPr>
        <w:t xml:space="preserve">production — deploy on tag. Stripe live. Real customer data.</w:t>
      </w:r>
    </w:p>
    <w:p>
      <w:pPr>
        <w:pStyle w:val="Heading2"/>
        <w:spacing w:after="140" w:before="280"/>
      </w:pPr>
      <w:r>
        <w:rPr>
          <w:rFonts w:ascii="Calibri" w:cs="Calibri" w:eastAsia="Calibri" w:hAnsi="Calibri"/>
          <w:b/>
          <w:bCs/>
          <w:color w:val="2E5C8A"/>
          <w:sz w:val="28"/>
          <w:szCs w:val="28"/>
        </w:rPr>
        <w:t xml:space="preserve">13.2 Observability</w:t>
      </w:r>
    </w:p>
    <w:p>
      <w:pPr>
        <w:pStyle w:val="ListParagraph"/>
        <w:numPr>
          <w:ilvl w:val="0"/>
          <w:numId w:val="2"/>
        </w:numPr>
        <w:spacing w:after="60" w:line="290"/>
      </w:pPr>
      <w:r>
        <w:rPr>
          <w:rFonts w:ascii="Calibri" w:cs="Calibri" w:eastAsia="Calibri" w:hAnsi="Calibri"/>
          <w:sz w:val="22"/>
          <w:szCs w:val="22"/>
        </w:rPr>
        <w:t xml:space="preserve">Logs: structured JSON via structlog, shipped to Grafana Loki or Axiom. Retention 30 days. PII redaction processor in the pipeline.</w:t>
      </w:r>
    </w:p>
    <w:p>
      <w:pPr>
        <w:pStyle w:val="ListParagraph"/>
        <w:numPr>
          <w:ilvl w:val="0"/>
          <w:numId w:val="2"/>
        </w:numPr>
        <w:spacing w:after="60" w:line="290"/>
      </w:pPr>
      <w:r>
        <w:rPr>
          <w:rFonts w:ascii="Calibri" w:cs="Calibri" w:eastAsia="Calibri" w:hAnsi="Calibri"/>
          <w:sz w:val="22"/>
          <w:szCs w:val="22"/>
        </w:rPr>
        <w:t xml:space="preserve">Metrics: OpenTelemetry → Prometheus/Grafana. Golden signals (latency, traffic, errors, saturation) on every endpoint group.</w:t>
      </w:r>
    </w:p>
    <w:p>
      <w:pPr>
        <w:pStyle w:val="ListParagraph"/>
        <w:numPr>
          <w:ilvl w:val="0"/>
          <w:numId w:val="2"/>
        </w:numPr>
        <w:spacing w:after="60" w:line="290"/>
      </w:pPr>
      <w:r>
        <w:rPr>
          <w:rFonts w:ascii="Calibri" w:cs="Calibri" w:eastAsia="Calibri" w:hAnsi="Calibri"/>
          <w:sz w:val="22"/>
          <w:szCs w:val="22"/>
        </w:rPr>
        <w:t xml:space="preserve">Traces: OpenTelemetry, full sampling in staging, 10% in production. AI calls always traced (cost &amp; latency).</w:t>
      </w:r>
    </w:p>
    <w:p>
      <w:pPr>
        <w:pStyle w:val="ListParagraph"/>
        <w:numPr>
          <w:ilvl w:val="0"/>
          <w:numId w:val="2"/>
        </w:numPr>
        <w:spacing w:after="60" w:line="290"/>
      </w:pPr>
      <w:r>
        <w:rPr>
          <w:rFonts w:ascii="Calibri" w:cs="Calibri" w:eastAsia="Calibri" w:hAnsi="Calibri"/>
          <w:sz w:val="22"/>
          <w:szCs w:val="22"/>
        </w:rPr>
        <w:t xml:space="preserve">Errors: Sentry, with tenant_id, actor_id, request_id as default tags.</w:t>
      </w:r>
    </w:p>
    <w:p>
      <w:pPr>
        <w:pStyle w:val="ListParagraph"/>
        <w:numPr>
          <w:ilvl w:val="0"/>
          <w:numId w:val="2"/>
        </w:numPr>
        <w:spacing w:after="60" w:line="290"/>
      </w:pPr>
      <w:r>
        <w:rPr>
          <w:rFonts w:ascii="Calibri" w:cs="Calibri" w:eastAsia="Calibri" w:hAnsi="Calibri"/>
          <w:sz w:val="22"/>
          <w:szCs w:val="22"/>
        </w:rPr>
        <w:t xml:space="preserve">AI-specific: LangSmith for graph traces, prompt versions, token usage per tenant.</w:t>
      </w:r>
    </w:p>
    <w:p>
      <w:pPr>
        <w:pStyle w:val="ListParagraph"/>
        <w:numPr>
          <w:ilvl w:val="0"/>
          <w:numId w:val="2"/>
        </w:numPr>
        <w:spacing w:after="60" w:line="290"/>
      </w:pPr>
      <w:r>
        <w:rPr>
          <w:rFonts w:ascii="Calibri" w:cs="Calibri" w:eastAsia="Calibri" w:hAnsi="Calibri"/>
          <w:sz w:val="22"/>
          <w:szCs w:val="22"/>
        </w:rPr>
        <w:t xml:space="preserve">Uptime: external probe (Better Stack or Checkly) on the marketing site and /healthz endpoint.</w:t>
      </w:r>
    </w:p>
    <w:p>
      <w:pPr>
        <w:pStyle w:val="Heading2"/>
        <w:spacing w:after="140" w:before="280"/>
      </w:pPr>
      <w:r>
        <w:rPr>
          <w:rFonts w:ascii="Calibri" w:cs="Calibri" w:eastAsia="Calibri" w:hAnsi="Calibri"/>
          <w:b/>
          <w:bCs/>
          <w:color w:val="2E5C8A"/>
          <w:sz w:val="28"/>
          <w:szCs w:val="28"/>
        </w:rPr>
        <w:t xml:space="preserve">13.3 Incident Response</w:t>
      </w:r>
    </w:p>
    <w:p>
      <w:pPr>
        <w:pStyle w:val="ListParagraph"/>
        <w:numPr>
          <w:ilvl w:val="0"/>
          <w:numId w:val="2"/>
        </w:numPr>
        <w:spacing w:after="60" w:line="290"/>
      </w:pPr>
      <w:r>
        <w:rPr>
          <w:rFonts w:ascii="Calibri" w:cs="Calibri" w:eastAsia="Calibri" w:hAnsi="Calibri"/>
          <w:b/>
          <w:bCs/>
          <w:sz w:val="22"/>
          <w:szCs w:val="22"/>
        </w:rPr>
        <w:t xml:space="preserve">Severity ladder</w:t>
      </w:r>
      <w:r>
        <w:rPr>
          <w:rFonts w:ascii="Calibri" w:cs="Calibri" w:eastAsia="Calibri" w:hAnsi="Calibri"/>
          <w:sz w:val="22"/>
          <w:szCs w:val="22"/>
        </w:rPr>
        <w:t xml:space="preserve">: P1 (down / data integrity) → page; P2 (degraded) → notify; P3 (cosmetic) → next-day.</w:t>
      </w:r>
    </w:p>
    <w:p>
      <w:pPr>
        <w:pStyle w:val="ListParagraph"/>
        <w:numPr>
          <w:ilvl w:val="0"/>
          <w:numId w:val="2"/>
        </w:numPr>
        <w:spacing w:after="60" w:line="290"/>
      </w:pPr>
      <w:r>
        <w:rPr>
          <w:rFonts w:ascii="Calibri" w:cs="Calibri" w:eastAsia="Calibri" w:hAnsi="Calibri"/>
          <w:sz w:val="22"/>
          <w:szCs w:val="22"/>
        </w:rPr>
        <w:t xml:space="preserve">Runbook for each common P1: database failover, Redis outage, Stripe webhook backlog, abuse spike, AI cost spike, MCP agent abuse.</w:t>
      </w:r>
    </w:p>
    <w:p>
      <w:pPr>
        <w:pStyle w:val="ListParagraph"/>
        <w:numPr>
          <w:ilvl w:val="0"/>
          <w:numId w:val="2"/>
        </w:numPr>
        <w:spacing w:after="60" w:line="290"/>
      </w:pPr>
      <w:r>
        <w:rPr>
          <w:rFonts w:ascii="Calibri" w:cs="Calibri" w:eastAsia="Calibri" w:hAnsi="Calibri"/>
          <w:sz w:val="22"/>
          <w:szCs w:val="22"/>
        </w:rPr>
        <w:t xml:space="preserve">Public status page (status.omnixtra.app) from Phase 2 onward.</w:t>
      </w:r>
    </w:p>
    <w:p>
      <w:pPr>
        <w:pStyle w:val="ListParagraph"/>
        <w:numPr>
          <w:ilvl w:val="0"/>
          <w:numId w:val="2"/>
        </w:numPr>
        <w:spacing w:after="60" w:line="290"/>
      </w:pPr>
      <w:r>
        <w:rPr>
          <w:rFonts w:ascii="Calibri" w:cs="Calibri" w:eastAsia="Calibri" w:hAnsi="Calibri"/>
          <w:sz w:val="22"/>
          <w:szCs w:val="22"/>
        </w:rPr>
        <w:t xml:space="preserve">Blameless postmortems for any P1 within 5 business days.</w:t>
      </w:r>
    </w:p>
    <w:p>
      <w:pPr>
        <w:pStyle w:val="Heading2"/>
        <w:spacing w:after="140" w:before="280"/>
      </w:pPr>
      <w:r>
        <w:rPr>
          <w:rFonts w:ascii="Calibri" w:cs="Calibri" w:eastAsia="Calibri" w:hAnsi="Calibri"/>
          <w:b/>
          <w:bCs/>
          <w:color w:val="2E5C8A"/>
          <w:sz w:val="28"/>
          <w:szCs w:val="28"/>
        </w:rPr>
        <w:t xml:space="preserve">13.4 On-Call (post-launch)</w:t>
      </w:r>
    </w:p>
    <w:p>
      <w:pPr>
        <w:pStyle w:val="ListParagraph"/>
        <w:numPr>
          <w:ilvl w:val="0"/>
          <w:numId w:val="2"/>
        </w:numPr>
        <w:spacing w:after="60" w:line="290"/>
      </w:pPr>
      <w:r>
        <w:rPr>
          <w:rFonts w:ascii="Calibri" w:cs="Calibri" w:eastAsia="Calibri" w:hAnsi="Calibri"/>
          <w:sz w:val="22"/>
          <w:szCs w:val="22"/>
        </w:rPr>
        <w:t xml:space="preserve">MVP: solo founder is on-call. Hard 'do not page' windows configured; automated escalation only after 2 alerts in 15 minutes.</w:t>
      </w:r>
    </w:p>
    <w:p>
      <w:pPr>
        <w:pStyle w:val="ListParagraph"/>
        <w:numPr>
          <w:ilvl w:val="0"/>
          <w:numId w:val="2"/>
        </w:numPr>
        <w:spacing w:after="60" w:line="290"/>
      </w:pPr>
      <w:r>
        <w:rPr>
          <w:rFonts w:ascii="Calibri" w:cs="Calibri" w:eastAsia="Calibri" w:hAnsi="Calibri"/>
          <w:sz w:val="22"/>
          <w:szCs w:val="22"/>
        </w:rPr>
        <w:t xml:space="preserve">Phase 2+: hire a second engineer; share on-call weekly.</w:t>
      </w:r>
    </w:p>
    <w:p>
      <w:r>
        <w:br w:type="page"/>
      </w:r>
    </w:p>
    <w:p>
      <w:pPr>
        <w:pStyle w:val="Heading1"/>
        <w:spacing w:after="180" w:before="360"/>
      </w:pPr>
      <w:r>
        <w:rPr>
          <w:rFonts w:ascii="Calibri" w:cs="Calibri" w:eastAsia="Calibri" w:hAnsi="Calibri"/>
          <w:b/>
          <w:bCs/>
          <w:color w:val="1F3A5F"/>
          <w:sz w:val="36"/>
          <w:szCs w:val="36"/>
        </w:rPr>
        <w:t xml:space="preserve">14. Budget &amp; Pricing</w:t>
      </w:r>
    </w:p>
    <w:p>
      <w:pPr>
        <w:pStyle w:val="Heading2"/>
        <w:spacing w:after="140" w:before="280"/>
      </w:pPr>
      <w:r>
        <w:rPr>
          <w:rFonts w:ascii="Calibri" w:cs="Calibri" w:eastAsia="Calibri" w:hAnsi="Calibri"/>
          <w:b/>
          <w:bCs/>
          <w:color w:val="2E5C8A"/>
          <w:sz w:val="28"/>
          <w:szCs w:val="28"/>
        </w:rPr>
        <w:t xml:space="preserve">14.1 Monthly Infrastructure Cost (Estimates)</w:t>
      </w:r>
    </w:p>
    <w:p>
      <w:pPr>
        <w:spacing w:after="120" w:line="300"/>
      </w:pPr>
      <w:r>
        <w:rPr>
          <w:rFonts w:ascii="Calibri" w:cs="Calibri" w:eastAsia="Calibri" w:hAnsi="Calibri"/>
          <w:sz w:val="22"/>
          <w:szCs w:val="22"/>
        </w:rPr>
        <w:t xml:space="preserve">All figures USD. Estimates assume MVP through ~50 tenants.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080"/>
        <w:gridCol w:w="2080"/>
      </w:tblGrid>
      <w:tr>
        <w:trPr>
          <w:tblHeader/>
        </w:trPr>
        <w:tc>
          <w:tcPr>
            <w:tcW w:type="dxa" w:w="280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Component</w:t>
            </w:r>
          </w:p>
        </w:tc>
        <w:tc>
          <w:tcPr>
            <w:tcW w:type="dxa" w:w="240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Provider</w:t>
            </w:r>
          </w:p>
        </w:tc>
        <w:tc>
          <w:tcPr>
            <w:tcW w:type="dxa" w:w="208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MVP cost / mo</w:t>
            </w:r>
          </w:p>
        </w:tc>
        <w:tc>
          <w:tcPr>
            <w:tcW w:type="dxa" w:w="208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At 50 tenants / mo</w:t>
            </w:r>
          </w:p>
        </w:tc>
      </w:tr>
      <w:tr>
        <w:tc>
          <w:tcPr>
            <w:tcW w:type="dxa" w:w="28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Backend hosting</w:t>
            </w:r>
          </w:p>
        </w:tc>
        <w:tc>
          <w:tcPr>
            <w:tcW w:type="dxa" w:w="24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Fly.io / Railway</w:t>
            </w:r>
          </w:p>
        </w:tc>
        <w:tc>
          <w:tcPr>
            <w:tcW w:type="dxa" w:w="208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$25</w:t>
            </w:r>
          </w:p>
        </w:tc>
        <w:tc>
          <w:tcPr>
            <w:tcW w:type="dxa" w:w="208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$150</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Frontend hosting</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Vercel</w:t>
            </w:r>
          </w:p>
        </w:tc>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$0–20</w:t>
            </w:r>
          </w:p>
        </w:tc>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$20–60</w:t>
            </w:r>
          </w:p>
        </w:tc>
      </w:tr>
      <w:tr>
        <w:tc>
          <w:tcPr>
            <w:tcW w:type="dxa" w:w="28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Postgres + pgvector</w:t>
            </w:r>
          </w:p>
        </w:tc>
        <w:tc>
          <w:tcPr>
            <w:tcW w:type="dxa" w:w="24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Neon / Supabase</w:t>
            </w:r>
          </w:p>
        </w:tc>
        <w:tc>
          <w:tcPr>
            <w:tcW w:type="dxa" w:w="208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$25</w:t>
            </w:r>
          </w:p>
        </w:tc>
        <w:tc>
          <w:tcPr>
            <w:tcW w:type="dxa" w:w="208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$100–200</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Redis</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Upstash</w:t>
            </w:r>
          </w:p>
        </w:tc>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$0–10</w:t>
            </w:r>
          </w:p>
        </w:tc>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$30</w:t>
            </w:r>
          </w:p>
        </w:tc>
      </w:tr>
      <w:tr>
        <w:tc>
          <w:tcPr>
            <w:tcW w:type="dxa" w:w="28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Object storage</w:t>
            </w:r>
          </w:p>
        </w:tc>
        <w:tc>
          <w:tcPr>
            <w:tcW w:type="dxa" w:w="24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Cloudflare R2</w:t>
            </w:r>
          </w:p>
        </w:tc>
        <w:tc>
          <w:tcPr>
            <w:tcW w:type="dxa" w:w="208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$5</w:t>
            </w:r>
          </w:p>
        </w:tc>
        <w:tc>
          <w:tcPr>
            <w:tcW w:type="dxa" w:w="208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$30</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Video (Mux/Cloudflare Stream)</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Mux</w:t>
            </w:r>
          </w:p>
        </w:tc>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$20</w:t>
            </w:r>
          </w:p>
        </w:tc>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$200–600 (highly variable)</w:t>
            </w:r>
          </w:p>
        </w:tc>
      </w:tr>
      <w:tr>
        <w:tc>
          <w:tcPr>
            <w:tcW w:type="dxa" w:w="28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LLM API (OpenAI/Anthropic)</w:t>
            </w:r>
          </w:p>
        </w:tc>
        <w:tc>
          <w:tcPr>
            <w:tcW w:type="dxa" w:w="24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w:t>
            </w:r>
          </w:p>
        </w:tc>
        <w:tc>
          <w:tcPr>
            <w:tcW w:type="dxa" w:w="208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$50–150</w:t>
            </w:r>
          </w:p>
        </w:tc>
        <w:tc>
          <w:tcPr>
            <w:tcW w:type="dxa" w:w="208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$400–1500</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LangSmith</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LangChain</w:t>
            </w:r>
          </w:p>
        </w:tc>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$0</w:t>
            </w:r>
          </w:p>
        </w:tc>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$39–99</w:t>
            </w:r>
          </w:p>
        </w:tc>
      </w:tr>
      <w:tr>
        <w:tc>
          <w:tcPr>
            <w:tcW w:type="dxa" w:w="28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Email</w:t>
            </w:r>
          </w:p>
        </w:tc>
        <w:tc>
          <w:tcPr>
            <w:tcW w:type="dxa" w:w="24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Resend</w:t>
            </w:r>
          </w:p>
        </w:tc>
        <w:tc>
          <w:tcPr>
            <w:tcW w:type="dxa" w:w="208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$0–20</w:t>
            </w:r>
          </w:p>
        </w:tc>
        <w:tc>
          <w:tcPr>
            <w:tcW w:type="dxa" w:w="208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$50</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Error tracking</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Sentry</w:t>
            </w:r>
          </w:p>
        </w:tc>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$0–26</w:t>
            </w:r>
          </w:p>
        </w:tc>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$26</w:t>
            </w:r>
          </w:p>
        </w:tc>
      </w:tr>
      <w:tr>
        <w:tc>
          <w:tcPr>
            <w:tcW w:type="dxa" w:w="28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Logs/metrics</w:t>
            </w:r>
          </w:p>
        </w:tc>
        <w:tc>
          <w:tcPr>
            <w:tcW w:type="dxa" w:w="24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Axiom or Grafana Cloud</w:t>
            </w:r>
          </w:p>
        </w:tc>
        <w:tc>
          <w:tcPr>
            <w:tcW w:type="dxa" w:w="208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$0–25</w:t>
            </w:r>
          </w:p>
        </w:tc>
        <w:tc>
          <w:tcPr>
            <w:tcW w:type="dxa" w:w="208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$50</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Domain + DNS + WAF</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Cloudflare</w:t>
            </w:r>
          </w:p>
        </w:tc>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$2</w:t>
            </w:r>
          </w:p>
        </w:tc>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$2</w:t>
            </w:r>
          </w:p>
        </w:tc>
      </w:tr>
      <w:tr>
        <w:tc>
          <w:tcPr>
            <w:tcW w:type="dxa" w:w="28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TOTAL (approx)</w:t>
            </w:r>
          </w:p>
        </w:tc>
        <w:tc>
          <w:tcPr>
            <w:tcW w:type="dxa" w:w="24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
            </w:r>
          </w:p>
        </w:tc>
        <w:tc>
          <w:tcPr>
            <w:tcW w:type="dxa" w:w="208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$150–300</w:t>
            </w:r>
          </w:p>
        </w:tc>
        <w:tc>
          <w:tcPr>
            <w:tcW w:type="dxa" w:w="208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$1,150–2,900</w:t>
            </w:r>
          </w:p>
        </w:tc>
      </w:tr>
    </w:tbl>
    <w:p>
      <w:pPr>
        <w:spacing w:after="80"/>
      </w:pPr>
      <w:r>
        <w:t xml:space="preserve"/>
      </w:r>
    </w:p>
    <w:p>
      <w:pPr>
        <w:pStyle w:val="Heading2"/>
        <w:spacing w:after="140" w:before="280"/>
      </w:pPr>
      <w:r>
        <w:rPr>
          <w:rFonts w:ascii="Calibri" w:cs="Calibri" w:eastAsia="Calibri" w:hAnsi="Calibri"/>
          <w:b/>
          <w:bCs/>
          <w:color w:val="2E5C8A"/>
          <w:sz w:val="28"/>
          <w:szCs w:val="28"/>
        </w:rPr>
        <w:t xml:space="preserve">14.2 Pricing Model (Initial Hypothesis)</w:t>
      </w:r>
    </w:p>
    <w:p>
      <w:pPr>
        <w:pStyle w:val="ListParagraph"/>
        <w:numPr>
          <w:ilvl w:val="0"/>
          <w:numId w:val="2"/>
        </w:numPr>
        <w:spacing w:after="60" w:line="290"/>
      </w:pPr>
      <w:r>
        <w:rPr>
          <w:rFonts w:ascii="Calibri" w:cs="Calibri" w:eastAsia="Calibri" w:hAnsi="Calibri"/>
          <w:b/>
          <w:bCs/>
          <w:sz w:val="22"/>
          <w:szCs w:val="22"/>
        </w:rPr>
        <w:t xml:space="preserve">Starter</w:t>
      </w:r>
      <w:r>
        <w:rPr>
          <w:rFonts w:ascii="Calibri" w:cs="Calibri" w:eastAsia="Calibri" w:hAnsi="Calibri"/>
          <w:sz w:val="22"/>
          <w:szCs w:val="22"/>
        </w:rPr>
        <w:t xml:space="preserve"> — $49/mo, 3 admin seats, 50 learners, 10 GB video, AI tutor included, OmniXtra branding visible.</w:t>
      </w:r>
    </w:p>
    <w:p>
      <w:pPr>
        <w:pStyle w:val="ListParagraph"/>
        <w:numPr>
          <w:ilvl w:val="0"/>
          <w:numId w:val="2"/>
        </w:numPr>
        <w:spacing w:after="60" w:line="290"/>
      </w:pPr>
      <w:r>
        <w:rPr>
          <w:rFonts w:ascii="Calibri" w:cs="Calibri" w:eastAsia="Calibri" w:hAnsi="Calibri"/>
          <w:b/>
          <w:bCs/>
          <w:sz w:val="22"/>
          <w:szCs w:val="22"/>
        </w:rPr>
        <w:t xml:space="preserve">Growth</w:t>
      </w:r>
      <w:r>
        <w:rPr>
          <w:rFonts w:ascii="Calibri" w:cs="Calibri" w:eastAsia="Calibri" w:hAnsi="Calibri"/>
          <w:sz w:val="22"/>
          <w:szCs w:val="22"/>
        </w:rPr>
        <w:t xml:space="preserve"> — $149/mo, 10 admin seats, 250 learners, 50 GB video, custom branding, SSO (Phase 2), priority support.</w:t>
      </w:r>
    </w:p>
    <w:p>
      <w:pPr>
        <w:pStyle w:val="ListParagraph"/>
        <w:numPr>
          <w:ilvl w:val="0"/>
          <w:numId w:val="2"/>
        </w:numPr>
        <w:spacing w:after="60" w:line="290"/>
      </w:pPr>
      <w:r>
        <w:rPr>
          <w:rFonts w:ascii="Calibri" w:cs="Calibri" w:eastAsia="Calibri" w:hAnsi="Calibri"/>
          <w:b/>
          <w:bCs/>
          <w:sz w:val="22"/>
          <w:szCs w:val="22"/>
        </w:rPr>
        <w:t xml:space="preserve">Business</w:t>
      </w:r>
      <w:r>
        <w:rPr>
          <w:rFonts w:ascii="Calibri" w:cs="Calibri" w:eastAsia="Calibri" w:hAnsi="Calibri"/>
          <w:sz w:val="22"/>
          <w:szCs w:val="22"/>
        </w:rPr>
        <w:t xml:space="preserve"> — $399/mo, 25 admin seats, 1000 learners, 200 GB, audit logs, SAML SSO, SCORM import.</w:t>
      </w:r>
    </w:p>
    <w:p>
      <w:pPr>
        <w:pStyle w:val="ListParagraph"/>
        <w:numPr>
          <w:ilvl w:val="0"/>
          <w:numId w:val="2"/>
        </w:numPr>
        <w:spacing w:after="60" w:line="290"/>
      </w:pPr>
      <w:r>
        <w:rPr>
          <w:rFonts w:ascii="Calibri" w:cs="Calibri" w:eastAsia="Calibri" w:hAnsi="Calibri"/>
          <w:b/>
          <w:bCs/>
          <w:sz w:val="22"/>
          <w:szCs w:val="22"/>
        </w:rPr>
        <w:t xml:space="preserve">Enterprise</w:t>
      </w:r>
      <w:r>
        <w:rPr>
          <w:rFonts w:ascii="Calibri" w:cs="Calibri" w:eastAsia="Calibri" w:hAnsi="Calibri"/>
          <w:sz w:val="22"/>
          <w:szCs w:val="22"/>
        </w:rPr>
        <w:t xml:space="preserve"> — Custom pricing, sales-led, DPA + custom contract, dedicated support.</w:t>
      </w:r>
    </w:p>
    <w:p>
      <w:pPr>
        <w:spacing w:after="80"/>
      </w:pPr>
      <w:r>
        <w:t xml:space="preserve"/>
      </w:r>
    </w:p>
    <w:p>
      <w:pPr>
        <w:spacing w:after="120" w:line="300"/>
      </w:pPr>
      <w:r>
        <w:rPr>
          <w:rFonts w:ascii="Calibri" w:cs="Calibri" w:eastAsia="Calibri" w:hAnsi="Calibri"/>
          <w:sz w:val="22"/>
          <w:szCs w:val="22"/>
        </w:rPr>
        <w:t xml:space="preserve">All paid plans include a 14-day free trial; no credit card required to start the trial.</w:t>
      </w:r>
    </w:p>
    <w:p>
      <w:r>
        <w:br w:type="page"/>
      </w:r>
    </w:p>
    <w:p>
      <w:pPr>
        <w:pStyle w:val="Heading1"/>
        <w:spacing w:after="180" w:before="360"/>
      </w:pPr>
      <w:r>
        <w:rPr>
          <w:rFonts w:ascii="Calibri" w:cs="Calibri" w:eastAsia="Calibri" w:hAnsi="Calibri"/>
          <w:b/>
          <w:bCs/>
          <w:color w:val="1F3A5F"/>
          <w:sz w:val="36"/>
          <w:szCs w:val="36"/>
        </w:rPr>
        <w:t xml:space="preserve">15. Governance &amp; Decisions</w:t>
      </w:r>
    </w:p>
    <w:p>
      <w:pPr>
        <w:pStyle w:val="Heading2"/>
        <w:spacing w:after="140" w:before="280"/>
      </w:pPr>
      <w:r>
        <w:rPr>
          <w:rFonts w:ascii="Calibri" w:cs="Calibri" w:eastAsia="Calibri" w:hAnsi="Calibri"/>
          <w:b/>
          <w:bCs/>
          <w:color w:val="2E5C8A"/>
          <w:sz w:val="28"/>
          <w:szCs w:val="28"/>
        </w:rPr>
        <w:t xml:space="preserve">15.1 Decision Log</w:t>
      </w:r>
    </w:p>
    <w:p>
      <w:pPr>
        <w:spacing w:after="120" w:line="300"/>
      </w:pPr>
      <w:r>
        <w:rPr>
          <w:rFonts w:ascii="Calibri" w:cs="Calibri" w:eastAsia="Calibri" w:hAnsi="Calibri"/>
          <w:sz w:val="22"/>
          <w:szCs w:val="22"/>
        </w:rPr>
        <w:t xml:space="preserve">Material decisions made in this document, captured for traceability. Each will graduate to its own ADR in /docs/adr/ at kickoff.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5060"/>
      </w:tblGrid>
      <w:tr>
        <w:trPr>
          <w:tblHeader/>
        </w:trPr>
        <w:tc>
          <w:tcPr>
            <w:tcW w:type="dxa" w:w="80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w:t>
            </w:r>
          </w:p>
        </w:tc>
        <w:tc>
          <w:tcPr>
            <w:tcW w:type="dxa" w:w="350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Decision</w:t>
            </w:r>
          </w:p>
        </w:tc>
        <w:tc>
          <w:tcPr>
            <w:tcW w:type="dxa" w:w="506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Rationale (summary)</w:t>
            </w:r>
          </w:p>
        </w:tc>
      </w:tr>
      <w:tr>
        <w:tc>
          <w:tcPr>
            <w:tcW w:type="dxa" w:w="8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D-001</w:t>
            </w:r>
          </w:p>
        </w:tc>
        <w:tc>
          <w:tcPr>
            <w:tcW w:type="dxa" w:w="35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Modular monolith, not microservices</w:t>
            </w:r>
          </w:p>
        </w:tc>
        <w:tc>
          <w:tcPr>
            <w:tcW w:type="dxa" w:w="50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Cognitive load, deployment simplicity, team size; design for extraction not distribution</w:t>
            </w:r>
          </w:p>
        </w:tc>
      </w:tr>
      <w:tr>
        <w:tc>
          <w:tcPr>
            <w:tcW w:type="dxa" w:w="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D-002</w:t>
            </w:r>
          </w:p>
        </w:tc>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Shared-DB + 3-layer tenant isolation</w:t>
            </w:r>
          </w:p>
        </w:tc>
        <w:tc>
          <w:tcPr>
            <w:tcW w:type="dxa" w:w="50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Middleware + ORM filter + RLS; right model for SMB self-serve scale</w:t>
            </w:r>
          </w:p>
        </w:tc>
      </w:tr>
      <w:tr>
        <w:tc>
          <w:tcPr>
            <w:tcW w:type="dxa" w:w="8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D-003</w:t>
            </w:r>
          </w:p>
        </w:tc>
        <w:tc>
          <w:tcPr>
            <w:tcW w:type="dxa" w:w="35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Dramatiq for jobs (not Celery)</w:t>
            </w:r>
          </w:p>
        </w:tc>
        <w:tc>
          <w:tcPr>
            <w:tcW w:type="dxa" w:w="50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Reliable, simpler, production-ready</w:t>
            </w:r>
          </w:p>
        </w:tc>
      </w:tr>
      <w:tr>
        <w:tc>
          <w:tcPr>
            <w:tcW w:type="dxa" w:w="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D-004</w:t>
            </w:r>
          </w:p>
        </w:tc>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pgvector (not Pinecone) for v1</w:t>
            </w:r>
          </w:p>
        </w:tc>
        <w:tc>
          <w:tcPr>
            <w:tcW w:type="dxa" w:w="50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One fewer datastore; migration path documented</w:t>
            </w:r>
          </w:p>
        </w:tc>
      </w:tr>
      <w:tr>
        <w:tc>
          <w:tcPr>
            <w:tcW w:type="dxa" w:w="8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D-005</w:t>
            </w:r>
          </w:p>
        </w:tc>
        <w:tc>
          <w:tcPr>
            <w:tcW w:type="dxa" w:w="35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Fly.io/Vercel/Neon (not AWS) for v1</w:t>
            </w:r>
          </w:p>
        </w:tc>
        <w:tc>
          <w:tcPr>
            <w:tcW w:type="dxa" w:w="50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Operationally feasible solo; portable later</w:t>
            </w:r>
          </w:p>
        </w:tc>
      </w:tr>
      <w:tr>
        <w:tc>
          <w:tcPr>
            <w:tcW w:type="dxa" w:w="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D-006</w:t>
            </w:r>
          </w:p>
        </w:tc>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Mux/Cloudflare Stream (not DIY ffmpeg)</w:t>
            </w:r>
          </w:p>
        </w:tc>
        <w:tc>
          <w:tcPr>
            <w:tcW w:type="dxa" w:w="50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Time saved &gt;&gt; cost; revisit at scale</w:t>
            </w:r>
          </w:p>
        </w:tc>
      </w:tr>
      <w:tr>
        <w:tc>
          <w:tcPr>
            <w:tcW w:type="dxa" w:w="8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D-007</w:t>
            </w:r>
          </w:p>
        </w:tc>
        <w:tc>
          <w:tcPr>
            <w:tcW w:type="dxa" w:w="35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PWA only, no native apps in v1/v2</w:t>
            </w:r>
          </w:p>
        </w:tc>
        <w:tc>
          <w:tcPr>
            <w:tcW w:type="dxa" w:w="50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Coverage vs cost; revisit at DAU &gt; 10k</w:t>
            </w:r>
          </w:p>
        </w:tc>
      </w:tr>
      <w:tr>
        <w:tc>
          <w:tcPr>
            <w:tcW w:type="dxa" w:w="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D-008</w:t>
            </w:r>
          </w:p>
        </w:tc>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SCORM/xAPI deferred to Phase 2</w:t>
            </w:r>
          </w:p>
        </w:tc>
        <w:tc>
          <w:tcPr>
            <w:tcW w:type="dxa" w:w="50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Not a v1 blocker for target persona</w:t>
            </w:r>
          </w:p>
        </w:tc>
      </w:tr>
      <w:tr>
        <w:tc>
          <w:tcPr>
            <w:tcW w:type="dxa" w:w="8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D-009</w:t>
            </w:r>
          </w:p>
        </w:tc>
        <w:tc>
          <w:tcPr>
            <w:tcW w:type="dxa" w:w="35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Live classes via integration (Zoom/Meet), not native WebRTC</w:t>
            </w:r>
          </w:p>
        </w:tc>
        <w:tc>
          <w:tcPr>
            <w:tcW w:type="dxa" w:w="50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Avoid building a video conferencing product</w:t>
            </w:r>
          </w:p>
        </w:tc>
      </w:tr>
      <w:tr>
        <w:tc>
          <w:tcPr>
            <w:tcW w:type="dxa" w:w="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D-010</w:t>
            </w:r>
          </w:p>
        </w:tc>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Marketplace deferred to Phase 3</w:t>
            </w:r>
          </w:p>
        </w:tc>
        <w:tc>
          <w:tcPr>
            <w:tcW w:type="dxa" w:w="50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Adds significant compliance &amp; ops complexity</w:t>
            </w:r>
          </w:p>
        </w:tc>
      </w:tr>
      <w:tr>
        <w:tc>
          <w:tcPr>
            <w:tcW w:type="dxa" w:w="8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D-011</w:t>
            </w:r>
          </w:p>
        </w:tc>
        <w:tc>
          <w:tcPr>
            <w:tcW w:type="dxa" w:w="35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LangGraph for AI orchestration</w:t>
            </w:r>
          </w:p>
        </w:tc>
        <w:tc>
          <w:tcPr>
            <w:tcW w:type="dxa" w:w="50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Stateful graphs, HITL, streaming, checkpointing</w:t>
            </w:r>
          </w:p>
        </w:tc>
      </w:tr>
      <w:tr>
        <w:tc>
          <w:tcPr>
            <w:tcW w:type="dxa" w:w="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D-012</w:t>
            </w:r>
          </w:p>
        </w:tc>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LangSmith for AI observability</w:t>
            </w:r>
          </w:p>
        </w:tc>
        <w:tc>
          <w:tcPr>
            <w:tcW w:type="dxa" w:w="50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Tracing, evaluation, cost dashboard out of the box</w:t>
            </w:r>
          </w:p>
        </w:tc>
      </w:tr>
      <w:tr>
        <w:tc>
          <w:tcPr>
            <w:tcW w:type="dxa" w:w="8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D-013</w:t>
            </w:r>
          </w:p>
        </w:tc>
        <w:tc>
          <w:tcPr>
            <w:tcW w:type="dxa" w:w="35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MCP server for external agent access (Phase 3)</w:t>
            </w:r>
          </w:p>
        </w:tc>
        <w:tc>
          <w:tcPr>
            <w:tcW w:type="dxa" w:w="50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Standardised, tenant-scoped, portfolio-grade differentiator</w:t>
            </w:r>
          </w:p>
        </w:tc>
      </w:tr>
      <w:tr>
        <w:tc>
          <w:tcPr>
            <w:tcW w:type="dxa" w:w="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D-014</w:t>
            </w:r>
          </w:p>
        </w:tc>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SSE-first; WebSockets only when bidirectional</w:t>
            </w:r>
          </w:p>
        </w:tc>
        <w:tc>
          <w:tcPr>
            <w:tcW w:type="dxa" w:w="50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Simpler operationally, native browser reconnect</w:t>
            </w:r>
          </w:p>
        </w:tc>
      </w:tr>
      <w:tr>
        <w:tc>
          <w:tcPr>
            <w:tcW w:type="dxa" w:w="8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D-015</w:t>
            </w:r>
          </w:p>
        </w:tc>
        <w:tc>
          <w:tcPr>
            <w:tcW w:type="dxa" w:w="35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Transactional outbox for audit</w:t>
            </w:r>
          </w:p>
        </w:tc>
        <w:tc>
          <w:tcPr>
            <w:tcW w:type="dxa" w:w="50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Prevents data/audit drift on partial failures</w:t>
            </w:r>
          </w:p>
        </w:tc>
      </w:tr>
      <w:tr>
        <w:tc>
          <w:tcPr>
            <w:tcW w:type="dxa" w:w="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D-016</w:t>
            </w:r>
          </w:p>
        </w:tc>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Structured encryption envelopes for sensitive fields</w:t>
            </w:r>
          </w:p>
        </w:tc>
        <w:tc>
          <w:tcPr>
            <w:tcW w:type="dxa" w:w="50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Forward-compatible with KMS migration</w:t>
            </w:r>
          </w:p>
        </w:tc>
      </w:tr>
      <w:tr>
        <w:tc>
          <w:tcPr>
            <w:tcW w:type="dxa" w:w="8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D-017</w:t>
            </w:r>
          </w:p>
        </w:tc>
        <w:tc>
          <w:tcPr>
            <w:tcW w:type="dxa" w:w="35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uv as package manager</w:t>
            </w:r>
          </w:p>
        </w:tc>
        <w:tc>
          <w:tcPr>
            <w:tcW w:type="dxa" w:w="50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Faster, lockfile-first, drop-in replacement for pip</w:t>
            </w:r>
          </w:p>
        </w:tc>
      </w:tr>
      <w:tr>
        <w:tc>
          <w:tcPr>
            <w:tcW w:type="dxa" w:w="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D-018</w:t>
            </w:r>
          </w:p>
        </w:tc>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Response envelope: {data, error, meta}</w:t>
            </w:r>
          </w:p>
        </w:tc>
        <w:tc>
          <w:tcPr>
            <w:tcW w:type="dxa" w:w="50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Consistent shape across REST and MCP</w:t>
            </w:r>
          </w:p>
        </w:tc>
      </w:tr>
      <w:tr>
        <w:tc>
          <w:tcPr>
            <w:tcW w:type="dxa" w:w="8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D-019</w:t>
            </w:r>
          </w:p>
        </w:tc>
        <w:tc>
          <w:tcPr>
            <w:tcW w:type="dxa" w:w="35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Token-bucket rate limiting, per-tenant primary dimension</w:t>
            </w:r>
          </w:p>
        </w:tc>
        <w:tc>
          <w:tcPr>
            <w:tcW w:type="dxa" w:w="50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Absorbs bursts; per-tenant buckets prevent noisy-neighbour starvation; Redis-backed via atomic Lua</w:t>
            </w:r>
          </w:p>
        </w:tc>
      </w:tr>
      <w:tr>
        <w:tc>
          <w:tcPr>
            <w:tcW w:type="dxa" w:w="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D-020</w:t>
            </w:r>
          </w:p>
        </w:tc>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WORM storage for security-sensitive audit events</w:t>
            </w:r>
          </w:p>
        </w:tc>
        <w:tc>
          <w:tcPr>
            <w:tcW w:type="dxa" w:w="50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Object Lock in compliance mode; tamper-evident HMAC chain; survives root-credential compromise</w:t>
            </w:r>
          </w:p>
        </w:tc>
      </w:tr>
      <w:tr>
        <w:tc>
          <w:tcPr>
            <w:tcW w:type="dxa" w:w="8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D-021</w:t>
            </w:r>
          </w:p>
        </w:tc>
        <w:tc>
          <w:tcPr>
            <w:tcW w:type="dxa" w:w="35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AES-256 explicitly named for at-rest encryption</w:t>
            </w:r>
          </w:p>
        </w:tc>
        <w:tc>
          <w:tcPr>
            <w:tcW w:type="dxa" w:w="50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Auditor-friendly; aligns with SOC 2 evidence requirements</w:t>
            </w:r>
          </w:p>
        </w:tc>
      </w:tr>
      <w:tr>
        <w:tc>
          <w:tcPr>
            <w:tcW w:type="dxa" w:w="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D-022</w:t>
            </w:r>
          </w:p>
        </w:tc>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Zero-trust cross-tenant test suite per endpoint</w:t>
            </w:r>
          </w:p>
        </w:tc>
        <w:tc>
          <w:tcPr>
            <w:tcW w:type="dxa" w:w="50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CI gate on isolation tests; assumes any token may be compromised; tests timing and error-message leakage too</w:t>
            </w:r>
          </w:p>
        </w:tc>
      </w:tr>
      <w:tr>
        <w:tc>
          <w:tcPr>
            <w:tcW w:type="dxa" w:w="8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D-023</w:t>
            </w:r>
          </w:p>
        </w:tc>
        <w:tc>
          <w:tcPr>
            <w:tcW w:type="dxa" w:w="35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Single-region (US) MVP; EU as a second region in Phase 2</w:t>
            </w:r>
          </w:p>
        </w:tc>
        <w:tc>
          <w:tcPr>
            <w:tcW w:type="dxa" w:w="50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Defers multi-region operational burden until a customer commitment justifies it; architecture stays migratable</w:t>
            </w:r>
          </w:p>
        </w:tc>
      </w:tr>
    </w:tbl>
    <w:p>
      <w:pPr>
        <w:spacing w:after="80"/>
      </w:pPr>
      <w:r>
        <w:t xml:space="preserve"/>
      </w:r>
    </w:p>
    <w:p>
      <w:pPr>
        <w:pStyle w:val="Heading2"/>
        <w:spacing w:after="140" w:before="280"/>
      </w:pPr>
      <w:r>
        <w:rPr>
          <w:rFonts w:ascii="Calibri" w:cs="Calibri" w:eastAsia="Calibri" w:hAnsi="Calibri"/>
          <w:b/>
          <w:bCs/>
          <w:color w:val="2E5C8A"/>
          <w:sz w:val="28"/>
          <w:szCs w:val="28"/>
        </w:rPr>
        <w:t xml:space="preserve">15.2 Change Control</w:t>
      </w:r>
    </w:p>
    <w:p>
      <w:pPr>
        <w:spacing w:after="120" w:line="300"/>
      </w:pPr>
      <w:r>
        <w:rPr>
          <w:rFonts w:ascii="Calibri" w:cs="Calibri" w:eastAsia="Calibri" w:hAnsi="Calibri"/>
          <w:sz w:val="22"/>
          <w:szCs w:val="22"/>
        </w:rPr>
        <w:t xml:space="preserve">This Charter is amended via a pull request to /docs/charter.md, with a short rationale and dated entry in the changelog at the end. No scope is added to a sprint mid-flight — changes apply to the next sprint at the earliest.</w:t>
      </w:r>
    </w:p>
    <w:p>
      <w:pPr>
        <w:pStyle w:val="Heading2"/>
        <w:spacing w:after="140" w:before="280"/>
      </w:pPr>
      <w:r>
        <w:rPr>
          <w:rFonts w:ascii="Calibri" w:cs="Calibri" w:eastAsia="Calibri" w:hAnsi="Calibri"/>
          <w:b/>
          <w:bCs/>
          <w:color w:val="2E5C8A"/>
          <w:sz w:val="28"/>
          <w:szCs w:val="28"/>
        </w:rPr>
        <w:t xml:space="preserve">15.3 Open Questions for Sign-off</w:t>
      </w:r>
    </w:p>
    <w:p>
      <w:pPr>
        <w:pStyle w:val="ListParagraph"/>
        <w:numPr>
          <w:ilvl w:val="0"/>
          <w:numId w:val="3"/>
        </w:numPr>
        <w:spacing w:after="80" w:line="290"/>
      </w:pPr>
      <w:r>
        <w:rPr>
          <w:rFonts w:ascii="Calibri" w:cs="Calibri" w:eastAsia="Calibri" w:hAnsi="Calibri"/>
          <w:sz w:val="22"/>
          <w:szCs w:val="22"/>
        </w:rPr>
        <w:t xml:space="preserve">Confirm 3 design-partner SMBs to interview before sprint S0.</w:t>
      </w:r>
    </w:p>
    <w:p>
      <w:pPr>
        <w:pStyle w:val="ListParagraph"/>
        <w:numPr>
          <w:ilvl w:val="0"/>
          <w:numId w:val="3"/>
        </w:numPr>
        <w:spacing w:after="80" w:line="290"/>
      </w:pPr>
      <w:r>
        <w:rPr>
          <w:rFonts w:ascii="Calibri" w:cs="Calibri" w:eastAsia="Calibri" w:hAnsi="Calibri"/>
          <w:sz w:val="22"/>
          <w:szCs w:val="22"/>
        </w:rPr>
        <w:t xml:space="preserve">Confirm legal entity &amp; business banking is in place (required for Stripe live mode).</w:t>
      </w:r>
    </w:p>
    <w:p>
      <w:pPr>
        <w:pStyle w:val="ListParagraph"/>
        <w:numPr>
          <w:ilvl w:val="0"/>
          <w:numId w:val="3"/>
        </w:numPr>
        <w:spacing w:after="80" w:line="290"/>
      </w:pPr>
      <w:r>
        <w:rPr>
          <w:rFonts w:ascii="Calibri" w:cs="Calibri" w:eastAsia="Calibri" w:hAnsi="Calibri"/>
          <w:sz w:val="22"/>
          <w:szCs w:val="22"/>
        </w:rPr>
        <w:t xml:space="preserve">Confirm AI provider primary choice — OpenAI or Anthropic — and budget cap per month.</w:t>
      </w:r>
    </w:p>
    <w:p>
      <w:pPr>
        <w:pStyle w:val="ListParagraph"/>
        <w:numPr>
          <w:ilvl w:val="0"/>
          <w:numId w:val="3"/>
        </w:numPr>
        <w:spacing w:after="80" w:line="290"/>
      </w:pPr>
      <w:r>
        <w:rPr>
          <w:rFonts w:ascii="Calibri" w:cs="Calibri" w:eastAsia="Calibri" w:hAnsi="Calibri"/>
          <w:sz w:val="22"/>
          <w:szCs w:val="22"/>
        </w:rPr>
        <w:t xml:space="preserve">Confirm hosting decision: Fly.io vs Railway (or other) for backend.</w:t>
      </w:r>
    </w:p>
    <w:p>
      <w:pPr>
        <w:pStyle w:val="ListParagraph"/>
        <w:numPr>
          <w:ilvl w:val="0"/>
          <w:numId w:val="3"/>
        </w:numPr>
        <w:spacing w:after="80" w:line="290"/>
      </w:pPr>
      <w:r>
        <w:rPr>
          <w:rFonts w:ascii="Calibri" w:cs="Calibri" w:eastAsia="Calibri" w:hAnsi="Calibri"/>
          <w:sz w:val="22"/>
          <w:szCs w:val="22"/>
        </w:rPr>
        <w:t xml:space="preserve">Confirm video provider: Mux vs Cloudflare Stream.</w:t>
      </w:r>
    </w:p>
    <w:p>
      <w:pPr>
        <w:pStyle w:val="ListParagraph"/>
        <w:numPr>
          <w:ilvl w:val="0"/>
          <w:numId w:val="3"/>
        </w:numPr>
        <w:spacing w:after="80" w:line="290"/>
      </w:pPr>
      <w:r>
        <w:rPr>
          <w:rFonts w:ascii="Calibri" w:cs="Calibri" w:eastAsia="Calibri" w:hAnsi="Calibri"/>
          <w:sz w:val="22"/>
          <w:szCs w:val="22"/>
        </w:rPr>
        <w:t xml:space="preserve">Confirm pricing tiers and trial mechanics.</w:t>
      </w:r>
    </w:p>
    <w:p>
      <w:r>
        <w:br w:type="page"/>
      </w:r>
    </w:p>
    <w:p>
      <w:pPr>
        <w:pStyle w:val="Heading1"/>
        <w:spacing w:after="180" w:before="360"/>
      </w:pPr>
      <w:r>
        <w:rPr>
          <w:rFonts w:ascii="Calibri" w:cs="Calibri" w:eastAsia="Calibri" w:hAnsi="Calibri"/>
          <w:b/>
          <w:bCs/>
          <w:color w:val="1F3A5F"/>
          <w:sz w:val="36"/>
          <w:szCs w:val="36"/>
        </w:rPr>
        <w:t xml:space="preserve">16. Appendix</w:t>
      </w:r>
    </w:p>
    <w:p>
      <w:pPr>
        <w:pStyle w:val="Heading2"/>
        <w:spacing w:after="140" w:before="280"/>
      </w:pPr>
      <w:r>
        <w:rPr>
          <w:rFonts w:ascii="Calibri" w:cs="Calibri" w:eastAsia="Calibri" w:hAnsi="Calibri"/>
          <w:b/>
          <w:bCs/>
          <w:color w:val="2E5C8A"/>
          <w:sz w:val="28"/>
          <w:szCs w:val="28"/>
        </w:rPr>
        <w:t xml:space="preserve">16.1 Glossary</w:t>
      </w:r>
    </w:p>
    <w:p>
      <w:pPr>
        <w:pStyle w:val="ListParagraph"/>
        <w:numPr>
          <w:ilvl w:val="0"/>
          <w:numId w:val="2"/>
        </w:numPr>
        <w:spacing w:after="60" w:line="290"/>
      </w:pPr>
      <w:r>
        <w:rPr>
          <w:rFonts w:ascii="Calibri" w:cs="Calibri" w:eastAsia="Calibri" w:hAnsi="Calibri"/>
          <w:b/>
          <w:bCs/>
          <w:sz w:val="22"/>
          <w:szCs w:val="22"/>
        </w:rPr>
        <w:t xml:space="preserve">LMS</w:t>
      </w:r>
      <w:r>
        <w:rPr>
          <w:rFonts w:ascii="Calibri" w:cs="Calibri" w:eastAsia="Calibri" w:hAnsi="Calibri"/>
          <w:sz w:val="22"/>
          <w:szCs w:val="22"/>
        </w:rPr>
        <w:t xml:space="preserve"> — Learning Management System.</w:t>
      </w:r>
    </w:p>
    <w:p>
      <w:pPr>
        <w:pStyle w:val="ListParagraph"/>
        <w:numPr>
          <w:ilvl w:val="0"/>
          <w:numId w:val="2"/>
        </w:numPr>
        <w:spacing w:after="60" w:line="290"/>
      </w:pPr>
      <w:r>
        <w:rPr>
          <w:rFonts w:ascii="Calibri" w:cs="Calibri" w:eastAsia="Calibri" w:hAnsi="Calibri"/>
          <w:b/>
          <w:bCs/>
          <w:sz w:val="22"/>
          <w:szCs w:val="22"/>
        </w:rPr>
        <w:t xml:space="preserve">LXP</w:t>
      </w:r>
      <w:r>
        <w:rPr>
          <w:rFonts w:ascii="Calibri" w:cs="Calibri" w:eastAsia="Calibri" w:hAnsi="Calibri"/>
          <w:sz w:val="22"/>
          <w:szCs w:val="22"/>
        </w:rPr>
        <w:t xml:space="preserve"> — Learning Experience Platform; learner-centric, discovery-oriented variant of an LMS.</w:t>
      </w:r>
    </w:p>
    <w:p>
      <w:pPr>
        <w:pStyle w:val="ListParagraph"/>
        <w:numPr>
          <w:ilvl w:val="0"/>
          <w:numId w:val="2"/>
        </w:numPr>
        <w:spacing w:after="60" w:line="290"/>
      </w:pPr>
      <w:r>
        <w:rPr>
          <w:rFonts w:ascii="Calibri" w:cs="Calibri" w:eastAsia="Calibri" w:hAnsi="Calibri"/>
          <w:b/>
          <w:bCs/>
          <w:sz w:val="22"/>
          <w:szCs w:val="22"/>
        </w:rPr>
        <w:t xml:space="preserve">SCORM</w:t>
      </w:r>
      <w:r>
        <w:rPr>
          <w:rFonts w:ascii="Calibri" w:cs="Calibri" w:eastAsia="Calibri" w:hAnsi="Calibri"/>
          <w:sz w:val="22"/>
          <w:szCs w:val="22"/>
        </w:rPr>
        <w:t xml:space="preserve"> — Sharable Content Object Reference Model. A long-standing standard for packaging e-learning content.</w:t>
      </w:r>
    </w:p>
    <w:p>
      <w:pPr>
        <w:pStyle w:val="ListParagraph"/>
        <w:numPr>
          <w:ilvl w:val="0"/>
          <w:numId w:val="2"/>
        </w:numPr>
        <w:spacing w:after="60" w:line="290"/>
      </w:pPr>
      <w:r>
        <w:rPr>
          <w:rFonts w:ascii="Calibri" w:cs="Calibri" w:eastAsia="Calibri" w:hAnsi="Calibri"/>
          <w:b/>
          <w:bCs/>
          <w:sz w:val="22"/>
          <w:szCs w:val="22"/>
        </w:rPr>
        <w:t xml:space="preserve">xAPI (Tin Can)</w:t>
      </w:r>
      <w:r>
        <w:rPr>
          <w:rFonts w:ascii="Calibri" w:cs="Calibri" w:eastAsia="Calibri" w:hAnsi="Calibri"/>
          <w:sz w:val="22"/>
          <w:szCs w:val="22"/>
        </w:rPr>
        <w:t xml:space="preserve"> — Modern successor to SCORM; emits 'statements' about learner activity.</w:t>
      </w:r>
    </w:p>
    <w:p>
      <w:pPr>
        <w:pStyle w:val="ListParagraph"/>
        <w:numPr>
          <w:ilvl w:val="0"/>
          <w:numId w:val="2"/>
        </w:numPr>
        <w:spacing w:after="60" w:line="290"/>
      </w:pPr>
      <w:r>
        <w:rPr>
          <w:rFonts w:ascii="Calibri" w:cs="Calibri" w:eastAsia="Calibri" w:hAnsi="Calibri"/>
          <w:b/>
          <w:bCs/>
          <w:sz w:val="22"/>
          <w:szCs w:val="22"/>
        </w:rPr>
        <w:t xml:space="preserve">RLS</w:t>
      </w:r>
      <w:r>
        <w:rPr>
          <w:rFonts w:ascii="Calibri" w:cs="Calibri" w:eastAsia="Calibri" w:hAnsi="Calibri"/>
          <w:sz w:val="22"/>
          <w:szCs w:val="22"/>
        </w:rPr>
        <w:t xml:space="preserve"> — Row-Level Security; Postgres feature that filters rows based on session context.</w:t>
      </w:r>
    </w:p>
    <w:p>
      <w:pPr>
        <w:pStyle w:val="ListParagraph"/>
        <w:numPr>
          <w:ilvl w:val="0"/>
          <w:numId w:val="2"/>
        </w:numPr>
        <w:spacing w:after="60" w:line="290"/>
      </w:pPr>
      <w:r>
        <w:rPr>
          <w:rFonts w:ascii="Calibri" w:cs="Calibri" w:eastAsia="Calibri" w:hAnsi="Calibri"/>
          <w:b/>
          <w:bCs/>
          <w:sz w:val="22"/>
          <w:szCs w:val="22"/>
        </w:rPr>
        <w:t xml:space="preserve">RAG</w:t>
      </w:r>
      <w:r>
        <w:rPr>
          <w:rFonts w:ascii="Calibri" w:cs="Calibri" w:eastAsia="Calibri" w:hAnsi="Calibri"/>
          <w:sz w:val="22"/>
          <w:szCs w:val="22"/>
        </w:rPr>
        <w:t xml:space="preserve"> — Retrieval-Augmented Generation; pattern of grounding LLM responses in retrieved documents.</w:t>
      </w:r>
    </w:p>
    <w:p>
      <w:pPr>
        <w:pStyle w:val="ListParagraph"/>
        <w:numPr>
          <w:ilvl w:val="0"/>
          <w:numId w:val="2"/>
        </w:numPr>
        <w:spacing w:after="60" w:line="290"/>
      </w:pPr>
      <w:r>
        <w:rPr>
          <w:rFonts w:ascii="Calibri" w:cs="Calibri" w:eastAsia="Calibri" w:hAnsi="Calibri"/>
          <w:b/>
          <w:bCs/>
          <w:sz w:val="22"/>
          <w:szCs w:val="22"/>
        </w:rPr>
        <w:t xml:space="preserve">MCP</w:t>
      </w:r>
      <w:r>
        <w:rPr>
          <w:rFonts w:ascii="Calibri" w:cs="Calibri" w:eastAsia="Calibri" w:hAnsi="Calibri"/>
          <w:sz w:val="22"/>
          <w:szCs w:val="22"/>
        </w:rPr>
        <w:t xml:space="preserve"> — Model Context Protocol; open standard for connecting LLMs to tools and data sources.</w:t>
      </w:r>
    </w:p>
    <w:p>
      <w:pPr>
        <w:pStyle w:val="ListParagraph"/>
        <w:numPr>
          <w:ilvl w:val="0"/>
          <w:numId w:val="2"/>
        </w:numPr>
        <w:spacing w:after="60" w:line="290"/>
      </w:pPr>
      <w:r>
        <w:rPr>
          <w:rFonts w:ascii="Calibri" w:cs="Calibri" w:eastAsia="Calibri" w:hAnsi="Calibri"/>
          <w:b/>
          <w:bCs/>
          <w:sz w:val="22"/>
          <w:szCs w:val="22"/>
        </w:rPr>
        <w:t xml:space="preserve">ADR</w:t>
      </w:r>
      <w:r>
        <w:rPr>
          <w:rFonts w:ascii="Calibri" w:cs="Calibri" w:eastAsia="Calibri" w:hAnsi="Calibri"/>
          <w:sz w:val="22"/>
          <w:szCs w:val="22"/>
        </w:rPr>
        <w:t xml:space="preserve"> — Architecture Decision Record.</w:t>
      </w:r>
    </w:p>
    <w:p>
      <w:pPr>
        <w:pStyle w:val="ListParagraph"/>
        <w:numPr>
          <w:ilvl w:val="0"/>
          <w:numId w:val="2"/>
        </w:numPr>
        <w:spacing w:after="60" w:line="290"/>
      </w:pPr>
      <w:r>
        <w:rPr>
          <w:rFonts w:ascii="Calibri" w:cs="Calibri" w:eastAsia="Calibri" w:hAnsi="Calibri"/>
          <w:b/>
          <w:bCs/>
          <w:sz w:val="22"/>
          <w:szCs w:val="22"/>
        </w:rPr>
        <w:t xml:space="preserve">RBAC</w:t>
      </w:r>
      <w:r>
        <w:rPr>
          <w:rFonts w:ascii="Calibri" w:cs="Calibri" w:eastAsia="Calibri" w:hAnsi="Calibri"/>
          <w:sz w:val="22"/>
          <w:szCs w:val="22"/>
        </w:rPr>
        <w:t xml:space="preserve"> — Role-Based Access Control.</w:t>
      </w:r>
    </w:p>
    <w:p>
      <w:pPr>
        <w:pStyle w:val="ListParagraph"/>
        <w:numPr>
          <w:ilvl w:val="0"/>
          <w:numId w:val="2"/>
        </w:numPr>
        <w:spacing w:after="60" w:line="290"/>
      </w:pPr>
      <w:r>
        <w:rPr>
          <w:rFonts w:ascii="Calibri" w:cs="Calibri" w:eastAsia="Calibri" w:hAnsi="Calibri"/>
          <w:b/>
          <w:bCs/>
          <w:sz w:val="22"/>
          <w:szCs w:val="22"/>
        </w:rPr>
        <w:t xml:space="preserve">HITL</w:t>
      </w:r>
      <w:r>
        <w:rPr>
          <w:rFonts w:ascii="Calibri" w:cs="Calibri" w:eastAsia="Calibri" w:hAnsi="Calibri"/>
          <w:sz w:val="22"/>
          <w:szCs w:val="22"/>
        </w:rPr>
        <w:t xml:space="preserve"> — Human-in-the-loop; pattern where AI output requires human approval before taking effect.</w:t>
      </w:r>
    </w:p>
    <w:p>
      <w:pPr>
        <w:pStyle w:val="ListParagraph"/>
        <w:numPr>
          <w:ilvl w:val="0"/>
          <w:numId w:val="2"/>
        </w:numPr>
        <w:spacing w:after="60" w:line="290"/>
      </w:pPr>
      <w:r>
        <w:rPr>
          <w:rFonts w:ascii="Calibri" w:cs="Calibri" w:eastAsia="Calibri" w:hAnsi="Calibri"/>
          <w:b/>
          <w:bCs/>
          <w:sz w:val="22"/>
          <w:szCs w:val="22"/>
        </w:rPr>
        <w:t xml:space="preserve">PWA</w:t>
      </w:r>
      <w:r>
        <w:rPr>
          <w:rFonts w:ascii="Calibri" w:cs="Calibri" w:eastAsia="Calibri" w:hAnsi="Calibri"/>
          <w:sz w:val="22"/>
          <w:szCs w:val="22"/>
        </w:rPr>
        <w:t xml:space="preserve"> — Progressive Web App.</w:t>
      </w:r>
    </w:p>
    <w:p>
      <w:pPr>
        <w:pStyle w:val="ListParagraph"/>
        <w:numPr>
          <w:ilvl w:val="0"/>
          <w:numId w:val="2"/>
        </w:numPr>
        <w:spacing w:after="60" w:line="290"/>
      </w:pPr>
      <w:r>
        <w:rPr>
          <w:rFonts w:ascii="Calibri" w:cs="Calibri" w:eastAsia="Calibri" w:hAnsi="Calibri"/>
          <w:b/>
          <w:bCs/>
          <w:sz w:val="22"/>
          <w:szCs w:val="22"/>
        </w:rPr>
        <w:t xml:space="preserve">SSE</w:t>
      </w:r>
      <w:r>
        <w:rPr>
          <w:rFonts w:ascii="Calibri" w:cs="Calibri" w:eastAsia="Calibri" w:hAnsi="Calibri"/>
          <w:sz w:val="22"/>
          <w:szCs w:val="22"/>
        </w:rPr>
        <w:t xml:space="preserve"> — Server-Sent Events; one-way streaming over HTTP via the EventSource browser API.</w:t>
      </w:r>
    </w:p>
    <w:p>
      <w:pPr>
        <w:pStyle w:val="Heading2"/>
        <w:spacing w:after="140" w:before="280"/>
      </w:pPr>
      <w:r>
        <w:rPr>
          <w:rFonts w:ascii="Calibri" w:cs="Calibri" w:eastAsia="Calibri" w:hAnsi="Calibri"/>
          <w:b/>
          <w:bCs/>
          <w:color w:val="2E5C8A"/>
          <w:sz w:val="28"/>
          <w:szCs w:val="28"/>
        </w:rPr>
        <w:t xml:space="preserve">16.2 Version History</w:t>
      </w:r>
    </w:p>
    <w:p>
      <w:pPr>
        <w:pStyle w:val="Heading3"/>
        <w:spacing w:after="100" w:before="220"/>
      </w:pPr>
      <w:r>
        <w:rPr>
          <w:rFonts w:ascii="Calibri" w:cs="Calibri" w:eastAsia="Calibri" w:hAnsi="Calibri"/>
          <w:b/>
          <w:bCs/>
          <w:color w:val="333333"/>
          <w:sz w:val="24"/>
          <w:szCs w:val="24"/>
        </w:rPr>
        <w:t xml:space="preserve">What changed in v1.1 (from v1.0)</w:t>
      </w:r>
    </w:p>
    <w:p>
      <w:pPr>
        <w:spacing w:after="120" w:line="300"/>
      </w:pPr>
      <w:r>
        <w:rPr>
          <w:rFonts w:ascii="Calibri" w:cs="Calibri" w:eastAsia="Calibri" w:hAnsi="Calibri"/>
          <w:sz w:val="22"/>
          <w:szCs w:val="22"/>
        </w:rPr>
        <w:t xml:space="preserve">v1.1 absorbed proven patterns from the Coreklinik project (Clinic Management System) — a related, more mature codebase. The patterns lifted were:</w:t>
      </w:r>
    </w:p>
    <w:p>
      <w:pPr>
        <w:pStyle w:val="ListParagraph"/>
        <w:numPr>
          <w:ilvl w:val="0"/>
          <w:numId w:val="2"/>
        </w:numPr>
        <w:spacing w:after="60" w:line="290"/>
      </w:pPr>
      <w:r>
        <w:rPr>
          <w:rFonts w:ascii="Calibri" w:cs="Calibri" w:eastAsia="Calibri" w:hAnsi="Calibri"/>
          <w:sz w:val="22"/>
          <w:szCs w:val="22"/>
        </w:rPr>
        <w:t xml:space="preserve">§2 — Explicit Engineering Contract (Agent Execution Contract): clear, enforceable rules for every contributor.</w:t>
      </w:r>
    </w:p>
    <w:p>
      <w:pPr>
        <w:pStyle w:val="ListParagraph"/>
        <w:numPr>
          <w:ilvl w:val="0"/>
          <w:numId w:val="2"/>
        </w:numPr>
        <w:spacing w:after="60" w:line="290"/>
      </w:pPr>
      <w:r>
        <w:rPr>
          <w:rFonts w:ascii="Calibri" w:cs="Calibri" w:eastAsia="Calibri" w:hAnsi="Calibri"/>
          <w:sz w:val="22"/>
          <w:szCs w:val="22"/>
        </w:rPr>
        <w:t xml:space="preserve">§6 — Three-layer tenant isolation with concrete code examples: ContextVar middleware, SQLAlchemy do_orm_execute event, Postgres RLS session variable.</w:t>
      </w:r>
    </w:p>
    <w:p>
      <w:pPr>
        <w:pStyle w:val="ListParagraph"/>
        <w:numPr>
          <w:ilvl w:val="0"/>
          <w:numId w:val="2"/>
        </w:numPr>
        <w:spacing w:after="60" w:line="290"/>
      </w:pPr>
      <w:r>
        <w:rPr>
          <w:rFonts w:ascii="Calibri" w:cs="Calibri" w:eastAsia="Calibri" w:hAnsi="Calibri"/>
          <w:sz w:val="22"/>
          <w:szCs w:val="22"/>
        </w:rPr>
        <w:t xml:space="preserve">§7 — LangGraph as the AI orchestration framework, full LangSmith observability, cost controls (semantic caching, circuit breakers, fallback cascade), AI verification workflow for human-in-the-loop, and a Phase 3 MCP server for external agent access.</w:t>
      </w:r>
    </w:p>
    <w:p>
      <w:pPr>
        <w:pStyle w:val="ListParagraph"/>
        <w:numPr>
          <w:ilvl w:val="0"/>
          <w:numId w:val="2"/>
        </w:numPr>
        <w:spacing w:after="60" w:line="290"/>
      </w:pPr>
      <w:r>
        <w:rPr>
          <w:rFonts w:ascii="Calibri" w:cs="Calibri" w:eastAsia="Calibri" w:hAnsi="Calibri"/>
          <w:sz w:val="22"/>
          <w:szCs w:val="22"/>
        </w:rPr>
        <w:t xml:space="preserve">§8 — Standardised API response envelope and typed error hierarchy; SSE-first principle for real-time transport.</w:t>
      </w:r>
    </w:p>
    <w:p>
      <w:pPr>
        <w:pStyle w:val="ListParagraph"/>
        <w:numPr>
          <w:ilvl w:val="0"/>
          <w:numId w:val="2"/>
        </w:numPr>
        <w:spacing w:after="60" w:line="290"/>
      </w:pPr>
      <w:r>
        <w:rPr>
          <w:rFonts w:ascii="Calibri" w:cs="Calibri" w:eastAsia="Calibri" w:hAnsi="Calibri"/>
          <w:sz w:val="22"/>
          <w:szCs w:val="22"/>
        </w:rPr>
        <w:t xml:space="preserve">§9 — Transactional Outbox pattern for audit-data consistency; structured encryption envelopes for forward-compatibility with future KMS migration.</w:t>
      </w:r>
    </w:p>
    <w:p>
      <w:pPr>
        <w:pStyle w:val="ListParagraph"/>
        <w:numPr>
          <w:ilvl w:val="0"/>
          <w:numId w:val="2"/>
        </w:numPr>
        <w:spacing w:after="60" w:line="290"/>
      </w:pPr>
      <w:r>
        <w:rPr>
          <w:rFonts w:ascii="Calibri" w:cs="Calibri" w:eastAsia="Calibri" w:hAnsi="Calibri"/>
          <w:sz w:val="22"/>
          <w:szCs w:val="22"/>
        </w:rPr>
        <w:t xml:space="preserve">§10 — Definition of Done checklist and PR Checklist; DevContainer rules with healthchecks and service_healthy dependencies.</w:t>
      </w:r>
    </w:p>
    <w:p>
      <w:pPr>
        <w:pStyle w:val="ListParagraph"/>
        <w:numPr>
          <w:ilvl w:val="0"/>
          <w:numId w:val="2"/>
        </w:numPr>
        <w:spacing w:after="60" w:line="290"/>
      </w:pPr>
      <w:r>
        <w:rPr>
          <w:rFonts w:ascii="Calibri" w:cs="Calibri" w:eastAsia="Calibri" w:hAnsi="Calibri"/>
          <w:sz w:val="22"/>
          <w:szCs w:val="22"/>
        </w:rPr>
        <w:t xml:space="preserve">§15 — Expanded Decision Log with 8 new entries (D-011 through D-018).</w:t>
      </w:r>
    </w:p>
    <w:p>
      <w:pPr>
        <w:spacing w:after="80"/>
      </w:pPr>
      <w:r>
        <w:t xml:space="preserve"/>
      </w:r>
    </w:p>
    <w:p>
      <w:pPr>
        <w:spacing w:after="120" w:line="300"/>
      </w:pPr>
      <w:r>
        <w:rPr>
          <w:rFonts w:ascii="Calibri" w:cs="Calibri" w:eastAsia="Calibri" w:hAnsi="Calibri"/>
          <w:sz w:val="22"/>
          <w:szCs w:val="22"/>
        </w:rPr>
        <w:t xml:space="preserve">Notably NOT absorbed from Coreklinik (because they're domain-specific to healthcare):</w:t>
      </w:r>
    </w:p>
    <w:p>
      <w:pPr>
        <w:pStyle w:val="ListParagraph"/>
        <w:numPr>
          <w:ilvl w:val="0"/>
          <w:numId w:val="2"/>
        </w:numPr>
        <w:spacing w:after="60" w:line="290"/>
      </w:pPr>
      <w:r>
        <w:rPr>
          <w:rFonts w:ascii="Calibri" w:cs="Calibri" w:eastAsia="Calibri" w:hAnsi="Calibri"/>
          <w:sz w:val="22"/>
          <w:szCs w:val="22"/>
        </w:rPr>
        <w:t xml:space="preserve">HIPAA / PHI vocabulary — OmniXtra is GDPR-only.</w:t>
      </w:r>
    </w:p>
    <w:p>
      <w:pPr>
        <w:pStyle w:val="ListParagraph"/>
        <w:numPr>
          <w:ilvl w:val="0"/>
          <w:numId w:val="2"/>
        </w:numPr>
        <w:spacing w:after="60" w:line="290"/>
      </w:pPr>
      <w:r>
        <w:rPr>
          <w:rFonts w:ascii="Calibri" w:cs="Calibri" w:eastAsia="Calibri" w:hAnsi="Calibri"/>
          <w:sz w:val="22"/>
          <w:szCs w:val="22"/>
        </w:rPr>
        <w:t xml:space="preserve">Field-level encryption on every sensitive field — overkill for OmniXtra's PII surface; pattern documented (§9.4) for future use.</w:t>
      </w:r>
    </w:p>
    <w:p>
      <w:pPr>
        <w:pStyle w:val="ListParagraph"/>
        <w:numPr>
          <w:ilvl w:val="0"/>
          <w:numId w:val="2"/>
        </w:numPr>
        <w:spacing w:after="60" w:line="290"/>
      </w:pPr>
      <w:r>
        <w:rPr>
          <w:rFonts w:ascii="Calibri" w:cs="Calibri" w:eastAsia="Calibri" w:hAnsi="Calibri"/>
          <w:sz w:val="22"/>
          <w:szCs w:val="22"/>
        </w:rPr>
        <w:t xml:space="preserve">7-year retention on the live audit table — OmniXtra retains 2 years live + 7 years in WORM storage.</w:t>
      </w:r>
    </w:p>
    <w:p>
      <w:pPr>
        <w:pStyle w:val="ListParagraph"/>
        <w:numPr>
          <w:ilvl w:val="0"/>
          <w:numId w:val="2"/>
        </w:numPr>
        <w:spacing w:after="60" w:line="290"/>
      </w:pPr>
      <w:r>
        <w:rPr>
          <w:rFonts w:ascii="Calibri" w:cs="Calibri" w:eastAsia="Calibri" w:hAnsi="Calibri"/>
          <w:sz w:val="22"/>
          <w:szCs w:val="22"/>
        </w:rPr>
        <w:t xml:space="preserve">Tesseract OCR, ICD codes, drug interactions, medical knowledge base — domain-specific.</w:t>
      </w:r>
    </w:p>
    <w:p>
      <w:pPr>
        <w:pStyle w:val="ListParagraph"/>
        <w:numPr>
          <w:ilvl w:val="0"/>
          <w:numId w:val="2"/>
        </w:numPr>
        <w:spacing w:after="60" w:line="290"/>
      </w:pPr>
      <w:r>
        <w:rPr>
          <w:rFonts w:ascii="Calibri" w:cs="Calibri" w:eastAsia="Calibri" w:hAnsi="Calibri"/>
          <w:sz w:val="22"/>
          <w:szCs w:val="22"/>
        </w:rPr>
        <w:t xml:space="preserve">HITL on every AI output — applied selectively (authoring yes, tutor responses no).</w:t>
      </w:r>
    </w:p>
    <w:p>
      <w:pPr>
        <w:pStyle w:val="Heading3"/>
        <w:spacing w:after="100" w:before="220"/>
      </w:pPr>
      <w:r>
        <w:rPr>
          <w:rFonts w:ascii="Calibri" w:cs="Calibri" w:eastAsia="Calibri" w:hAnsi="Calibri"/>
          <w:b/>
          <w:bCs/>
          <w:color w:val="333333"/>
          <w:sz w:val="24"/>
          <w:szCs w:val="24"/>
        </w:rPr>
        <w:t xml:space="preserve">What changed in v1.2 (from v1.1)</w:t>
      </w:r>
    </w:p>
    <w:p>
      <w:pPr>
        <w:spacing w:after="120" w:line="300"/>
      </w:pPr>
      <w:r>
        <w:rPr>
          <w:rFonts w:ascii="Calibri" w:cs="Calibri" w:eastAsia="Calibri" w:hAnsi="Calibri"/>
          <w:sz w:val="22"/>
          <w:szCs w:val="22"/>
        </w:rPr>
        <w:t xml:space="preserve">v1.2 closes five enterprise-readiness gaps surfaced during pre-kickoff review. Each gap landed in a specific section with a corresponding decision-log entry:</w:t>
      </w:r>
    </w:p>
    <w:p>
      <w:pPr>
        <w:pStyle w:val="ListParagraph"/>
        <w:numPr>
          <w:ilvl w:val="0"/>
          <w:numId w:val="2"/>
        </w:numPr>
        <w:spacing w:after="60" w:line="290"/>
      </w:pPr>
      <w:r>
        <w:rPr>
          <w:rFonts w:ascii="Calibri" w:cs="Calibri" w:eastAsia="Calibri" w:hAnsi="Calibri"/>
          <w:b/>
          <w:bCs/>
          <w:sz w:val="22"/>
          <w:szCs w:val="22"/>
        </w:rPr>
        <w:t xml:space="preserve">§6.7 Zero-Trust Isolation Testing</w:t>
      </w:r>
      <w:r>
        <w:rPr>
          <w:rFonts w:ascii="Calibri" w:cs="Calibri" w:eastAsia="Calibri" w:hAnsi="Calibri"/>
          <w:sz w:val="22"/>
          <w:szCs w:val="22"/>
        </w:rPr>
        <w:t xml:space="preserve"> — explicit cross-tenant attack test pattern (compromised Tenant B token attempts to read Tenant A resources), per-endpoint coverage requirement, CI gate that blocks PRs without a paired isolation test, negative-space tests for timing and error-message leakage. (D-022)</w:t>
      </w:r>
    </w:p>
    <w:p>
      <w:pPr>
        <w:pStyle w:val="ListParagraph"/>
        <w:numPr>
          <w:ilvl w:val="0"/>
          <w:numId w:val="2"/>
        </w:numPr>
        <w:spacing w:after="60" w:line="290"/>
      </w:pPr>
      <w:r>
        <w:rPr>
          <w:rFonts w:ascii="Calibri" w:cs="Calibri" w:eastAsia="Calibri" w:hAnsi="Calibri"/>
          <w:b/>
          <w:bCs/>
          <w:sz w:val="22"/>
          <w:szCs w:val="22"/>
        </w:rPr>
        <w:t xml:space="preserve">§9.2 Encryption standards</w:t>
      </w:r>
      <w:r>
        <w:rPr>
          <w:rFonts w:ascii="Calibri" w:cs="Calibri" w:eastAsia="Calibri" w:hAnsi="Calibri"/>
          <w:sz w:val="22"/>
          <w:szCs w:val="22"/>
        </w:rPr>
        <w:t xml:space="preserve"> — AES-256 explicitly named as the standard for data at rest across Postgres, object storage, and backups; TLS 1.3 named for transit with TLS 1.2 as the absolute minimum. (D-021)</w:t>
      </w:r>
    </w:p>
    <w:p>
      <w:pPr>
        <w:pStyle w:val="ListParagraph"/>
        <w:numPr>
          <w:ilvl w:val="0"/>
          <w:numId w:val="2"/>
        </w:numPr>
        <w:spacing w:after="60" w:line="290"/>
      </w:pPr>
      <w:r>
        <w:rPr>
          <w:rFonts w:ascii="Calibri" w:cs="Calibri" w:eastAsia="Calibri" w:hAnsi="Calibri"/>
          <w:b/>
          <w:bCs/>
          <w:sz w:val="22"/>
          <w:szCs w:val="22"/>
        </w:rPr>
        <w:t xml:space="preserve">§9.3 Rate Limiting &amp; Tenant Traffic Isolation (new)</w:t>
      </w:r>
      <w:r>
        <w:rPr>
          <w:rFonts w:ascii="Calibri" w:cs="Calibri" w:eastAsia="Calibri" w:hAnsi="Calibri"/>
          <w:sz w:val="22"/>
          <w:szCs w:val="22"/>
        </w:rPr>
        <w:t xml:space="preserve"> — token-bucket as the chosen algorithm, per-tenant primary dimension to prevent noisy-neighbour starvation, Redis-backed atomic implementation, per-plan defaults, standard rate-limit response headers. (D-019)</w:t>
      </w:r>
    </w:p>
    <w:p>
      <w:pPr>
        <w:pStyle w:val="ListParagraph"/>
        <w:numPr>
          <w:ilvl w:val="0"/>
          <w:numId w:val="2"/>
        </w:numPr>
        <w:spacing w:after="60" w:line="290"/>
      </w:pPr>
      <w:r>
        <w:rPr>
          <w:rFonts w:ascii="Calibri" w:cs="Calibri" w:eastAsia="Calibri" w:hAnsi="Calibri"/>
          <w:b/>
          <w:bCs/>
          <w:sz w:val="22"/>
          <w:szCs w:val="22"/>
        </w:rPr>
        <w:t xml:space="preserve">§9.5 Audit Trail — WORM extension</w:t>
      </w:r>
      <w:r>
        <w:rPr>
          <w:rFonts w:ascii="Calibri" w:cs="Calibri" w:eastAsia="Calibri" w:hAnsi="Calibri"/>
          <w:sz w:val="22"/>
          <w:szCs w:val="22"/>
        </w:rPr>
        <w:t xml:space="preserve"> — security-sensitive audit events streamed to write-once-read-many storage (Object Lock in compliance mode), HMAC-chained for tamper evidence, partitioned by tenant for clean exports, nightly verification job, quarterly restore drill. Survives even root-credential compromise. (D-020)</w:t>
      </w:r>
    </w:p>
    <w:p>
      <w:pPr>
        <w:pStyle w:val="ListParagraph"/>
        <w:numPr>
          <w:ilvl w:val="0"/>
          <w:numId w:val="2"/>
        </w:numPr>
        <w:spacing w:after="60" w:line="290"/>
      </w:pPr>
      <w:r>
        <w:rPr>
          <w:rFonts w:ascii="Calibri" w:cs="Calibri" w:eastAsia="Calibri" w:hAnsi="Calibri"/>
          <w:b/>
          <w:bCs/>
          <w:sz w:val="22"/>
          <w:szCs w:val="22"/>
        </w:rPr>
        <w:t xml:space="preserve">§9.7 Data Residency (new)</w:t>
      </w:r>
      <w:r>
        <w:rPr>
          <w:rFonts w:ascii="Calibri" w:cs="Calibri" w:eastAsia="Calibri" w:hAnsi="Calibri"/>
          <w:sz w:val="22"/>
          <w:szCs w:val="22"/>
        </w:rPr>
        <w:t xml:space="preserve"> — phased approach: MVP is single-region US under SCCs with disclosed sub-processor list; Phase 2 adds an isolated EU deployment with immutable tenant-region assignment; Phase 3 adds further regions on demand. Identity/billing control plane stays global; tenant content never crosses regions. (D-023)</w:t>
      </w:r>
    </w:p>
    <w:p>
      <w:pPr>
        <w:pStyle w:val="Heading2"/>
        <w:spacing w:after="140" w:before="280"/>
      </w:pPr>
      <w:r>
        <w:rPr>
          <w:rFonts w:ascii="Calibri" w:cs="Calibri" w:eastAsia="Calibri" w:hAnsi="Calibri"/>
          <w:b/>
          <w:bCs/>
          <w:color w:val="2E5C8A"/>
          <w:sz w:val="28"/>
          <w:szCs w:val="28"/>
        </w:rPr>
        <w:t xml:space="preserve">16.3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00"/>
        <w:gridCol w:w="2960"/>
      </w:tblGrid>
      <w:tr>
        <w:trPr>
          <w:tblHeader/>
        </w:trPr>
        <w:tc>
          <w:tcPr>
            <w:tcW w:type="dxa" w:w="160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Version</w:t>
            </w:r>
          </w:p>
        </w:tc>
        <w:tc>
          <w:tcPr>
            <w:tcW w:type="dxa" w:w="200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Date</w:t>
            </w:r>
          </w:p>
        </w:tc>
        <w:tc>
          <w:tcPr>
            <w:tcW w:type="dxa" w:w="280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Author</w:t>
            </w:r>
          </w:p>
        </w:tc>
        <w:tc>
          <w:tcPr>
            <w:tcW w:type="dxa" w:w="296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Change</w:t>
            </w:r>
          </w:p>
        </w:tc>
      </w:tr>
      <w:tr>
        <w:tc>
          <w:tcPr>
            <w:tcW w:type="dxa" w:w="16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1.0</w:t>
            </w:r>
          </w:p>
        </w:tc>
        <w:tc>
          <w:tcPr>
            <w:tcW w:type="dxa" w:w="20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16 May 2026</w:t>
            </w:r>
          </w:p>
        </w:tc>
        <w:tc>
          <w:tcPr>
            <w:tcW w:type="dxa" w:w="28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Project Lead</w:t>
            </w:r>
          </w:p>
        </w:tc>
        <w:tc>
          <w:tcPr>
            <w:tcW w:type="dxa" w:w="29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Initial draft for kickoff sign-off</w:t>
            </w:r>
          </w:p>
        </w:tc>
      </w:tr>
      <w:tr>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1.1</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16 May 2026</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Project Lead</w:t>
            </w:r>
          </w:p>
        </w:tc>
        <w:tc>
          <w:tcPr>
            <w:tcW w:type="dxa" w:w="2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Absorbed proven patterns from Coreklinik: explicit engineering contract, three-layer tenant isolation, LangGraph + LangSmith + cost controls, MCP server, transactional outbox, API envelope, DoD + PR checklist.</w:t>
            </w:r>
          </w:p>
        </w:tc>
      </w:tr>
      <w:tr>
        <w:tc>
          <w:tcPr>
            <w:tcW w:type="dxa" w:w="16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1.2</w:t>
            </w:r>
          </w:p>
        </w:tc>
        <w:tc>
          <w:tcPr>
            <w:tcW w:type="dxa" w:w="20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16 May 2026</w:t>
            </w:r>
          </w:p>
        </w:tc>
        <w:tc>
          <w:tcPr>
            <w:tcW w:type="dxa" w:w="28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Project Lead</w:t>
            </w:r>
          </w:p>
        </w:tc>
        <w:tc>
          <w:tcPr>
            <w:tcW w:type="dxa" w:w="29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Closed five enterprise-readiness gaps: zero-trust isolation testing (§6.7), AES-256 named explicitly (§9.2), token-bucket rate limiting (§9.3 new), WORM audit storage (§9.5), phased data residency (§9.7 new). Added D-019 to D-023.</w:t>
            </w:r>
          </w:p>
        </w:tc>
      </w:tr>
    </w:tbl>
    <w:p>
      <w:pPr>
        <w:spacing w:after="80"/>
      </w:pPr>
      <w:r>
        <w:t xml:space="preserve"/>
      </w:r>
    </w:p>
    <w:p>
      <w:pPr>
        <w:spacing w:after="80"/>
      </w:pPr>
      <w:r>
        <w:t xml:space="preserve"/>
      </w:r>
    </w:p>
    <w:p>
      <w:pPr>
        <w:jc w:val="center"/>
      </w:pPr>
      <w:r>
        <w:rPr>
          <w:rFonts w:ascii="Calibri" w:cs="Calibri" w:eastAsia="Calibri" w:hAnsi="Calibri"/>
          <w:i/>
          <w:iCs/>
          <w:color w:val="999999"/>
          <w:sz w:val="22"/>
          <w:szCs w:val="22"/>
        </w:rPr>
        <w:t xml:space="preserve">— End of Charter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8"/>
        <w:szCs w:val="18"/>
      </w:rPr>
      <w:t xml:space="preserve">OmniXtra — Project Charter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5C8A"/>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OmniXtra — Project Charter &amp; Engineering Source-of-Truth (v1.2)</dc:title>
  <dc:creator>OmniXtra Project Lead</dc:creator>
  <dc:description>Single source-of-truth document to kick off the OmniXtra LMS project. v1.2 adds enterprise-grade audit immutability, rate limiting, isolation testing, and data residency architecture.</dc:description>
  <cp:lastModifiedBy>Un-named</cp:lastModifiedBy>
  <cp:revision>1</cp:revision>
  <dcterms:created xsi:type="dcterms:W3CDTF">2026-05-16T12:13:29.455Z</dcterms:created>
  <dcterms:modified xsi:type="dcterms:W3CDTF">2026-05-16T12:13:29.471Z</dcterms:modified>
</cp:coreProperties>
</file>

<file path=docProps/custom.xml><?xml version="1.0" encoding="utf-8"?>
<Properties xmlns="http://schemas.openxmlformats.org/officeDocument/2006/custom-properties" xmlns:vt="http://schemas.openxmlformats.org/officeDocument/2006/docPropsVTypes"/>
</file>