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color w:val="888888"/>
          <w:sz w:val="22"/>
          <w:szCs w:val="22"/>
        </w:rPr>
        <w:t xml:space="preserve">OMNIXTRA</w:t>
      </w:r>
    </w:p>
    <w:p>
      <w:pPr>
        <w:spacing w:after="120"/>
      </w:pPr>
      <w:r>
        <w:rPr>
          <w:rFonts w:ascii="Calibri" w:cs="Calibri" w:eastAsia="Calibri" w:hAnsi="Calibri"/>
          <w:b/>
          <w:bCs/>
          <w:color w:val="116149"/>
          <w:sz w:val="44"/>
          <w:szCs w:val="44"/>
        </w:rPr>
        <w:t xml:space="preserve">UX &amp; Permission Contract</w:t>
      </w:r>
    </w:p>
    <w:p>
      <w:pPr>
        <w:spacing w:after="240"/>
      </w:pPr>
      <w:r>
        <w:rPr>
          <w:rFonts w:ascii="Calibri" w:cs="Calibri" w:eastAsia="Calibri" w:hAnsi="Calibri"/>
          <w:i/>
          <w:iCs/>
          <w:color w:val="555555"/>
          <w:sz w:val="22"/>
          <w:szCs w:val="22"/>
        </w:rPr>
        <w:t xml:space="preserve">The shared spec for the ADR-003 frontend redesign — design tokens, layout patterns, and the per-screen permission table that both the build and the regression tests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BFBFBF" w:sz="4"/>
              <w:left w:val="single" w:color="BFBFBF" w:sz="4"/>
              <w:bottom w:val="single" w:color="BFBFBF" w:sz="4"/>
              <w:right w:val="single" w:color="BFBFBF" w:sz="4"/>
            </w:tcBorders>
            <w:shd w:fill="F1F5F3" w:color="auto" w:val="clear"/>
            <w:tcMar>
              <w:top w:type="dxa" w:w="60"/>
              <w:left w:type="dxa" w:w="120"/>
              <w:bottom w:type="dxa" w:w="60"/>
              <w:right w:type="dxa" w:w="120"/>
            </w:tcMar>
          </w:tcPr>
          <w:p>
            <w:r>
              <w:rPr>
                <w:rFonts w:ascii="Calibri" w:cs="Calibri" w:eastAsia="Calibri" w:hAnsi="Calibri"/>
                <w:b/>
                <w:bCs/>
                <w:sz w:val="20"/>
                <w:szCs w:val="20"/>
              </w:rPr>
              <w:t xml:space="preserve">Status</w:t>
            </w:r>
          </w:p>
        </w:tc>
        <w:tc>
          <w:tcPr>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bCs/>
                <w:color w:val="B8860B"/>
                <w:sz w:val="20"/>
                <w:szCs w:val="20"/>
              </w:rPr>
              <w:t xml:space="preserve">PROPOSED — awaiting sign-off · v1.1 adds §4.3–4.4 routing &amp; /my-courses</w:t>
            </w:r>
          </w:p>
        </w:tc>
      </w:tr>
      <w:tr>
        <w:tc>
          <w:tcPr>
            <w:tcBorders>
              <w:top w:val="single" w:color="BFBFBF" w:sz="4"/>
              <w:left w:val="single" w:color="BFBFBF" w:sz="4"/>
              <w:bottom w:val="single" w:color="BFBFBF" w:sz="4"/>
              <w:right w:val="single" w:color="BFBFBF" w:sz="4"/>
            </w:tcBorders>
            <w:shd w:fill="F1F5F3" w:color="auto" w:val="clear"/>
            <w:tcMar>
              <w:top w:type="dxa" w:w="60"/>
              <w:left w:type="dxa" w:w="120"/>
              <w:bottom w:type="dxa" w:w="60"/>
              <w:right w:type="dxa" w:w="120"/>
            </w:tcMar>
          </w:tcPr>
          <w:p>
            <w:r>
              <w:rPr>
                <w:rFonts w:ascii="Calibri" w:cs="Calibri" w:eastAsia="Calibri" w:hAnsi="Calibri"/>
                <w:b/>
                <w:bCs/>
                <w:sz w:val="20"/>
                <w:szCs w:val="20"/>
              </w:rPr>
              <w:t xml:space="preserve">Date</w:t>
            </w:r>
          </w:p>
        </w:tc>
        <w:tc>
          <w:tcPr>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27 May 2026</w:t>
            </w:r>
          </w:p>
        </w:tc>
      </w:tr>
      <w:tr>
        <w:tc>
          <w:tcPr>
            <w:tcBorders>
              <w:top w:val="single" w:color="BFBFBF" w:sz="4"/>
              <w:left w:val="single" w:color="BFBFBF" w:sz="4"/>
              <w:bottom w:val="single" w:color="BFBFBF" w:sz="4"/>
              <w:right w:val="single" w:color="BFBFBF" w:sz="4"/>
            </w:tcBorders>
            <w:shd w:fill="F1F5F3" w:color="auto" w:val="clear"/>
            <w:tcMar>
              <w:top w:type="dxa" w:w="60"/>
              <w:left w:type="dxa" w:w="120"/>
              <w:bottom w:type="dxa" w:w="60"/>
              <w:right w:type="dxa" w:w="120"/>
            </w:tcMar>
          </w:tcPr>
          <w:p>
            <w:r>
              <w:rPr>
                <w:rFonts w:ascii="Calibri" w:cs="Calibri" w:eastAsia="Calibri" w:hAnsi="Calibri"/>
                <w:b/>
                <w:bCs/>
                <w:sz w:val="20"/>
                <w:szCs w:val="20"/>
              </w:rPr>
              <w:t xml:space="preserve">Implements</w:t>
            </w:r>
          </w:p>
        </w:tc>
        <w:tc>
          <w:tcPr>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ADR-003 §3 (routes/lifecycle), §4 (authorization)</w:t>
            </w:r>
          </w:p>
        </w:tc>
      </w:tr>
      <w:tr>
        <w:tc>
          <w:tcPr>
            <w:tcBorders>
              <w:top w:val="single" w:color="BFBFBF" w:sz="4"/>
              <w:left w:val="single" w:color="BFBFBF" w:sz="4"/>
              <w:bottom w:val="single" w:color="BFBFBF" w:sz="4"/>
              <w:right w:val="single" w:color="BFBFBF" w:sz="4"/>
            </w:tcBorders>
            <w:shd w:fill="F1F5F3" w:color="auto" w:val="clear"/>
            <w:tcMar>
              <w:top w:type="dxa" w:w="60"/>
              <w:left w:type="dxa" w:w="120"/>
              <w:bottom w:type="dxa" w:w="60"/>
              <w:right w:type="dxa" w:w="120"/>
            </w:tcMar>
          </w:tcPr>
          <w:p>
            <w:r>
              <w:rPr>
                <w:rFonts w:ascii="Calibri" w:cs="Calibri" w:eastAsia="Calibri" w:hAnsi="Calibri"/>
                <w:b/>
                <w:bCs/>
                <w:sz w:val="20"/>
                <w:szCs w:val="20"/>
              </w:rPr>
              <w:t xml:space="preserve">Used by</w:t>
            </w:r>
          </w:p>
        </w:tc>
        <w:tc>
          <w:tcPr>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Frontend Task A (permission-critical) and Task B (UX flows)</w:t>
            </w:r>
          </w:p>
        </w:tc>
      </w:tr>
      <w:tr>
        <w:tc>
          <w:tcPr>
            <w:tcBorders>
              <w:top w:val="single" w:color="BFBFBF" w:sz="4"/>
              <w:left w:val="single" w:color="BFBFBF" w:sz="4"/>
              <w:bottom w:val="single" w:color="BFBFBF" w:sz="4"/>
              <w:right w:val="single" w:color="BFBFBF" w:sz="4"/>
            </w:tcBorders>
            <w:shd w:fill="F1F5F3" w:color="auto" w:val="clear"/>
            <w:tcMar>
              <w:top w:type="dxa" w:w="60"/>
              <w:left w:type="dxa" w:w="120"/>
              <w:bottom w:type="dxa" w:w="60"/>
              <w:right w:type="dxa" w:w="120"/>
            </w:tcMar>
          </w:tcPr>
          <w:p>
            <w:r>
              <w:rPr>
                <w:rFonts w:ascii="Calibri" w:cs="Calibri" w:eastAsia="Calibri" w:hAnsi="Calibri"/>
                <w:b/>
                <w:bCs/>
                <w:sz w:val="20"/>
                <w:szCs w:val="20"/>
              </w:rPr>
              <w:t xml:space="preserve">Not</w:t>
            </w:r>
          </w:p>
        </w:tc>
        <w:tc>
          <w:tcPr>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A new decision — ADR-003 already decided. This is how the frontend expresses it.</w:t>
            </w:r>
          </w:p>
        </w:tc>
      </w:tr>
    </w:tbl>
    <w:p>
      <w:pPr>
        <w:spacing w:after="80"/>
      </w:pPr>
      <w:r>
        <w:t xml:space="preserve"/>
      </w:r>
    </w:p>
    <w:p>
      <w:pPr>
        <w:pStyle w:val="Heading1"/>
        <w:spacing w:after="180" w:before="360"/>
      </w:pPr>
      <w:r>
        <w:rPr>
          <w:rFonts w:ascii="Calibri" w:cs="Calibri" w:eastAsia="Calibri" w:hAnsi="Calibri"/>
          <w:b/>
          <w:bCs/>
          <w:color w:val="116149"/>
          <w:sz w:val="36"/>
          <w:szCs w:val="36"/>
        </w:rPr>
        <w:t xml:space="preserve">1. What this document is</w:t>
      </w:r>
    </w:p>
    <w:p>
      <w:pPr>
        <w:spacing w:after="120" w:line="300"/>
      </w:pPr>
      <w:r>
        <w:rPr>
          <w:rFonts w:ascii="Calibri" w:cs="Calibri" w:eastAsia="Calibri" w:hAnsi="Calibri"/>
          <w:sz w:val="22"/>
          <w:szCs w:val="22"/>
        </w:rPr>
        <w:t xml:space="preserve">The backend now enforces the ADR-003 identity model: tenant-scoped users, org roles on memberships, course roles on enrolments, permission-based checks. The frontend still assumes the retired broad-signup model. This contract is the shared spec for bringing the frontend into line.</w:t>
      </w:r>
    </w:p>
    <w:p>
      <w:pPr>
        <w:spacing w:after="120" w:line="300"/>
      </w:pPr>
      <w:r>
        <w:rPr>
          <w:rFonts w:ascii="Calibri" w:cs="Calibri" w:eastAsia="Calibri" w:hAnsi="Calibri"/>
          <w:sz w:val="22"/>
          <w:szCs w:val="22"/>
        </w:rPr>
        <w:t xml:space="preserve">It exists because frontend correctness is different from backend correctness. A cross-tenant query either leaks or it doesn't — objective. A screen can be technically working and still show the wrong control to the wrong role, or invent an inconsistent empty state, or fail silently at a limit. This document pins the parts that must be exact (what each role sees and cannot reach) and sets consistent defaults for the parts that are otherwise left to the builder's judgement.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5C" w:sz="12"/>
              <w:left w:val="single" w:color="1E7A5C" w:sz="24"/>
              <w:bottom w:val="single" w:color="1E7A5C" w:sz="12"/>
              <w:right w:val="single" w:color="1E7A5C" w:sz="12"/>
            </w:tcBorders>
            <w:shd w:fill="EAF3EF" w:color="auto" w:val="clear"/>
            <w:tcMar>
              <w:top w:type="dxa" w:w="150"/>
              <w:left w:type="dxa" w:w="200"/>
              <w:bottom w:type="dxa" w:w="150"/>
              <w:right w:type="dxa" w:w="200"/>
            </w:tcMar>
          </w:tcPr>
          <w:p>
            <w:pPr>
              <w:spacing w:after="70"/>
            </w:pPr>
            <w:r>
              <w:rPr>
                <w:rFonts w:ascii="Calibri" w:cs="Calibri" w:eastAsia="Calibri" w:hAnsi="Calibri"/>
                <w:b/>
                <w:bCs/>
                <w:color w:val="134E3A"/>
                <w:sz w:val="22"/>
                <w:szCs w:val="22"/>
              </w:rPr>
              <w:t xml:space="preserve">The one rule everything serves</w:t>
            </w:r>
          </w:p>
          <w:p>
            <w:r>
              <w:rPr>
                <w:rFonts w:ascii="Calibri" w:cs="Calibri" w:eastAsia="Calibri" w:hAnsi="Calibri"/>
                <w:color w:val="333333"/>
                <w:sz w:val="22"/>
                <w:szCs w:val="22"/>
              </w:rPr>
              <w:t xml:space="preserve">The UI must never grant what the backend would deny. A learner must not see — not merely be blocked from, but not see — an authoring control. This is defense-in-depth (the backend still rejects it) and honest UX (the interface tells the truth about what you can do). The permission table in §4 is the enforceable form of this rule, and the Playwright regression tests assert against it.</w:t>
            </w:r>
          </w:p>
        </w:tc>
      </w:tr>
    </w:tbl>
    <w:p>
      <w:pPr>
        <w:pStyle w:val="Heading1"/>
        <w:spacing w:after="180" w:before="360"/>
      </w:pPr>
      <w:r>
        <w:rPr>
          <w:rFonts w:ascii="Calibri" w:cs="Calibri" w:eastAsia="Calibri" w:hAnsi="Calibri"/>
          <w:b/>
          <w:bCs/>
          <w:color w:val="116149"/>
          <w:sz w:val="36"/>
          <w:szCs w:val="36"/>
        </w:rPr>
        <w:t xml:space="preserve">2. Design tokens</w:t>
      </w:r>
    </w:p>
    <w:p>
      <w:pPr>
        <w:spacing w:after="120" w:line="300"/>
      </w:pPr>
      <w:r>
        <w:rPr>
          <w:rFonts w:ascii="Calibri" w:cs="Calibri" w:eastAsia="Calibri" w:hAnsi="Calibri"/>
          <w:sz w:val="22"/>
          <w:szCs w:val="22"/>
        </w:rPr>
        <w:t xml:space="preserve">These codify the identity already in the repo (src/app/globals.css and the shadcn-style Button). The redesign should extend this system, not replace it — the emerald primary is OmniXtra's established colour and changing it now would be churn without benefit.</w:t>
      </w:r>
    </w:p>
    <w:p>
      <w:pPr>
        <w:pStyle w:val="Heading2"/>
        <w:spacing w:after="140" w:before="280"/>
      </w:pPr>
      <w:r>
        <w:rPr>
          <w:rFonts w:ascii="Calibri" w:cs="Calibri" w:eastAsia="Calibri" w:hAnsi="Calibri"/>
          <w:b/>
          <w:bCs/>
          <w:color w:val="1E7A5C"/>
          <w:sz w:val="28"/>
          <w:szCs w:val="28"/>
        </w:rPr>
        <w:t xml:space="preserve">2.1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160"/>
      </w:tblGrid>
      <w:tr>
        <w:trPr>
          <w:tblHeader/>
        </w:trPr>
        <w:tc>
          <w:tcPr>
            <w:tcW w:type="dxa" w:w="14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
            </w:r>
          </w:p>
        </w:tc>
        <w:tc>
          <w:tcPr>
            <w:tcW w:type="dxa" w:w="22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Token</w:t>
            </w:r>
          </w:p>
        </w:tc>
        <w:tc>
          <w:tcPr>
            <w:tcW w:type="dxa" w:w="16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Value</w:t>
            </w:r>
          </w:p>
        </w:tc>
        <w:tc>
          <w:tcPr>
            <w:tcW w:type="dxa" w:w="416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Use</w:t>
            </w:r>
          </w:p>
        </w:tc>
      </w:tr>
      <w:tr>
        <w:tc>
          <w:tcPr>
            <w:tcW w:type="dxa" w:w="1400"/>
            <w:tcBorders>
              <w:top w:val="single" w:color="BFBFBF" w:sz="4"/>
              <w:left w:val="single" w:color="BFBFBF" w:sz="4"/>
              <w:bottom w:val="single" w:color="BFBFBF" w:sz="4"/>
              <w:right w:val="single" w:color="BFBFBF" w:sz="4"/>
            </w:tcBorders>
            <w:shd w:fill="116149" w:color="auto" w:val="clear"/>
            <w:tcMar>
              <w:top w:type="dxa" w:w="120"/>
              <w:left w:type="dxa" w:w="130"/>
              <w:bottom w:type="dxa" w:w="120"/>
              <w:right w:type="dxa" w:w="13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--primary</w:t>
            </w:r>
          </w:p>
        </w:tc>
        <w:tc>
          <w:tcPr>
            <w:tcW w:type="dxa" w:w="16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#116149</w:t>
            </w:r>
          </w:p>
        </w:tc>
        <w:tc>
          <w:tcPr>
            <w:tcW w:type="dxa" w:w="41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Primary actions, active nav, admin role accent</w:t>
            </w:r>
          </w:p>
        </w:tc>
      </w:tr>
      <w:tr>
        <w:tc>
          <w:tcPr>
            <w:tcW w:type="dxa" w:w="1400"/>
            <w:tcBorders>
              <w:top w:val="single" w:color="BFBFBF" w:sz="4"/>
              <w:left w:val="single" w:color="BFBFBF" w:sz="4"/>
              <w:bottom w:val="single" w:color="BFBFBF" w:sz="4"/>
              <w:right w:val="single" w:color="BFBFBF" w:sz="4"/>
            </w:tcBorders>
            <w:shd w:fill="FFFFFF" w:color="auto" w:val="clear"/>
            <w:tcMar>
              <w:top w:type="dxa" w:w="120"/>
              <w:left w:type="dxa" w:w="130"/>
              <w:bottom w:type="dxa" w:w="120"/>
              <w:right w:type="dxa" w:w="13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--primary-foreground</w:t>
            </w:r>
          </w:p>
        </w:tc>
        <w:tc>
          <w:tcPr>
            <w:tcW w:type="dxa" w:w="16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#FFFFFF</w:t>
            </w:r>
          </w:p>
        </w:tc>
        <w:tc>
          <w:tcPr>
            <w:tcW w:type="dxa" w:w="41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Text/icons on primary</w:t>
            </w:r>
          </w:p>
        </w:tc>
      </w:tr>
      <w:tr>
        <w:tc>
          <w:tcPr>
            <w:tcW w:type="dxa" w:w="1400"/>
            <w:tcBorders>
              <w:top w:val="single" w:color="BFBFBF" w:sz="4"/>
              <w:left w:val="single" w:color="BFBFBF" w:sz="4"/>
              <w:bottom w:val="single" w:color="BFBFBF" w:sz="4"/>
              <w:right w:val="single" w:color="BFBFBF" w:sz="4"/>
            </w:tcBorders>
            <w:shd w:fill="F7F8FA" w:color="auto" w:val="clear"/>
            <w:tcMar>
              <w:top w:type="dxa" w:w="120"/>
              <w:left w:type="dxa" w:w="130"/>
              <w:bottom w:type="dxa" w:w="120"/>
              <w:right w:type="dxa" w:w="13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--background</w:t>
            </w:r>
          </w:p>
        </w:tc>
        <w:tc>
          <w:tcPr>
            <w:tcW w:type="dxa" w:w="16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#F7F8FA</w:t>
            </w:r>
          </w:p>
        </w:tc>
        <w:tc>
          <w:tcPr>
            <w:tcW w:type="dxa" w:w="41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App background, table header rows, hover</w:t>
            </w:r>
          </w:p>
        </w:tc>
      </w:tr>
      <w:tr>
        <w:tc>
          <w:tcPr>
            <w:tcW w:type="dxa" w:w="1400"/>
            <w:tcBorders>
              <w:top w:val="single" w:color="BFBFBF" w:sz="4"/>
              <w:left w:val="single" w:color="BFBFBF" w:sz="4"/>
              <w:bottom w:val="single" w:color="BFBFBF" w:sz="4"/>
              <w:right w:val="single" w:color="BFBFBF" w:sz="4"/>
            </w:tcBorders>
            <w:shd w:fill="111827" w:color="auto" w:val="clear"/>
            <w:tcMar>
              <w:top w:type="dxa" w:w="120"/>
              <w:left w:type="dxa" w:w="130"/>
              <w:bottom w:type="dxa" w:w="120"/>
              <w:right w:type="dxa" w:w="13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--foreground</w:t>
            </w:r>
          </w:p>
        </w:tc>
        <w:tc>
          <w:tcPr>
            <w:tcW w:type="dxa" w:w="16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#111827</w:t>
            </w:r>
          </w:p>
        </w:tc>
        <w:tc>
          <w:tcPr>
            <w:tcW w:type="dxa" w:w="41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Primary text</w:t>
            </w:r>
          </w:p>
        </w:tc>
      </w:tr>
      <w:tr>
        <w:tc>
          <w:tcPr>
            <w:tcW w:type="dxa" w:w="1400"/>
            <w:tcBorders>
              <w:top w:val="single" w:color="BFBFBF" w:sz="4"/>
              <w:left w:val="single" w:color="BFBFBF" w:sz="4"/>
              <w:bottom w:val="single" w:color="BFBFBF" w:sz="4"/>
              <w:right w:val="single" w:color="BFBFBF" w:sz="4"/>
            </w:tcBorders>
            <w:shd w:fill="D7DDE5" w:color="auto" w:val="clear"/>
            <w:tcMar>
              <w:top w:type="dxa" w:w="120"/>
              <w:left w:type="dxa" w:w="130"/>
              <w:bottom w:type="dxa" w:w="120"/>
              <w:right w:type="dxa" w:w="13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--border</w:t>
            </w:r>
          </w:p>
        </w:tc>
        <w:tc>
          <w:tcPr>
            <w:tcW w:type="dxa" w:w="16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#D7DDE5</w:t>
            </w:r>
          </w:p>
        </w:tc>
        <w:tc>
          <w:tcPr>
            <w:tcW w:type="dxa" w:w="41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Dividers, input and card borders</w:t>
            </w:r>
          </w:p>
        </w:tc>
      </w:tr>
      <w:tr>
        <w:tc>
          <w:tcPr>
            <w:tcW w:type="dxa" w:w="1400"/>
            <w:tcBorders>
              <w:top w:val="single" w:color="BFBFBF" w:sz="4"/>
              <w:left w:val="single" w:color="BFBFBF" w:sz="4"/>
              <w:bottom w:val="single" w:color="BFBFBF" w:sz="4"/>
              <w:right w:val="single" w:color="BFBFBF" w:sz="4"/>
            </w:tcBorders>
            <w:shd w:fill="1A5340" w:color="auto" w:val="clear"/>
            <w:tcMar>
              <w:top w:type="dxa" w:w="120"/>
              <w:left w:type="dxa" w:w="130"/>
              <w:bottom w:type="dxa" w:w="120"/>
              <w:right w:type="dxa" w:w="130"/>
            </w:tcMar>
          </w:tcPr>
          <w:p>
            <w:r>
              <w:rPr>
                <w:rFonts w:ascii="Calibri" w:cs="Calibri" w:eastAsia="Calibri" w:hAnsi="Calibri"/>
                <w:sz w:val="18"/>
                <w:szCs w:val="18"/>
              </w:rPr>
              <w:t xml:space="preserve"/>
            </w:r>
          </w:p>
        </w:tc>
        <w:tc>
          <w:tcPr>
            <w:tcW w:type="dxa" w:w="22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hover primary</w:t>
            </w:r>
          </w:p>
        </w:tc>
        <w:tc>
          <w:tcPr>
            <w:tcW w:type="dxa" w:w="16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#1A5340</w:t>
            </w:r>
          </w:p>
        </w:tc>
        <w:tc>
          <w:tcPr>
            <w:tcW w:type="dxa" w:w="41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Primary button hover (emerald-800)</w:t>
            </w:r>
          </w:p>
        </w:tc>
      </w:tr>
    </w:tbl>
    <w:p>
      <w:pPr>
        <w:spacing w:after="80"/>
      </w:pPr>
      <w:r>
        <w:t xml:space="preserve"/>
      </w:r>
    </w:p>
    <w:p>
      <w:pPr>
        <w:spacing w:after="120" w:line="300"/>
      </w:pPr>
      <w:r>
        <w:rPr>
          <w:rFonts w:ascii="Calibri" w:cs="Calibri" w:eastAsia="Calibri" w:hAnsi="Calibri"/>
          <w:b/>
          <w:bCs/>
          <w:sz w:val="22"/>
          <w:szCs w:val="22"/>
        </w:rPr>
        <w:t xml:space="preserve">Semantic accents (add as tokens): </w:t>
      </w:r>
      <w:r>
        <w:rPr>
          <w:rFonts w:ascii="Calibri" w:cs="Calibri" w:eastAsia="Calibri" w:hAnsi="Calibri"/>
          <w:sz w:val="22"/>
          <w:szCs w:val="22"/>
        </w:rPr>
        <w:t xml:space="preserve">amber (#B45309 text / #F59E0B dot) for invited/pending and limit warnings; emerald dot (#10B981) for active; red (#DC2626) for destructive and errors. Keep these few and consistent — a colour should mean one thing across the whole app.</w:t>
      </w:r>
    </w:p>
    <w:p>
      <w:pPr>
        <w:pStyle w:val="Heading2"/>
        <w:spacing w:after="140" w:before="280"/>
      </w:pPr>
      <w:r>
        <w:rPr>
          <w:rFonts w:ascii="Calibri" w:cs="Calibri" w:eastAsia="Calibri" w:hAnsi="Calibri"/>
          <w:b/>
          <w:bCs/>
          <w:color w:val="1E7A5C"/>
          <w:sz w:val="28"/>
          <w:szCs w:val="28"/>
        </w:rPr>
        <w:t xml:space="preserve">2.2 Type &amp; 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Role</w:t>
            </w:r>
          </w:p>
        </w:tc>
        <w:tc>
          <w:tcPr>
            <w:tcW w:type="dxa" w:w="676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Treatment</w:t>
            </w:r>
          </w:p>
        </w:tc>
      </w:tr>
      <w:tr>
        <w:tc>
          <w:tcPr>
            <w:tcW w:type="dxa" w:w="26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Page title (h1)</w:t>
            </w:r>
          </w:p>
        </w:tc>
        <w:tc>
          <w:tcPr>
            <w:tcW w:type="dxa" w:w="676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text-2xl (24px) semibold, tracking-tight, --foreground</w:t>
            </w:r>
          </w:p>
        </w:tc>
      </w:tr>
      <w:tr>
        <w:tc>
          <w:tcPr>
            <w:tcW w:type="dxa" w:w="26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Section title (h2)</w:t>
            </w:r>
          </w:p>
        </w:tc>
        <w:tc>
          <w:tcPr>
            <w:tcW w:type="dxa" w:w="67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text-lg (18px) semibold</w:t>
            </w:r>
          </w:p>
        </w:tc>
      </w:tr>
      <w:tr>
        <w:tc>
          <w:tcPr>
            <w:tcW w:type="dxa" w:w="26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Body</w:t>
            </w:r>
          </w:p>
        </w:tc>
        <w:tc>
          <w:tcPr>
            <w:tcW w:type="dxa" w:w="676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text-sm (14px), --foreground for primary, slate-500/600 for secondary</w:t>
            </w:r>
          </w:p>
        </w:tc>
      </w:tr>
      <w:tr>
        <w:tc>
          <w:tcPr>
            <w:tcW w:type="dxa" w:w="26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Label / eyebrow</w:t>
            </w:r>
          </w:p>
        </w:tc>
        <w:tc>
          <w:tcPr>
            <w:tcW w:type="dxa" w:w="67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text-xs (12px), uppercase tracking-wide for table headers; sentence case for form labels</w:t>
            </w:r>
          </w:p>
        </w:tc>
      </w:tr>
      <w:tr>
        <w:tc>
          <w:tcPr>
            <w:tcW w:type="dxa" w:w="26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Metric / data</w:t>
            </w:r>
          </w:p>
        </w:tc>
        <w:tc>
          <w:tcPr>
            <w:tcW w:type="dxa" w:w="676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tabular where numbers align (seat counts, progress)</w:t>
            </w:r>
          </w:p>
        </w:tc>
      </w:tr>
    </w:tbl>
    <w:p>
      <w:pPr>
        <w:spacing w:after="80"/>
      </w:pPr>
      <w:r>
        <w:t xml:space="preserve"/>
      </w:r>
    </w:p>
    <w:p>
      <w:pPr>
        <w:spacing w:after="120" w:line="300"/>
      </w:pPr>
      <w:r>
        <w:rPr>
          <w:rFonts w:ascii="Calibri" w:cs="Calibri" w:eastAsia="Calibri" w:hAnsi="Calibri"/>
          <w:sz w:val="22"/>
          <w:szCs w:val="22"/>
        </w:rPr>
        <w:t xml:space="preserve">Spacing scale: 4 / 8 / 12 / 16 / 24 / 40 (Tailwind 1/2/3/4/6/10). Card and input radius: rounded-md (6px) for controls, rounded-lg (8px) for cards, rounded-full for badges. One scale, applied consistently — inconsistent spacing is the fastest tell of a templated build.</w:t>
      </w:r>
    </w:p>
    <w:p>
      <w:r>
        <w:br w:type="page"/>
      </w:r>
    </w:p>
    <w:p>
      <w:pPr>
        <w:pStyle w:val="Heading1"/>
        <w:spacing w:after="180" w:before="360"/>
      </w:pPr>
      <w:r>
        <w:rPr>
          <w:rFonts w:ascii="Calibri" w:cs="Calibri" w:eastAsia="Calibri" w:hAnsi="Calibri"/>
          <w:b/>
          <w:bCs/>
          <w:color w:val="116149"/>
          <w:sz w:val="36"/>
          <w:szCs w:val="36"/>
        </w:rPr>
        <w:t xml:space="preserve">3. Layout patterns</w:t>
      </w:r>
    </w:p>
    <w:p>
      <w:pPr>
        <w:spacing w:after="120" w:line="300"/>
      </w:pPr>
      <w:r>
        <w:rPr>
          <w:rFonts w:ascii="Calibri" w:cs="Calibri" w:eastAsia="Calibri" w:hAnsi="Calibri"/>
          <w:sz w:val="22"/>
          <w:szCs w:val="22"/>
        </w:rPr>
        <w:t xml:space="preserve">Three patterns cover every screen in this track. Reuse them; do not invent a fourth without reason.</w:t>
      </w:r>
    </w:p>
    <w:p>
      <w:pPr>
        <w:pStyle w:val="Heading2"/>
        <w:spacing w:after="140" w:before="280"/>
      </w:pPr>
      <w:r>
        <w:rPr>
          <w:rFonts w:ascii="Calibri" w:cs="Calibri" w:eastAsia="Calibri" w:hAnsi="Calibri"/>
          <w:b/>
          <w:bCs/>
          <w:color w:val="1E7A5C"/>
          <w:sz w:val="28"/>
          <w:szCs w:val="28"/>
        </w:rPr>
        <w:t xml:space="preserve">3.1 App shell</w:t>
      </w:r>
    </w:p>
    <w:p>
      <w:pPr>
        <w:spacing w:after="120" w:line="300"/>
      </w:pPr>
      <w:r>
        <w:rPr>
          <w:rFonts w:ascii="Calibri" w:cs="Calibri" w:eastAsia="Calibri" w:hAnsi="Calibri"/>
          <w:sz w:val="22"/>
          <w:szCs w:val="22"/>
        </w:rPr>
        <w:t xml:space="preserve">Authenticated screens live inside a shell: a slim top or side nav carrying the tenant name/logo (branding), the primary nav filtered by membership role (§4), and an account menu with sign-out. The nav is the first place role-awareness shows: an admin sees Members, Courses, Billing; a member without course-authoring sees only what their enrolments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1F5F3" w:color="auto" w:val="clear"/>
            <w:tcMar>
              <w:top w:type="dxa" w:w="150"/>
              <w:left w:type="dxa" w:w="200"/>
              <w:bottom w:type="dxa" w:w="150"/>
              <w:right w:type="dxa" w:w="20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[logo] Acme Onboarding        Courses  Members  Billing | &lt;- nav filtered by role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Page title                            [primary action]|</w:t>
            </w:r>
          </w:p>
          <w:p>
            <w:pPr>
              <w:spacing w:after="0" w:line="240"/>
            </w:pPr>
            <w:r>
              <w:rPr>
                <w:rFonts w:ascii="Consolas" w:cs="Consolas" w:eastAsia="Consolas" w:hAnsi="Consolas"/>
                <w:sz w:val="18"/>
                <w:szCs w:val="18"/>
              </w:rPr>
              <w:t xml:space="preserve">|   one-line description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page content (list / form / player)            |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pStyle w:val="Heading2"/>
        <w:spacing w:after="140" w:before="280"/>
      </w:pPr>
      <w:r>
        <w:rPr>
          <w:rFonts w:ascii="Calibri" w:cs="Calibri" w:eastAsia="Calibri" w:hAnsi="Calibri"/>
          <w:b/>
          <w:bCs/>
          <w:color w:val="1E7A5C"/>
          <w:sz w:val="28"/>
          <w:szCs w:val="28"/>
        </w:rPr>
        <w:t xml:space="preserve">3.2 List + empty state</w:t>
      </w:r>
    </w:p>
    <w:p>
      <w:pPr>
        <w:spacing w:after="120" w:line="300"/>
      </w:pPr>
      <w:r>
        <w:rPr>
          <w:rFonts w:ascii="Calibri" w:cs="Calibri" w:eastAsia="Calibri" w:hAnsi="Calibri"/>
          <w:sz w:val="22"/>
          <w:szCs w:val="22"/>
        </w:rPr>
        <w:t xml:space="preserve">Used for members, courses, invitations. A bordered card containing a table with an uppercase header row; each row hover-highlights. When the collection is empty, replace the table with a dashed-border empty state that names the first action, never a blank card. Empty states are invitations to act, not apologies — 'Invite the first person', not 'No data found'.</w:t>
      </w:r>
    </w:p>
    <w:p>
      <w:pPr>
        <w:pStyle w:val="Heading2"/>
        <w:spacing w:after="140" w:before="280"/>
      </w:pPr>
      <w:r>
        <w:rPr>
          <w:rFonts w:ascii="Calibri" w:cs="Calibri" w:eastAsia="Calibri" w:hAnsi="Calibri"/>
          <w:b/>
          <w:bCs/>
          <w:color w:val="1E7A5C"/>
          <w:sz w:val="28"/>
          <w:szCs w:val="28"/>
        </w:rPr>
        <w:t xml:space="preserve">3.3 Form / action pattern</w:t>
      </w:r>
    </w:p>
    <w:p>
      <w:pPr>
        <w:spacing w:after="120" w:line="300"/>
      </w:pPr>
      <w:r>
        <w:rPr>
          <w:rFonts w:ascii="Calibri" w:cs="Calibri" w:eastAsia="Calibri" w:hAnsi="Calibri"/>
          <w:sz w:val="22"/>
          <w:szCs w:val="22"/>
        </w:rPr>
        <w:t xml:space="preserve">Used for tenant creation, invitation, invite acceptance. Inline labels above inputs, primary action as the emerald Button, secondary action as a quiet text button. Validation and limit feedback appear inline next to the relevant control, in the amber warning colour, specific and actionable. A disabled action always explains why it's disabled — a greyed button with no reason is a dead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5C" w:sz="12"/>
              <w:left w:val="single" w:color="1E7A5C" w:sz="24"/>
              <w:bottom w:val="single" w:color="1E7A5C" w:sz="12"/>
              <w:right w:val="single" w:color="1E7A5C" w:sz="12"/>
            </w:tcBorders>
            <w:shd w:fill="EAF3EF" w:color="auto" w:val="clear"/>
            <w:tcMar>
              <w:top w:type="dxa" w:w="150"/>
              <w:left w:type="dxa" w:w="200"/>
              <w:bottom w:type="dxa" w:w="150"/>
              <w:right w:type="dxa" w:w="200"/>
            </w:tcMar>
          </w:tcPr>
          <w:p>
            <w:pPr>
              <w:spacing w:after="70"/>
            </w:pPr>
            <w:r>
              <w:rPr>
                <w:rFonts w:ascii="Calibri" w:cs="Calibri" w:eastAsia="Calibri" w:hAnsi="Calibri"/>
                <w:b/>
                <w:bCs/>
                <w:color w:val="134E3A"/>
                <w:sz w:val="22"/>
                <w:szCs w:val="22"/>
              </w:rPr>
              <w:t xml:space="preserve">Denied and limit states are first-class</w:t>
            </w:r>
          </w:p>
          <w:p>
            <w:r>
              <w:rPr>
                <w:rFonts w:ascii="Calibri" w:cs="Calibri" w:eastAsia="Calibri" w:hAnsi="Calibri"/>
                <w:color w:val="333333"/>
                <w:sz w:val="22"/>
                <w:szCs w:val="22"/>
              </w:rPr>
              <w:t xml:space="preserve">Two states that are easy to skip and must not be: (1) DENIED — a user reaching a screen their role doesn't permit sees a plain 'this area is for admins' message with no data and no controls, never a blank page or a raw 403. (2) AT LIMIT — an action blocked by a plan limit (admin seats) is disabled with legible feedback naming the limit and the way forward (upgrade, or invite as member). Both are specified per screen in §4 and demonstrated in the reference component.</w:t>
            </w:r>
          </w:p>
        </w:tc>
      </w:tr>
    </w:tbl>
    <w:p>
      <w:r>
        <w:br w:type="page"/>
      </w:r>
    </w:p>
    <w:p>
      <w:pPr>
        <w:pStyle w:val="Heading1"/>
        <w:spacing w:after="180" w:before="360"/>
      </w:pPr>
      <w:r>
        <w:rPr>
          <w:rFonts w:ascii="Calibri" w:cs="Calibri" w:eastAsia="Calibri" w:hAnsi="Calibri"/>
          <w:b/>
          <w:bCs/>
          <w:color w:val="116149"/>
          <w:sz w:val="36"/>
          <w:szCs w:val="36"/>
        </w:rPr>
        <w:t xml:space="preserve">4. The permission table</w:t>
      </w:r>
    </w:p>
    <w:p>
      <w:pPr>
        <w:spacing w:after="120" w:line="300"/>
      </w:pPr>
      <w:r>
        <w:rPr>
          <w:rFonts w:ascii="Calibri" w:cs="Calibri" w:eastAsia="Calibri" w:hAnsi="Calibri"/>
          <w:sz w:val="22"/>
          <w:szCs w:val="22"/>
        </w:rPr>
        <w:t xml:space="preserve">This is the contract's core. For each screen it states what each role sees. It is simultaneously the build spec and the test oracle: every 'hidden' cell is a Playwright assertion that the control is absent for that role, and every 'denied' is an assertion that the route shows the denied state with no underlying data.</w:t>
      </w:r>
    </w:p>
    <w:p>
      <w:pPr>
        <w:spacing w:after="120" w:line="300"/>
      </w:pPr>
      <w:r>
        <w:rPr>
          <w:rFonts w:ascii="Calibri" w:cs="Calibri" w:eastAsia="Calibri" w:hAnsi="Calibri"/>
          <w:b/>
          <w:bCs/>
          <w:sz w:val="22"/>
          <w:szCs w:val="22"/>
        </w:rPr>
        <w:t xml:space="preserve">Roles: </w:t>
      </w:r>
      <w:r>
        <w:rPr>
          <w:rFonts w:ascii="Calibri" w:cs="Calibri" w:eastAsia="Calibri" w:hAnsi="Calibri"/>
          <w:sz w:val="22"/>
          <w:szCs w:val="22"/>
        </w:rPr>
        <w:t xml:space="preserve">Org roles are </w:t>
      </w:r>
      <w:r>
        <w:rPr>
          <w:rFonts w:ascii="Calibri" w:cs="Calibri" w:eastAsia="Calibri" w:hAnsi="Calibri"/>
          <w:b/>
          <w:bCs/>
          <w:sz w:val="22"/>
          <w:szCs w:val="22"/>
        </w:rPr>
        <w:t xml:space="preserve">admin</w:t>
      </w:r>
      <w:r>
        <w:rPr>
          <w:rFonts w:ascii="Calibri" w:cs="Calibri" w:eastAsia="Calibri" w:hAnsi="Calibri"/>
          <w:sz w:val="22"/>
          <w:szCs w:val="22"/>
        </w:rPr>
        <w:t xml:space="preserve"> (tenant_admin) and </w:t>
      </w:r>
      <w:r>
        <w:rPr>
          <w:rFonts w:ascii="Calibri" w:cs="Calibri" w:eastAsia="Calibri" w:hAnsi="Calibri"/>
          <w:b/>
          <w:bCs/>
          <w:sz w:val="22"/>
          <w:szCs w:val="22"/>
        </w:rPr>
        <w:t xml:space="preserve">member</w:t>
      </w:r>
      <w:r>
        <w:rPr>
          <w:rFonts w:ascii="Calibri" w:cs="Calibri" w:eastAsia="Calibri" w:hAnsi="Calibri"/>
          <w:sz w:val="22"/>
          <w:szCs w:val="22"/>
        </w:rPr>
        <w:t xml:space="preserve">. Course roles are </w:t>
      </w:r>
      <w:r>
        <w:rPr>
          <w:rFonts w:ascii="Calibri" w:cs="Calibri" w:eastAsia="Calibri" w:hAnsi="Calibri"/>
          <w:b/>
          <w:bCs/>
          <w:sz w:val="22"/>
          <w:szCs w:val="22"/>
        </w:rPr>
        <w:t xml:space="preserve">owner</w:t>
      </w:r>
      <w:r>
        <w:rPr>
          <w:rFonts w:ascii="Calibri" w:cs="Calibri" w:eastAsia="Calibri" w:hAnsi="Calibri"/>
          <w:sz w:val="22"/>
          <w:szCs w:val="22"/>
        </w:rPr>
        <w:t xml:space="preserve">, </w:t>
      </w:r>
      <w:r>
        <w:rPr>
          <w:rFonts w:ascii="Calibri" w:cs="Calibri" w:eastAsia="Calibri" w:hAnsi="Calibri"/>
          <w:b/>
          <w:bCs/>
          <w:sz w:val="22"/>
          <w:szCs w:val="22"/>
        </w:rPr>
        <w:t xml:space="preserve">facilitator</w:t>
      </w:r>
      <w:r>
        <w:rPr>
          <w:rFonts w:ascii="Calibri" w:cs="Calibri" w:eastAsia="Calibri" w:hAnsi="Calibri"/>
          <w:sz w:val="22"/>
          <w:szCs w:val="22"/>
        </w:rPr>
        <w:t xml:space="preserve">, </w:t>
      </w:r>
      <w:r>
        <w:rPr>
          <w:rFonts w:ascii="Calibri" w:cs="Calibri" w:eastAsia="Calibri" w:hAnsi="Calibri"/>
          <w:b/>
          <w:bCs/>
          <w:sz w:val="22"/>
          <w:szCs w:val="22"/>
        </w:rPr>
        <w:t xml:space="preserve">learner</w:t>
      </w:r>
      <w:r>
        <w:rPr>
          <w:rFonts w:ascii="Calibri" w:cs="Calibri" w:eastAsia="Calibri" w:hAnsi="Calibri"/>
          <w:sz w:val="22"/>
          <w:szCs w:val="22"/>
        </w:rPr>
        <w:t xml:space="preserve">, held per-enrolment. A person's course capability comes from their enrolment on that specific course, independent of their org role — an org member can own a course; an org admin can be a mere learner in another.</w:t>
      </w:r>
    </w:p>
    <w:p>
      <w:pPr>
        <w:pStyle w:val="Heading2"/>
        <w:spacing w:after="140" w:before="280"/>
      </w:pPr>
      <w:r>
        <w:rPr>
          <w:rFonts w:ascii="Calibri" w:cs="Calibri" w:eastAsia="Calibri" w:hAnsi="Calibri"/>
          <w:b/>
          <w:bCs/>
          <w:color w:val="1E7A5C"/>
          <w:sz w:val="28"/>
          <w:szCs w:val="28"/>
        </w:rPr>
        <w:t xml:space="preserve">4.1 Org-level screens (role from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rPr>
          <w:tblHeader/>
        </w:trPr>
        <w:tc>
          <w:tcPr>
            <w:tcW w:type="dxa" w:w="44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Screen / control</w:t>
            </w:r>
          </w:p>
        </w:tc>
        <w:tc>
          <w:tcPr>
            <w:tcW w:type="dxa" w:w="248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admin</w:t>
            </w:r>
          </w:p>
        </w:tc>
        <w:tc>
          <w:tcPr>
            <w:tcW w:type="dxa" w:w="248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member</w:t>
            </w:r>
          </w:p>
        </w:tc>
      </w:tr>
      <w:tr>
        <w:tc>
          <w:tcPr>
            <w:tcW w:type="dxa" w:w="44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Members list (view)</w:t>
            </w:r>
          </w:p>
        </w:tc>
        <w:tc>
          <w:tcPr>
            <w:tcW w:type="dxa" w:w="248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248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denied</w:t>
            </w:r>
          </w:p>
        </w:tc>
      </w:tr>
      <w:tr>
        <w:tc>
          <w:tcPr>
            <w:tcW w:type="dxa" w:w="44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Invite member</w:t>
            </w:r>
          </w:p>
        </w:tc>
        <w:tc>
          <w:tcPr>
            <w:tcW w:type="dxa" w:w="248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248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r>
      <w:tr>
        <w:tc>
          <w:tcPr>
            <w:tcW w:type="dxa" w:w="44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Invite as admin (role option)</w:t>
            </w:r>
          </w:p>
        </w:tc>
        <w:tc>
          <w:tcPr>
            <w:tcW w:type="dxa" w:w="248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 disabled at seat limit</w:t>
            </w:r>
          </w:p>
        </w:tc>
        <w:tc>
          <w:tcPr>
            <w:tcW w:type="dxa" w:w="248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r>
      <w:tr>
        <w:tc>
          <w:tcPr>
            <w:tcW w:type="dxa" w:w="44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Billing &amp; plan</w:t>
            </w:r>
          </w:p>
        </w:tc>
        <w:tc>
          <w:tcPr>
            <w:tcW w:type="dxa" w:w="248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248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denied</w:t>
            </w:r>
          </w:p>
        </w:tc>
      </w:tr>
      <w:tr>
        <w:tc>
          <w:tcPr>
            <w:tcW w:type="dxa" w:w="44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Admin-seat usage / limit banner</w:t>
            </w:r>
          </w:p>
        </w:tc>
        <w:tc>
          <w:tcPr>
            <w:tcW w:type="dxa" w:w="248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248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r>
      <w:tr>
        <w:tc>
          <w:tcPr>
            <w:tcW w:type="dxa" w:w="44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Tenant branding settings</w:t>
            </w:r>
          </w:p>
        </w:tc>
        <w:tc>
          <w:tcPr>
            <w:tcW w:type="dxa" w:w="248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248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denied</w:t>
            </w:r>
          </w:p>
        </w:tc>
      </w:tr>
      <w:tr>
        <w:tc>
          <w:tcPr>
            <w:tcW w:type="dxa" w:w="44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Create course</w:t>
            </w:r>
          </w:p>
        </w:tc>
        <w:tc>
          <w:tcPr>
            <w:tcW w:type="dxa" w:w="248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248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r>
      <w:tr>
        <w:tc>
          <w:tcPr>
            <w:tcW w:type="dxa" w:w="44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Nav: Members / Billing entries</w:t>
            </w:r>
          </w:p>
        </w:tc>
        <w:tc>
          <w:tcPr>
            <w:tcW w:type="dxa" w:w="248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248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r>
    </w:tbl>
    <w:p>
      <w:pPr>
        <w:spacing w:after="80"/>
      </w:pPr>
      <w:r>
        <w:t xml:space="preserve"/>
      </w:r>
    </w:p>
    <w:p>
      <w:pPr>
        <w:pStyle w:val="Heading2"/>
        <w:spacing w:after="140" w:before="280"/>
      </w:pPr>
      <w:r>
        <w:rPr>
          <w:rFonts w:ascii="Calibri" w:cs="Calibri" w:eastAsia="Calibri" w:hAnsi="Calibri"/>
          <w:b/>
          <w:bCs/>
          <w:color w:val="1E7A5C"/>
          <w:sz w:val="28"/>
          <w:szCs w:val="28"/>
        </w:rPr>
        <w:t xml:space="preserve">4.2 Course-level screens (role from enrolment on THAT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53"/>
        <w:gridCol w:w="1853"/>
        <w:gridCol w:w="1854"/>
      </w:tblGrid>
      <w:tr>
        <w:trPr>
          <w:tblHeader/>
        </w:trPr>
        <w:tc>
          <w:tcPr>
            <w:tcW w:type="dxa" w:w="38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Screen / control</w:t>
            </w:r>
          </w:p>
        </w:tc>
        <w:tc>
          <w:tcPr>
            <w:tcW w:type="dxa" w:w="1853"/>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owner</w:t>
            </w:r>
          </w:p>
        </w:tc>
        <w:tc>
          <w:tcPr>
            <w:tcW w:type="dxa" w:w="1853"/>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facilitator</w:t>
            </w:r>
          </w:p>
        </w:tc>
        <w:tc>
          <w:tcPr>
            <w:tcW w:type="dxa" w:w="1854"/>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learner</w:t>
            </w:r>
          </w:p>
        </w:tc>
      </w:tr>
      <w:tr>
        <w:tc>
          <w:tcPr>
            <w:tcW w:type="dxa" w:w="38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Open course in authoring view</w:t>
            </w:r>
          </w:p>
        </w:tc>
        <w:tc>
          <w:tcPr>
            <w:tcW w:type="dxa" w:w="1853"/>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1853"/>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c>
          <w:tcPr>
            <w:tcW w:type="dxa" w:w="1854"/>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r>
      <w:tr>
        <w:tc>
          <w:tcPr>
            <w:tcW w:type="dxa" w:w="38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Edit lessons / sections</w:t>
            </w:r>
          </w:p>
        </w:tc>
        <w:tc>
          <w:tcPr>
            <w:tcW w:type="dxa" w:w="1853"/>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1853"/>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c>
          <w:tcPr>
            <w:tcW w:type="dxa" w:w="1854"/>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r>
      <w:tr>
        <w:tc>
          <w:tcPr>
            <w:tcW w:type="dxa" w:w="38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Publish course</w:t>
            </w:r>
          </w:p>
        </w:tc>
        <w:tc>
          <w:tcPr>
            <w:tcW w:type="dxa" w:w="1853"/>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1853"/>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c>
          <w:tcPr>
            <w:tcW w:type="dxa" w:w="1854"/>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r>
      <w:tr>
        <w:tc>
          <w:tcPr>
            <w:tcW w:type="dxa" w:w="38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Manage enrolments</w:t>
            </w:r>
          </w:p>
        </w:tc>
        <w:tc>
          <w:tcPr>
            <w:tcW w:type="dxa" w:w="1853"/>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1853"/>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c>
          <w:tcPr>
            <w:tcW w:type="dxa" w:w="1854"/>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r>
      <w:tr>
        <w:tc>
          <w:tcPr>
            <w:tcW w:type="dxa" w:w="38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View learner progress</w:t>
            </w:r>
          </w:p>
        </w:tc>
        <w:tc>
          <w:tcPr>
            <w:tcW w:type="dxa" w:w="1853"/>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1853"/>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1854"/>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hidden</w:t>
            </w:r>
          </w:p>
        </w:tc>
      </w:tr>
      <w:tr>
        <w:tc>
          <w:tcPr>
            <w:tcW w:type="dxa" w:w="38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Course player (consume lessons)</w:t>
            </w:r>
          </w:p>
        </w:tc>
        <w:tc>
          <w:tcPr>
            <w:tcW w:type="dxa" w:w="1853"/>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1853"/>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1854"/>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r>
      <w:tr>
        <w:tc>
          <w:tcPr>
            <w:tcW w:type="dxa" w:w="38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Take quizzes / earn certificate</w:t>
            </w:r>
          </w:p>
        </w:tc>
        <w:tc>
          <w:tcPr>
            <w:tcW w:type="dxa" w:w="1853"/>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1853"/>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1854"/>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r>
      <w:tr>
        <w:tc>
          <w:tcPr>
            <w:tcW w:type="dxa" w:w="38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AI tutor panel</w:t>
            </w:r>
          </w:p>
        </w:tc>
        <w:tc>
          <w:tcPr>
            <w:tcW w:type="dxa" w:w="1853"/>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1853"/>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c>
          <w:tcPr>
            <w:tcW w:type="dxa" w:w="1854"/>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visible</w:t>
            </w:r>
          </w:p>
        </w:tc>
      </w:tr>
    </w:tbl>
    <w:p>
      <w:pPr>
        <w:spacing w:after="80"/>
      </w:pPr>
      <w:r>
        <w:t xml:space="preserve"/>
      </w:r>
    </w:p>
    <w:p>
      <w:pPr>
        <w:spacing w:after="120" w:line="300"/>
      </w:pPr>
      <w:r>
        <w:rPr>
          <w:rFonts w:ascii="Calibri" w:cs="Calibri" w:eastAsia="Calibri" w:hAnsi="Calibri"/>
          <w:sz w:val="22"/>
          <w:szCs w:val="22"/>
        </w:rPr>
        <w:t xml:space="preserve">* Owner and facilitator can enter the player to preview; certificate issuance follows the same completion rules as a learner. The learner experience is the baseline; teaching roles add capabilities on top, they don't remove the ability to consume.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5C" w:sz="12"/>
              <w:left w:val="single" w:color="1E7A5C" w:sz="24"/>
              <w:bottom w:val="single" w:color="1E7A5C" w:sz="12"/>
              <w:right w:val="single" w:color="1E7A5C" w:sz="12"/>
            </w:tcBorders>
            <w:shd w:fill="EAF3EF" w:color="auto" w:val="clear"/>
            <w:tcMar>
              <w:top w:type="dxa" w:w="150"/>
              <w:left w:type="dxa" w:w="200"/>
              <w:bottom w:type="dxa" w:w="150"/>
              <w:right w:type="dxa" w:w="200"/>
            </w:tcMar>
          </w:tcPr>
          <w:p>
            <w:pPr>
              <w:spacing w:after="70"/>
            </w:pPr>
            <w:r>
              <w:rPr>
                <w:rFonts w:ascii="Calibri" w:cs="Calibri" w:eastAsia="Calibri" w:hAnsi="Calibri"/>
                <w:b/>
                <w:bCs/>
                <w:color w:val="134E3A"/>
                <w:sz w:val="22"/>
                <w:szCs w:val="22"/>
              </w:rPr>
              <w:t xml:space="preserve">Why 'hidden' and not just 'disabled' for cross-role</w:t>
            </w:r>
          </w:p>
          <w:p>
            <w:r>
              <w:rPr>
                <w:rFonts w:ascii="Calibri" w:cs="Calibri" w:eastAsia="Calibri" w:hAnsi="Calibri"/>
                <w:color w:val="333333"/>
                <w:sz w:val="22"/>
                <w:szCs w:val="22"/>
              </w:rPr>
              <w:t xml:space="preserve">For a control a role can never use (learner + Publish), hide it — showing a disabled Publish button to a learner is noise that implies they might someday publish. Use 'disabled' only where the SAME role sometimes can and sometimes can't (admin + Invite-as-admin, gated by the seat limit). Hidden = not for you; disabled = for you, but not right now.</w:t>
            </w:r>
          </w:p>
        </w:tc>
      </w:tr>
    </w:tbl>
    <w:p>
      <w:r>
        <w:br w:type="page"/>
      </w:r>
    </w:p>
    <w:p>
      <w:pPr>
        <w:pStyle w:val="Heading2"/>
        <w:spacing w:after="140" w:before="280"/>
      </w:pPr>
      <w:r>
        <w:rPr>
          <w:rFonts w:ascii="Calibri" w:cs="Calibri" w:eastAsia="Calibri" w:hAnsi="Calibri"/>
          <w:b/>
          <w:bCs/>
          <w:color w:val="1E7A5C"/>
          <w:sz w:val="28"/>
          <w:szCs w:val="28"/>
        </w:rPr>
        <w:t xml:space="preserve">4.3 Routing &amp; authenticated homes</w:t>
      </w:r>
    </w:p>
    <w:p>
      <w:pPr>
        <w:spacing w:after="120" w:line="300"/>
      </w:pPr>
      <w:r>
        <w:rPr>
          <w:rFonts w:ascii="Calibri" w:cs="Calibri" w:eastAsia="Calibri" w:hAnsi="Calibri"/>
          <w:sz w:val="22"/>
          <w:szCs w:val="22"/>
        </w:rPr>
        <w:t xml:space="preserve">There is one public landing page and one authenticated router — not two landing pages. When a request hits the root, the app resolves where the user belongs and sends them there. An authenticated user is never served the marketing landing page again; the resolution happens server-side (middleware or a server component at /) so the user never sees a flash of the wrong page before a client-side redirect.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User state</w:t>
            </w:r>
          </w:p>
        </w:tc>
        <w:tc>
          <w:tcPr>
            <w:tcW w:type="dxa" w:w="30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Default destination on /</w:t>
            </w:r>
          </w:p>
        </w:tc>
        <w:tc>
          <w:tcPr>
            <w:tcW w:type="dxa" w:w="336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Notes</w:t>
            </w:r>
          </w:p>
        </w:tc>
      </w:tr>
      <w:tr>
        <w:tc>
          <w:tcPr>
            <w:tcW w:type="dxa" w:w="30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Unauthenticated / first-touch</w:t>
            </w:r>
          </w:p>
        </w:tc>
        <w:tc>
          <w:tcPr>
            <w:tcW w:type="dxa" w:w="30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Public landing (/)</w:t>
            </w:r>
          </w:p>
        </w:tc>
        <w:tc>
          <w:tcPr>
            <w:tcW w:type="dxa" w:w="336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CTAs: create org, accept invite, sign in</w:t>
            </w:r>
          </w:p>
        </w:tc>
      </w:tr>
      <w:tr>
        <w:tc>
          <w:tcPr>
            <w:tcW w:type="dxa" w:w="30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Authenticated — tenant_admin</w:t>
            </w:r>
          </w:p>
        </w:tc>
        <w:tc>
          <w:tcPr>
            <w:tcW w:type="dxa" w:w="30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/admin</w:t>
            </w:r>
          </w:p>
        </w:tc>
        <w:tc>
          <w:tcPr>
            <w:tcW w:type="dxa" w:w="33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Can also reach /my-courses (admins may own/teach courses)</w:t>
            </w:r>
          </w:p>
        </w:tc>
      </w:tr>
      <w:tr>
        <w:tc>
          <w:tcPr>
            <w:tcW w:type="dxa" w:w="30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Authenticated — member</w:t>
            </w:r>
          </w:p>
        </w:tc>
        <w:tc>
          <w:tcPr>
            <w:tcW w:type="dxa" w:w="30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/my-courses</w:t>
            </w:r>
          </w:p>
        </w:tc>
        <w:tc>
          <w:tcPr>
            <w:tcW w:type="dxa" w:w="336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Denied /admin (existing DeniedState)</w:t>
            </w:r>
          </w:p>
        </w:tc>
      </w:tr>
      <w:tr>
        <w:tc>
          <w:tcPr>
            <w:tcW w:type="dxa" w:w="30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Authenticated — no membership</w:t>
            </w:r>
          </w:p>
        </w:tc>
        <w:tc>
          <w:tcPr>
            <w:tcW w:type="dxa" w:w="30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Invitation-pending state</w:t>
            </w:r>
          </w:p>
        </w:tc>
        <w:tc>
          <w:tcPr>
            <w:tcW w:type="dxa" w:w="33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Edge case: joined but not yet provisioned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5C" w:sz="12"/>
              <w:left w:val="single" w:color="1E7A5C" w:sz="24"/>
              <w:bottom w:val="single" w:color="1E7A5C" w:sz="12"/>
              <w:right w:val="single" w:color="1E7A5C" w:sz="12"/>
            </w:tcBorders>
            <w:shd w:fill="EAF3EF" w:color="auto" w:val="clear"/>
            <w:tcMar>
              <w:top w:type="dxa" w:w="150"/>
              <w:left w:type="dxa" w:w="200"/>
              <w:bottom w:type="dxa" w:w="150"/>
              <w:right w:type="dxa" w:w="200"/>
            </w:tcMar>
          </w:tcPr>
          <w:p>
            <w:pPr>
              <w:spacing w:after="70"/>
            </w:pPr>
            <w:r>
              <w:rPr>
                <w:rFonts w:ascii="Calibri" w:cs="Calibri" w:eastAsia="Calibri" w:hAnsi="Calibri"/>
                <w:b/>
                <w:bCs/>
                <w:color w:val="134E3A"/>
                <w:sz w:val="22"/>
                <w:szCs w:val="22"/>
              </w:rPr>
              <w:t xml:space="preserve">The redirect is a default, not a gate</w:t>
            </w:r>
          </w:p>
          <w:p>
            <w:r>
              <w:rPr>
                <w:rFonts w:ascii="Calibri" w:cs="Calibri" w:eastAsia="Calibri" w:hAnsi="Calibri"/>
                <w:color w:val="333333"/>
                <w:sz w:val="22"/>
                <w:szCs w:val="22"/>
              </w:rPr>
              <w:t xml:space="preserve">This is the part most likely to be built wrong. The redirect chooses a DEFAULT home; it does not grant or deny access. An admin defaults to /admin but can visit /my-courses (they may own a course). A member defaults to /my-courses and is DENIED /admin. Only the second involves a gate. /my-courses is gated to 'authenticated', never to 'member-only' — an admin who owns a course needs to see it there as an owner. Routing sends you to the right place; the per-screen gate stops you reaching the wrong place. You need both.</w:t>
            </w:r>
          </w:p>
        </w:tc>
      </w:tr>
    </w:tbl>
    <w:p>
      <w:pPr>
        <w:pStyle w:val="Heading2"/>
        <w:spacing w:after="140" w:before="280"/>
      </w:pPr>
      <w:r>
        <w:rPr>
          <w:rFonts w:ascii="Calibri" w:cs="Calibri" w:eastAsia="Calibri" w:hAnsi="Calibri"/>
          <w:b/>
          <w:bCs/>
          <w:color w:val="1E7A5C"/>
          <w:sz w:val="28"/>
          <w:szCs w:val="28"/>
        </w:rPr>
        <w:t xml:space="preserve">4.4 /my-courses composition (the blended home)</w:t>
      </w:r>
    </w:p>
    <w:p>
      <w:pPr>
        <w:spacing w:after="120" w:line="300"/>
      </w:pPr>
      <w:r>
        <w:rPr>
          <w:rFonts w:ascii="Calibri" w:cs="Calibri" w:eastAsia="Calibri" w:hAnsi="Calibri"/>
          <w:sz w:val="22"/>
          <w:szCs w:val="22"/>
        </w:rPr>
        <w:t xml:space="preserve">A non-admin member is not a learner-only identity. Per ADR-003, 'member' is org-scope-absence; course capability lives on the enrolment. The same member can be a learner in Course A, a facilitator in Course B, and an owner of Course C. Their home reflects that, grouped by the capability held on each course.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Section</w:t>
            </w:r>
          </w:p>
        </w:tc>
        <w:tc>
          <w:tcPr>
            <w:tcW w:type="dxa" w:w="42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Shows</w:t>
            </w:r>
          </w:p>
        </w:tc>
        <w:tc>
          <w:tcPr>
            <w:tcW w:type="dxa" w:w="256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Visibility rule</w:t>
            </w:r>
          </w:p>
        </w:tc>
      </w:tr>
      <w:tr>
        <w:tc>
          <w:tcPr>
            <w:tcW w:type="dxa" w:w="26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Courses I'm taking</w:t>
            </w:r>
          </w:p>
        </w:tc>
        <w:tc>
          <w:tcPr>
            <w:tcW w:type="dxa" w:w="42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Courses where enrolment role = learner</w:t>
            </w:r>
          </w:p>
        </w:tc>
        <w:tc>
          <w:tcPr>
            <w:tcW w:type="dxa" w:w="256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Render only if ≥1 such enrolment</w:t>
            </w:r>
          </w:p>
        </w:tc>
      </w:tr>
      <w:tr>
        <w:tc>
          <w:tcPr>
            <w:tcW w:type="dxa" w:w="26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Courses I facilitate</w:t>
            </w:r>
          </w:p>
        </w:tc>
        <w:tc>
          <w:tcPr>
            <w:tcW w:type="dxa" w:w="42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Courses where enrolment role = facilitator</w:t>
            </w:r>
          </w:p>
        </w:tc>
        <w:tc>
          <w:tcPr>
            <w:tcW w:type="dxa" w:w="25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Render only if ≥1 such enrolment</w:t>
            </w:r>
          </w:p>
        </w:tc>
      </w:tr>
      <w:tr>
        <w:tc>
          <w:tcPr>
            <w:tcW w:type="dxa" w:w="26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Courses I own</w:t>
            </w:r>
          </w:p>
        </w:tc>
        <w:tc>
          <w:tcPr>
            <w:tcW w:type="dxa" w:w="42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Courses where enrolment role = course_owner</w:t>
            </w:r>
          </w:p>
        </w:tc>
        <w:tc>
          <w:tcPr>
            <w:tcW w:type="dxa" w:w="256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Render only if ≥1 such enrolment</w:t>
            </w:r>
          </w:p>
        </w:tc>
      </w:tr>
    </w:tbl>
    <w:p>
      <w:pPr>
        <w:spacing w:after="80"/>
      </w:pPr>
      <w:r>
        <w:t xml:space="preserve"/>
      </w:r>
    </w:p>
    <w:p>
      <w:pPr>
        <w:spacing w:after="120" w:line="300"/>
      </w:pPr>
      <w:r>
        <w:rPr>
          <w:rFonts w:ascii="Calibri" w:cs="Calibri" w:eastAsia="Calibri" w:hAnsi="Calibri"/>
          <w:b/>
          <w:bCs/>
          <w:sz w:val="22"/>
          <w:szCs w:val="22"/>
        </w:rPr>
        <w:t xml:space="preserve">Section visibility follows capability</w:t>
      </w:r>
      <w:r>
        <w:rPr>
          <w:rFonts w:ascii="Calibri" w:cs="Calibri" w:eastAsia="Calibri" w:hAnsi="Calibri"/>
          <w:sz w:val="22"/>
          <w:szCs w:val="22"/>
        </w:rPr>
        <w:t xml:space="preserve">, exactly like controls in §4.1–4.2. A member who is only a learner sees a clean 'Courses I'm taking' list and no teaching sections at all — not empty facilitation/ownership boxes. Absent, not empty. This is the dashboard form of learner-cannot-author, and the Playwright specs assert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5C" w:sz="12"/>
              <w:left w:val="single" w:color="1E7A5C" w:sz="24"/>
              <w:bottom w:val="single" w:color="1E7A5C" w:sz="12"/>
              <w:right w:val="single" w:color="1E7A5C" w:sz="12"/>
            </w:tcBorders>
            <w:shd w:fill="EAF3EF" w:color="auto" w:val="clear"/>
            <w:tcMar>
              <w:top w:type="dxa" w:w="150"/>
              <w:left w:type="dxa" w:w="200"/>
              <w:bottom w:type="dxa" w:w="150"/>
              <w:right w:type="dxa" w:w="200"/>
            </w:tcMar>
          </w:tcPr>
          <w:p>
            <w:pPr>
              <w:spacing w:after="70"/>
            </w:pPr>
            <w:r>
              <w:rPr>
                <w:rFonts w:ascii="Calibri" w:cs="Calibri" w:eastAsia="Calibri" w:hAnsi="Calibri"/>
                <w:b/>
                <w:bCs/>
                <w:color w:val="134E3A"/>
                <w:sz w:val="22"/>
                <w:szCs w:val="22"/>
              </w:rPr>
              <w:t xml:space="preserve">The empty state that matters is zero-courses-total</w:t>
            </w:r>
          </w:p>
          <w:p>
            <w:r>
              <w:rPr>
                <w:rFonts w:ascii="Calibri" w:cs="Calibri" w:eastAsia="Calibri" w:hAnsi="Calibri"/>
                <w:color w:val="333333"/>
                <w:sz w:val="22"/>
                <w:szCs w:val="22"/>
              </w:rPr>
              <w:t xml:space="preserve">The meaningful empty state is a member who has joined the org but is enrolled in nothing: 'You're in [Org] but haven't been added to any courses yet. Ask an admin or course owner to enrol you.' Per-section empties do not occur, because a section only renders when it has content. Design the zero-total state; the per-section states are unnecessary by construction.</w:t>
            </w:r>
          </w:p>
        </w:tc>
      </w:tr>
    </w:tbl>
    <w:p>
      <w:r>
        <w:br w:type="page"/>
      </w:r>
    </w:p>
    <w:p>
      <w:pPr>
        <w:pStyle w:val="Heading1"/>
        <w:spacing w:after="180" w:before="360"/>
      </w:pPr>
      <w:r>
        <w:rPr>
          <w:rFonts w:ascii="Calibri" w:cs="Calibri" w:eastAsia="Calibri" w:hAnsi="Calibri"/>
          <w:b/>
          <w:bCs/>
          <w:color w:val="116149"/>
          <w:sz w:val="36"/>
          <w:szCs w:val="36"/>
        </w:rPr>
        <w:t xml:space="preserve">5. The eight redesign items</w:t>
      </w:r>
    </w:p>
    <w:p>
      <w:pPr>
        <w:spacing w:after="120" w:line="300"/>
      </w:pPr>
      <w:r>
        <w:rPr>
          <w:rFonts w:ascii="Calibri" w:cs="Calibri" w:eastAsia="Calibri" w:hAnsi="Calibri"/>
          <w:sz w:val="22"/>
          <w:szCs w:val="22"/>
        </w:rPr>
        <w:t xml:space="preserve">Mapped to their pattern, their permission source, and which delivery task owns them. Task A is permission-critical (locked, Playwright-verified, break-tested). Task B is UX flow (looser, iterated).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700"/>
        <w:gridCol w:w="2160"/>
        <w:gridCol w:w="1600"/>
      </w:tblGrid>
      <w:tr>
        <w:trPr>
          <w:tblHeader/>
        </w:trPr>
        <w:tc>
          <w:tcPr>
            <w:tcW w:type="dxa" w:w="5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w:t>
            </w:r>
          </w:p>
        </w:tc>
        <w:tc>
          <w:tcPr>
            <w:tcW w:type="dxa" w:w="34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Item</w:t>
            </w:r>
          </w:p>
        </w:tc>
        <w:tc>
          <w:tcPr>
            <w:tcW w:type="dxa" w:w="17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Pattern</w:t>
            </w:r>
          </w:p>
        </w:tc>
        <w:tc>
          <w:tcPr>
            <w:tcW w:type="dxa" w:w="216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Permission source</w:t>
            </w:r>
          </w:p>
        </w:tc>
        <w:tc>
          <w:tcPr>
            <w:tcW w:type="dxa" w:w="1600"/>
            <w:tcBorders>
              <w:top w:val="single" w:color="BFBFBF" w:sz="4"/>
              <w:left w:val="single" w:color="BFBFBF" w:sz="4"/>
              <w:bottom w:val="single" w:color="BFBFBF" w:sz="4"/>
              <w:right w:val="single" w:color="BFBFBF" w:sz="4"/>
            </w:tcBorders>
            <w:shd w:fill="116149" w:color="auto" w:val="clear"/>
            <w:tcMar>
              <w:top w:type="dxa" w:w="90"/>
              <w:left w:type="dxa" w:w="130"/>
              <w:bottom w:type="dxa" w:w="90"/>
              <w:right w:type="dxa" w:w="130"/>
            </w:tcMar>
          </w:tcPr>
          <w:p>
            <w:r>
              <w:rPr>
                <w:rFonts w:ascii="Calibri" w:cs="Calibri" w:eastAsia="Calibri" w:hAnsi="Calibri"/>
                <w:b/>
                <w:bCs/>
                <w:color w:val="FFFFFF"/>
                <w:sz w:val="20"/>
                <w:szCs w:val="20"/>
              </w:rPr>
              <w:t xml:space="preserve">Task</w:t>
            </w:r>
          </w:p>
        </w:tc>
      </w:tr>
      <w:tr>
        <w:tc>
          <w:tcPr>
            <w:tcW w:type="dxa" w:w="5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1</w:t>
            </w:r>
          </w:p>
        </w:tc>
        <w:tc>
          <w:tcPr>
            <w:tcW w:type="dxa" w:w="34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Tenant creation via /api/v1/tenants</w:t>
            </w:r>
          </w:p>
        </w:tc>
        <w:tc>
          <w:tcPr>
            <w:tcW w:type="dxa" w:w="17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Form</w:t>
            </w:r>
          </w:p>
        </w:tc>
        <w:tc>
          <w:tcPr>
            <w:tcW w:type="dxa" w:w="216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Public (pre-auth)</w:t>
            </w:r>
          </w:p>
        </w:tc>
        <w:tc>
          <w:tcPr>
            <w:tcW w:type="dxa" w:w="16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B</w:t>
            </w:r>
          </w:p>
        </w:tc>
      </w:tr>
      <w:tr>
        <w:tc>
          <w:tcPr>
            <w:tcW w:type="dxa" w:w="5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2</w:t>
            </w:r>
          </w:p>
        </w:tc>
        <w:tc>
          <w:tcPr>
            <w:tcW w:type="dxa" w:w="34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Invite acceptance via /auth/invitations/accept</w:t>
            </w:r>
          </w:p>
        </w:tc>
        <w:tc>
          <w:tcPr>
            <w:tcW w:type="dxa" w:w="17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Form</w:t>
            </w:r>
          </w:p>
        </w:tc>
        <w:tc>
          <w:tcPr>
            <w:tcW w:type="dxa" w:w="21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Token-bound</w:t>
            </w:r>
          </w:p>
        </w:tc>
        <w:tc>
          <w:tcPr>
            <w:tcW w:type="dxa" w:w="16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B</w:t>
            </w:r>
          </w:p>
        </w:tc>
      </w:tr>
      <w:tr>
        <w:tc>
          <w:tcPr>
            <w:tcW w:type="dxa" w:w="5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3</w:t>
            </w:r>
          </w:p>
        </w:tc>
        <w:tc>
          <w:tcPr>
            <w:tcW w:type="dxa" w:w="34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Tenant-admin member/user management</w:t>
            </w:r>
          </w:p>
        </w:tc>
        <w:tc>
          <w:tcPr>
            <w:tcW w:type="dxa" w:w="17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List + form</w:t>
            </w:r>
          </w:p>
        </w:tc>
        <w:tc>
          <w:tcPr>
            <w:tcW w:type="dxa" w:w="216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membership = admin</w:t>
            </w:r>
          </w:p>
        </w:tc>
        <w:tc>
          <w:tcPr>
            <w:tcW w:type="dxa" w:w="16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A</w:t>
            </w:r>
          </w:p>
        </w:tc>
      </w:tr>
      <w:tr>
        <w:tc>
          <w:tcPr>
            <w:tcW w:type="dxa" w:w="5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4</w:t>
            </w:r>
          </w:p>
        </w:tc>
        <w:tc>
          <w:tcPr>
            <w:tcW w:type="dxa" w:w="34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Membership-aware navigation</w:t>
            </w:r>
          </w:p>
        </w:tc>
        <w:tc>
          <w:tcPr>
            <w:tcW w:type="dxa" w:w="17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App shell</w:t>
            </w:r>
          </w:p>
        </w:tc>
        <w:tc>
          <w:tcPr>
            <w:tcW w:type="dxa" w:w="21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membership role</w:t>
            </w:r>
          </w:p>
        </w:tc>
        <w:tc>
          <w:tcPr>
            <w:tcW w:type="dxa" w:w="16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A</w:t>
            </w:r>
          </w:p>
        </w:tc>
      </w:tr>
      <w:tr>
        <w:tc>
          <w:tcPr>
            <w:tcW w:type="dxa" w:w="5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5</w:t>
            </w:r>
          </w:p>
        </w:tc>
        <w:tc>
          <w:tcPr>
            <w:tcW w:type="dxa" w:w="34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Course-role-aware authoring access</w:t>
            </w:r>
          </w:p>
        </w:tc>
        <w:tc>
          <w:tcPr>
            <w:tcW w:type="dxa" w:w="17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Shell + list</w:t>
            </w:r>
          </w:p>
        </w:tc>
        <w:tc>
          <w:tcPr>
            <w:tcW w:type="dxa" w:w="216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enrolment role</w:t>
            </w:r>
          </w:p>
        </w:tc>
        <w:tc>
          <w:tcPr>
            <w:tcW w:type="dxa" w:w="16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A</w:t>
            </w:r>
          </w:p>
        </w:tc>
      </w:tr>
      <w:tr>
        <w:tc>
          <w:tcPr>
            <w:tcW w:type="dxa" w:w="5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6</w:t>
            </w:r>
          </w:p>
        </w:tc>
        <w:tc>
          <w:tcPr>
            <w:tcW w:type="dxa" w:w="34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Learner-only course experience</w:t>
            </w:r>
          </w:p>
        </w:tc>
        <w:tc>
          <w:tcPr>
            <w:tcW w:type="dxa" w:w="17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Player</w:t>
            </w:r>
          </w:p>
        </w:tc>
        <w:tc>
          <w:tcPr>
            <w:tcW w:type="dxa" w:w="21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enrolment = learner</w:t>
            </w:r>
          </w:p>
        </w:tc>
        <w:tc>
          <w:tcPr>
            <w:tcW w:type="dxa" w:w="16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A</w:t>
            </w:r>
          </w:p>
        </w:tc>
      </w:tr>
      <w:tr>
        <w:tc>
          <w:tcPr>
            <w:tcW w:type="dxa" w:w="5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7</w:t>
            </w:r>
          </w:p>
        </w:tc>
        <w:tc>
          <w:tcPr>
            <w:tcW w:type="dxa" w:w="34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Billing / admin-seat limit feedback</w:t>
            </w:r>
          </w:p>
        </w:tc>
        <w:tc>
          <w:tcPr>
            <w:tcW w:type="dxa" w:w="17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Form + banner</w:t>
            </w:r>
          </w:p>
        </w:tc>
        <w:tc>
          <w:tcPr>
            <w:tcW w:type="dxa" w:w="216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membership + plan</w:t>
            </w:r>
          </w:p>
        </w:tc>
        <w:tc>
          <w:tcPr>
            <w:tcW w:type="dxa" w:w="1600"/>
            <w:tcBorders>
              <w:top w:val="single" w:color="BFBFBF" w:sz="4"/>
              <w:left w:val="single" w:color="BFBFBF" w:sz="4"/>
              <w:bottom w:val="single" w:color="BFBFBF" w:sz="4"/>
              <w:right w:val="single" w:color="BFBFBF" w:sz="4"/>
            </w:tcBorders>
            <w:shd w:fill="F1F5F3" w:color="auto" w:val="clear"/>
            <w:tcMar>
              <w:top w:type="dxa" w:w="70"/>
              <w:left w:type="dxa" w:w="130"/>
              <w:bottom w:type="dxa" w:w="70"/>
              <w:right w:type="dxa" w:w="130"/>
            </w:tcMar>
          </w:tcPr>
          <w:p>
            <w:r>
              <w:rPr>
                <w:rFonts w:ascii="Calibri" w:cs="Calibri" w:eastAsia="Calibri" w:hAnsi="Calibri"/>
                <w:b w:val="false"/>
                <w:bCs w:val="false"/>
                <w:color w:val="000000"/>
                <w:sz w:val="19"/>
                <w:szCs w:val="19"/>
              </w:rPr>
              <w:t xml:space="preserve">A</w:t>
            </w:r>
          </w:p>
        </w:tc>
      </w:tr>
      <w:tr>
        <w:tc>
          <w:tcPr>
            <w:tcW w:type="dxa" w:w="5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8</w:t>
            </w:r>
          </w:p>
        </w:tc>
        <w:tc>
          <w:tcPr>
            <w:tcW w:type="dxa" w:w="34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Updated onboarding + regression tests</w:t>
            </w:r>
          </w:p>
        </w:tc>
        <w:tc>
          <w:tcPr>
            <w:tcW w:type="dxa" w:w="17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Cross-cutting</w:t>
            </w:r>
          </w:p>
        </w:tc>
        <w:tc>
          <w:tcPr>
            <w:tcW w:type="dxa" w:w="216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n/a</w:t>
            </w:r>
          </w:p>
        </w:tc>
        <w:tc>
          <w:tcPr>
            <w:tcW w:type="dxa" w:w="1600"/>
            <w:tcBorders>
              <w:top w:val="single" w:color="BFBFBF" w:sz="4"/>
              <w:left w:val="single" w:color="BFBFBF" w:sz="4"/>
              <w:bottom w:val="single" w:color="BFBFBF" w:sz="4"/>
              <w:right w:val="single" w:color="BFBFBF" w:sz="4"/>
            </w:tcBorders>
            <w:tcMar>
              <w:top w:type="dxa" w:w="70"/>
              <w:left w:type="dxa" w:w="130"/>
              <w:bottom w:type="dxa" w:w="70"/>
              <w:right w:type="dxa" w:w="130"/>
            </w:tcMar>
          </w:tcPr>
          <w:p>
            <w:r>
              <w:rPr>
                <w:rFonts w:ascii="Calibri" w:cs="Calibri" w:eastAsia="Calibri" w:hAnsi="Calibri"/>
                <w:b w:val="false"/>
                <w:bCs w:val="false"/>
                <w:color w:val="000000"/>
                <w:sz w:val="19"/>
                <w:szCs w:val="19"/>
              </w:rPr>
              <w:t xml:space="preserve">A+B</w:t>
            </w:r>
          </w:p>
        </w:tc>
      </w:tr>
    </w:tbl>
    <w:p>
      <w:pPr>
        <w:spacing w:after="80"/>
      </w:pPr>
      <w:r>
        <w:t xml:space="preserve"/>
      </w:r>
    </w:p>
    <w:p>
      <w:pPr>
        <w:spacing w:after="120" w:line="300"/>
      </w:pPr>
      <w:r>
        <w:rPr>
          <w:rFonts w:ascii="Calibri" w:cs="Calibri" w:eastAsia="Calibri" w:hAnsi="Calibri"/>
          <w:i/>
          <w:iCs/>
          <w:sz w:val="22"/>
          <w:szCs w:val="22"/>
        </w:rPr>
        <w:t xml:space="preserve">Item 8 spans both because the regression tests are Task A's responsibility </w:t>
      </w:r>
      <w:r>
        <w:rPr>
          <w:rFonts w:ascii="Calibri" w:cs="Calibri" w:eastAsia="Calibri" w:hAnsi="Calibri"/>
          <w:i/>
          <w:iCs/>
          <w:sz w:val="22"/>
          <w:szCs w:val="22"/>
        </w:rPr>
        <w:t xml:space="preserve">(the permission assertions are the point)</w:t>
      </w:r>
      <w:r>
        <w:rPr>
          <w:rFonts w:ascii="Calibri" w:cs="Calibri" w:eastAsia="Calibri" w:hAnsi="Calibri"/>
          <w:i/>
          <w:iCs/>
          <w:sz w:val="22"/>
          <w:szCs w:val="22"/>
        </w:rPr>
        <w:t xml:space="preserve">, while onboarding-flow polish is Task B's. The Playwright specs that assert the §4 table live with Task A and run in CI — the same suite that has been sitting unused becomes load-bearing here.</w:t>
      </w:r>
    </w:p>
    <w:p>
      <w:pPr>
        <w:pStyle w:val="Heading1"/>
        <w:spacing w:after="180" w:before="360"/>
      </w:pPr>
      <w:r>
        <w:rPr>
          <w:rFonts w:ascii="Calibri" w:cs="Calibri" w:eastAsia="Calibri" w:hAnsi="Calibri"/>
          <w:b/>
          <w:bCs/>
          <w:color w:val="116149"/>
          <w:sz w:val="36"/>
          <w:szCs w:val="36"/>
        </w:rPr>
        <w:t xml:space="preserve">6. How the frontend is verified</w:t>
      </w:r>
    </w:p>
    <w:p>
      <w:pPr>
        <w:spacing w:after="120" w:line="300"/>
      </w:pPr>
      <w:r>
        <w:rPr>
          <w:rFonts w:ascii="Calibri" w:cs="Calibri" w:eastAsia="Calibri" w:hAnsi="Calibri"/>
          <w:sz w:val="22"/>
          <w:szCs w:val="22"/>
        </w:rPr>
        <w:t xml:space="preserve">Frontend can't be audited by a git diff the way the backend was. The verification is behavioural, at the permission boundary:</w:t>
      </w:r>
    </w:p>
    <w:p>
      <w:pPr>
        <w:pStyle w:val="ListParagraph"/>
        <w:numPr>
          <w:ilvl w:val="0"/>
          <w:numId w:val="2"/>
        </w:numPr>
        <w:spacing w:after="60" w:line="290"/>
      </w:pPr>
      <w:r>
        <w:rPr>
          <w:rFonts w:ascii="Calibri" w:cs="Calibri" w:eastAsia="Calibri" w:hAnsi="Calibri"/>
          <w:b/>
          <w:bCs/>
          <w:sz w:val="22"/>
          <w:szCs w:val="22"/>
        </w:rPr>
        <w:t xml:space="preserve">Playwright permission specs (Task A).</w:t>
      </w:r>
      <w:r>
        <w:rPr>
          <w:rFonts w:ascii="Calibri" w:cs="Calibri" w:eastAsia="Calibri" w:hAnsi="Calibri"/>
          <w:sz w:val="22"/>
          <w:szCs w:val="22"/>
        </w:rPr>
        <w:t xml:space="preserve"> For each row of §4: log in as the role, assert the visible controls are present and the hidden ones are absent from the DOM (not merely hidden by CSS). For denied screens, assert the denied state renders and no underlying data appears in the response the page received.</w:t>
      </w:r>
    </w:p>
    <w:p>
      <w:pPr>
        <w:pStyle w:val="ListParagraph"/>
        <w:numPr>
          <w:ilvl w:val="0"/>
          <w:numId w:val="2"/>
        </w:numPr>
        <w:spacing w:after="60" w:line="290"/>
      </w:pPr>
      <w:r>
        <w:rPr>
          <w:rFonts w:ascii="Calibri" w:cs="Calibri" w:eastAsia="Calibri" w:hAnsi="Calibri"/>
          <w:b/>
          <w:bCs/>
          <w:sz w:val="22"/>
          <w:szCs w:val="22"/>
        </w:rPr>
        <w:t xml:space="preserve">The learner-cannot-author spec is the linchpin</w:t>
      </w:r>
      <w:r>
        <w:rPr>
          <w:rFonts w:ascii="Calibri" w:cs="Calibri" w:eastAsia="Calibri" w:hAnsi="Calibri"/>
          <w:sz w:val="22"/>
          <w:szCs w:val="22"/>
        </w:rPr>
        <w:t xml:space="preserve"> — the frontend equivalent of the backend's cross-tenant test. A learner logs in, opens a course they're enrolled in as learner, and the authoring entry point is absent; navigating directly to the authoring URL shows denied. This spec must fail if the gate regresses.</w:t>
      </w:r>
    </w:p>
    <w:p>
      <w:pPr>
        <w:pStyle w:val="ListParagraph"/>
        <w:numPr>
          <w:ilvl w:val="0"/>
          <w:numId w:val="2"/>
        </w:numPr>
        <w:spacing w:after="60" w:line="290"/>
      </w:pPr>
      <w:r>
        <w:rPr>
          <w:rFonts w:ascii="Calibri" w:cs="Calibri" w:eastAsia="Calibri" w:hAnsi="Calibri"/>
          <w:b/>
          <w:bCs/>
          <w:sz w:val="22"/>
          <w:szCs w:val="22"/>
        </w:rPr>
        <w:t xml:space="preserve">Break-test discipline carries over.</w:t>
      </w:r>
      <w:r>
        <w:rPr>
          <w:rFonts w:ascii="Calibri" w:cs="Calibri" w:eastAsia="Calibri" w:hAnsi="Calibri"/>
          <w:sz w:val="22"/>
          <w:szCs w:val="22"/>
        </w:rPr>
        <w:t xml:space="preserve"> For each permission spec, temporarily remove the gate, confirm the spec goes red, restore. A permission test that passes against an ungated UI proves nothing.</w:t>
      </w:r>
    </w:p>
    <w:p>
      <w:pPr>
        <w:pStyle w:val="ListParagraph"/>
        <w:numPr>
          <w:ilvl w:val="0"/>
          <w:numId w:val="2"/>
        </w:numPr>
        <w:spacing w:after="60" w:line="290"/>
      </w:pPr>
      <w:r>
        <w:rPr>
          <w:rFonts w:ascii="Calibri" w:cs="Calibri" w:eastAsia="Calibri" w:hAnsi="Calibri"/>
          <w:b/>
          <w:bCs/>
          <w:sz w:val="22"/>
          <w:szCs w:val="22"/>
        </w:rPr>
        <w:t xml:space="preserve">Playwright runs in CI.</w:t>
      </w:r>
      <w:r>
        <w:rPr>
          <w:rFonts w:ascii="Calibri" w:cs="Calibri" w:eastAsia="Calibri" w:hAnsi="Calibri"/>
          <w:sz w:val="22"/>
          <w:szCs w:val="22"/>
        </w:rPr>
        <w:t xml:space="preserve"> The frontend job installs browsers and runs the specs. An unexecuted spec is documentation, not a test.</w:t>
      </w:r>
    </w:p>
    <w:p>
      <w:pPr>
        <w:pStyle w:val="ListParagraph"/>
        <w:numPr>
          <w:ilvl w:val="0"/>
          <w:numId w:val="2"/>
        </w:numPr>
        <w:spacing w:after="60" w:line="290"/>
      </w:pPr>
      <w:r>
        <w:rPr>
          <w:rFonts w:ascii="Calibri" w:cs="Calibri" w:eastAsia="Calibri" w:hAnsi="Calibri"/>
          <w:sz w:val="22"/>
          <w:szCs w:val="22"/>
        </w:rPr>
        <w:t xml:space="preserve">UX-flow items (Task B) are verified by lighter component/e2e tests plus visual iteration — they carry a correctness core (the form submits to the right endpoint, the token flows through) but their polish is reviewed by looking, not asserted.</w:t>
      </w:r>
    </w:p>
    <w:p>
      <w:pPr>
        <w:pStyle w:val="Heading1"/>
        <w:spacing w:after="180" w:before="360"/>
      </w:pPr>
      <w:r>
        <w:rPr>
          <w:rFonts w:ascii="Calibri" w:cs="Calibri" w:eastAsia="Calibri" w:hAnsi="Calibri"/>
          <w:b/>
          <w:bCs/>
          <w:color w:val="116149"/>
          <w:sz w:val="36"/>
          <w:szCs w:val="36"/>
        </w:rPr>
        <w:t xml:space="preserve">7. Reference component</w:t>
      </w:r>
    </w:p>
    <w:p>
      <w:pPr>
        <w:spacing w:after="120" w:line="300"/>
      </w:pPr>
      <w:r>
        <w:rPr>
          <w:rFonts w:ascii="Calibri" w:cs="Calibri" w:eastAsia="Calibri" w:hAnsi="Calibri"/>
          <w:sz w:val="22"/>
          <w:szCs w:val="22"/>
        </w:rPr>
        <w:t xml:space="preserve">A working reference screen ships alongside this contract: reference/members-view.tsx — the tenant-admin member-management view (item 3). It is the canonical pattern for the whole track, demonstrating in real code, using the repo's existing tokens and Button/cn utilities:</w:t>
      </w:r>
    </w:p>
    <w:p>
      <w:pPr>
        <w:pStyle w:val="ListParagraph"/>
        <w:numPr>
          <w:ilvl w:val="0"/>
          <w:numId w:val="2"/>
        </w:numPr>
        <w:spacing w:after="60" w:line="290"/>
      </w:pPr>
      <w:r>
        <w:rPr>
          <w:rFonts w:ascii="Calibri" w:cs="Calibri" w:eastAsia="Calibri" w:hAnsi="Calibri"/>
          <w:sz w:val="22"/>
          <w:szCs w:val="22"/>
        </w:rPr>
        <w:t xml:space="preserve">The permission gate first: a non-admin viewer gets the denied state before any data or control renders.</w:t>
      </w:r>
    </w:p>
    <w:p>
      <w:pPr>
        <w:pStyle w:val="ListParagraph"/>
        <w:numPr>
          <w:ilvl w:val="0"/>
          <w:numId w:val="2"/>
        </w:numPr>
        <w:spacing w:after="60" w:line="290"/>
      </w:pPr>
      <w:r>
        <w:rPr>
          <w:rFonts w:ascii="Calibri" w:cs="Calibri" w:eastAsia="Calibri" w:hAnsi="Calibri"/>
          <w:sz w:val="22"/>
          <w:szCs w:val="22"/>
        </w:rPr>
        <w:t xml:space="preserve">The list + empty-state pattern (§3.2) and the role/status badges.</w:t>
      </w:r>
    </w:p>
    <w:p>
      <w:pPr>
        <w:pStyle w:val="ListParagraph"/>
        <w:numPr>
          <w:ilvl w:val="0"/>
          <w:numId w:val="2"/>
        </w:numPr>
        <w:spacing w:after="60" w:line="290"/>
      </w:pPr>
      <w:r>
        <w:rPr>
          <w:rFonts w:ascii="Calibri" w:cs="Calibri" w:eastAsia="Calibri" w:hAnsi="Calibri"/>
          <w:sz w:val="22"/>
          <w:szCs w:val="22"/>
        </w:rPr>
        <w:t xml:space="preserve">The role-gated, seat-limited action (§3.3): inviting a member is always allowed; inviting an admin is disabled at the seat limit with specific, actionable feedback.</w:t>
      </w:r>
    </w:p>
    <w:p>
      <w:pPr>
        <w:pStyle w:val="ListParagraph"/>
        <w:numPr>
          <w:ilvl w:val="0"/>
          <w:numId w:val="2"/>
        </w:numPr>
        <w:spacing w:after="60" w:line="290"/>
      </w:pPr>
      <w:r>
        <w:rPr>
          <w:rFonts w:ascii="Calibri" w:cs="Calibri" w:eastAsia="Calibri" w:hAnsi="Calibri"/>
          <w:sz w:val="22"/>
          <w:szCs w:val="22"/>
        </w:rPr>
        <w:t xml:space="preserve">The denied and at-limit states (§3, callout) as first-class UI, not afterthoughts.</w:t>
      </w:r>
    </w:p>
    <w:p>
      <w:pPr>
        <w:spacing w:after="80"/>
      </w:pPr>
      <w:r>
        <w:t xml:space="preserve"/>
      </w:r>
    </w:p>
    <w:p>
      <w:pPr>
        <w:spacing w:after="120" w:line="300"/>
      </w:pPr>
      <w:r>
        <w:rPr>
          <w:rFonts w:ascii="Calibri" w:cs="Calibri" w:eastAsia="Calibri" w:hAnsi="Calibri"/>
          <w:sz w:val="22"/>
          <w:szCs w:val="22"/>
        </w:rPr>
        <w:t xml:space="preserve">Copy its patterns, not its literal data. It is deliberately self-contained for legibility; the real screens wire to src/lib/api.ts and the membership/invitation endpoints, and sit inside the real app shell. Match its structure, its token usage, and its treatment of denied/empty/limit states across all eight items.</w:t>
      </w:r>
    </w:p>
    <w:p>
      <w:pPr>
        <w:spacing w:after="80"/>
      </w:pPr>
      <w:r>
        <w:t xml:space="preserve"/>
      </w:r>
    </w:p>
    <w:p>
      <w:pPr>
        <w:jc w:val="center"/>
      </w:pPr>
      <w:r>
        <w:rPr>
          <w:rFonts w:ascii="Calibri" w:cs="Calibri" w:eastAsia="Calibri" w:hAnsi="Calibri"/>
          <w:i/>
          <w:iCs/>
          <w:color w:val="999999"/>
          <w:sz w:val="22"/>
          <w:szCs w:val="22"/>
        </w:rPr>
        <w:t xml:space="preserve">— End of UX &amp; Permission Contract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OmniXtra — UX &amp; Permission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1614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7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OmniXtra — UX &amp; Permission Contract</dc:title>
  <dc:creator>OmniXtra Project Lead</dc:creator>
  <dc:description>Shared frontend spec for the ADR-003 identity redesign: tokens, patterns, and the per-screen permission table.</dc:description>
  <cp:lastModifiedBy>Un-named</cp:lastModifiedBy>
  <cp:revision>1</cp:revision>
  <dcterms:created xsi:type="dcterms:W3CDTF">2026-08-05T09:33:01.138Z</dcterms:created>
  <dcterms:modified xsi:type="dcterms:W3CDTF">2026-08-05T09:33:01.148Z</dcterms:modified>
</cp:coreProperties>
</file>

<file path=docProps/custom.xml><?xml version="1.0" encoding="utf-8"?>
<Properties xmlns="http://schemas.openxmlformats.org/officeDocument/2006/custom-properties" xmlns:vt="http://schemas.openxmlformats.org/officeDocument/2006/docPropsVTypes"/>
</file>