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1A" w:rsidRDefault="006E50D7" w:rsidP="006E50D7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6E50D7">
        <w:rPr>
          <w:b/>
          <w:bCs/>
          <w:sz w:val="28"/>
          <w:szCs w:val="28"/>
          <w:lang w:val="en-GB"/>
        </w:rPr>
        <w:t>Kajian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atas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Keputusan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Menteri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Energi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dan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Sumber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Daya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Mineral </w:t>
      </w:r>
      <w:proofErr w:type="spellStart"/>
      <w:r w:rsidRPr="006E50D7">
        <w:rPr>
          <w:b/>
          <w:bCs/>
          <w:sz w:val="28"/>
          <w:szCs w:val="28"/>
          <w:lang w:val="en-GB"/>
        </w:rPr>
        <w:t>Republik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Indonesia </w:t>
      </w:r>
      <w:proofErr w:type="spellStart"/>
      <w:r w:rsidRPr="006E50D7">
        <w:rPr>
          <w:b/>
          <w:bCs/>
          <w:sz w:val="28"/>
          <w:szCs w:val="28"/>
          <w:lang w:val="en-GB"/>
        </w:rPr>
        <w:t>tentang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Harga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Minyak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E50D7">
        <w:rPr>
          <w:b/>
          <w:bCs/>
          <w:sz w:val="28"/>
          <w:szCs w:val="28"/>
          <w:lang w:val="en-GB"/>
        </w:rPr>
        <w:t>Mentah</w:t>
      </w:r>
      <w:proofErr w:type="spellEnd"/>
      <w:r w:rsidRPr="006E50D7">
        <w:rPr>
          <w:b/>
          <w:bCs/>
          <w:sz w:val="28"/>
          <w:szCs w:val="28"/>
          <w:lang w:val="en-GB"/>
        </w:rPr>
        <w:t xml:space="preserve"> Indonesia</w:t>
      </w:r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Bulan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Agustus</w:t>
      </w:r>
      <w:proofErr w:type="spellEnd"/>
      <w:r>
        <w:rPr>
          <w:b/>
          <w:bCs/>
          <w:sz w:val="28"/>
          <w:szCs w:val="28"/>
          <w:lang w:val="en-GB"/>
        </w:rPr>
        <w:t xml:space="preserve"> 2023</w:t>
      </w:r>
    </w:p>
    <w:p w:rsidR="006E50D7" w:rsidRDefault="006E50D7" w:rsidP="006E50D7">
      <w:pPr>
        <w:rPr>
          <w:b/>
          <w:bCs/>
          <w:sz w:val="28"/>
          <w:szCs w:val="28"/>
          <w:lang w:val="en-GB"/>
        </w:rPr>
      </w:pPr>
    </w:p>
    <w:p w:rsidR="006E50D7" w:rsidRDefault="006E50D7" w:rsidP="006E50D7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Latar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Belakang</w:t>
      </w:r>
      <w:proofErr w:type="spellEnd"/>
    </w:p>
    <w:p w:rsidR="006E50D7" w:rsidRDefault="006E50D7" w:rsidP="001677D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PT</w:t>
      </w:r>
      <w:r w:rsidR="0070290C">
        <w:rPr>
          <w:sz w:val="24"/>
          <w:szCs w:val="24"/>
          <w:lang w:val="en-GB"/>
        </w:rPr>
        <w:t xml:space="preserve"> Pembangunan Aceh </w:t>
      </w:r>
      <w:proofErr w:type="spellStart"/>
      <w:r w:rsidR="0070290C">
        <w:rPr>
          <w:sz w:val="24"/>
          <w:szCs w:val="24"/>
          <w:lang w:val="en-GB"/>
        </w:rPr>
        <w:t>saat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70290C">
        <w:rPr>
          <w:sz w:val="24"/>
          <w:szCs w:val="24"/>
          <w:lang w:val="en-GB"/>
        </w:rPr>
        <w:t>ini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70290C">
        <w:rPr>
          <w:sz w:val="24"/>
          <w:szCs w:val="24"/>
          <w:lang w:val="en-GB"/>
        </w:rPr>
        <w:t>akan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melaksanakan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proyek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penjualan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kondensat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baik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luar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negeri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proofErr w:type="gramStart"/>
      <w:r>
        <w:rPr>
          <w:sz w:val="24"/>
          <w:szCs w:val="24"/>
          <w:lang w:val="en-GB"/>
        </w:rPr>
        <w:t>Penjualan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kondensat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perlu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aturan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mengikat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proyek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hukum</w:t>
      </w:r>
      <w:proofErr w:type="spellEnd"/>
      <w:r>
        <w:rPr>
          <w:sz w:val="24"/>
          <w:szCs w:val="24"/>
          <w:lang w:val="en-GB"/>
        </w:rPr>
        <w:t>.</w:t>
      </w:r>
      <w:proofErr w:type="gramEnd"/>
      <w:r>
        <w:rPr>
          <w:sz w:val="24"/>
          <w:szCs w:val="24"/>
          <w:lang w:val="en-GB"/>
        </w:rPr>
        <w:t xml:space="preserve"> </w:t>
      </w:r>
    </w:p>
    <w:p w:rsidR="006E50D7" w:rsidRDefault="006E50D7" w:rsidP="001677DF">
      <w:p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Untu</w:t>
      </w:r>
      <w:r w:rsidR="0070290C">
        <w:rPr>
          <w:sz w:val="24"/>
          <w:szCs w:val="24"/>
          <w:lang w:val="en-GB"/>
        </w:rPr>
        <w:t>k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70290C">
        <w:rPr>
          <w:sz w:val="24"/>
          <w:szCs w:val="24"/>
          <w:lang w:val="en-GB"/>
        </w:rPr>
        <w:t>mengetahui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70290C">
        <w:rPr>
          <w:sz w:val="24"/>
          <w:szCs w:val="24"/>
          <w:lang w:val="en-GB"/>
        </w:rPr>
        <w:t>harga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70290C">
        <w:rPr>
          <w:sz w:val="24"/>
          <w:szCs w:val="24"/>
          <w:lang w:val="en-GB"/>
        </w:rPr>
        <w:t>dan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70290C">
        <w:rPr>
          <w:sz w:val="24"/>
          <w:szCs w:val="24"/>
          <w:lang w:val="en-GB"/>
        </w:rPr>
        <w:t>peraturan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mengikat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proyek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kami </w:t>
      </w:r>
      <w:proofErr w:type="spellStart"/>
      <w:r>
        <w:rPr>
          <w:sz w:val="24"/>
          <w:szCs w:val="24"/>
          <w:lang w:val="en-GB"/>
        </w:rPr>
        <w:t>mengkaji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keputusan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Energi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Sumber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Daya</w:t>
      </w:r>
      <w:proofErr w:type="spellEnd"/>
      <w:r>
        <w:rPr>
          <w:sz w:val="24"/>
          <w:szCs w:val="24"/>
          <w:lang w:val="en-GB"/>
        </w:rPr>
        <w:t xml:space="preserve"> Mineral </w:t>
      </w:r>
      <w:proofErr w:type="spellStart"/>
      <w:r>
        <w:rPr>
          <w:sz w:val="24"/>
          <w:szCs w:val="24"/>
          <w:lang w:val="en-GB"/>
        </w:rPr>
        <w:t>Republik</w:t>
      </w:r>
      <w:proofErr w:type="spellEnd"/>
      <w:r>
        <w:rPr>
          <w:sz w:val="24"/>
          <w:szCs w:val="24"/>
          <w:lang w:val="en-GB"/>
        </w:rPr>
        <w:t xml:space="preserve"> Indonesia </w:t>
      </w:r>
      <w:proofErr w:type="spellStart"/>
      <w:r>
        <w:rPr>
          <w:sz w:val="24"/>
          <w:szCs w:val="24"/>
          <w:lang w:val="en-GB"/>
        </w:rPr>
        <w:t>tentang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Minyak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Mentah</w:t>
      </w:r>
      <w:proofErr w:type="spellEnd"/>
      <w:r>
        <w:rPr>
          <w:sz w:val="24"/>
          <w:szCs w:val="24"/>
          <w:lang w:val="en-GB"/>
        </w:rPr>
        <w:t xml:space="preserve"> Indonesia</w:t>
      </w:r>
      <w:r w:rsidR="001677DF">
        <w:rPr>
          <w:sz w:val="24"/>
          <w:szCs w:val="24"/>
          <w:lang w:val="en-GB"/>
        </w:rPr>
        <w:t xml:space="preserve"> </w:t>
      </w:r>
      <w:proofErr w:type="spellStart"/>
      <w:r w:rsidR="001677DF">
        <w:rPr>
          <w:sz w:val="24"/>
          <w:szCs w:val="24"/>
          <w:lang w:val="en-GB"/>
        </w:rPr>
        <w:t>Bulan</w:t>
      </w:r>
      <w:proofErr w:type="spellEnd"/>
      <w:r w:rsidR="001677DF">
        <w:rPr>
          <w:sz w:val="24"/>
          <w:szCs w:val="24"/>
          <w:lang w:val="en-GB"/>
        </w:rPr>
        <w:t xml:space="preserve"> </w:t>
      </w:r>
      <w:proofErr w:type="spellStart"/>
      <w:r w:rsidR="001677DF">
        <w:rPr>
          <w:sz w:val="24"/>
          <w:szCs w:val="24"/>
          <w:lang w:val="en-GB"/>
        </w:rPr>
        <w:t>Agustus</w:t>
      </w:r>
      <w:proofErr w:type="spellEnd"/>
      <w:r w:rsidR="001677DF">
        <w:rPr>
          <w:sz w:val="24"/>
          <w:szCs w:val="24"/>
          <w:lang w:val="en-GB"/>
        </w:rPr>
        <w:t xml:space="preserve"> 2023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khususnya</w:t>
      </w:r>
      <w:proofErr w:type="spellEnd"/>
      <w:r w:rsidR="001677DF">
        <w:rPr>
          <w:sz w:val="24"/>
          <w:szCs w:val="24"/>
          <w:lang w:val="en-GB"/>
        </w:rPr>
        <w:t xml:space="preserve"> </w:t>
      </w:r>
      <w:proofErr w:type="spellStart"/>
      <w:r w:rsidR="001677DF"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kondensat</w:t>
      </w:r>
      <w:proofErr w:type="spellEnd"/>
      <w:r>
        <w:rPr>
          <w:sz w:val="24"/>
          <w:szCs w:val="24"/>
          <w:lang w:val="en-GB"/>
        </w:rPr>
        <w:t>.</w:t>
      </w:r>
    </w:p>
    <w:p w:rsidR="006E50D7" w:rsidRDefault="001677DF" w:rsidP="0070290C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 xml:space="preserve">Dari </w:t>
      </w:r>
      <w:proofErr w:type="spellStart"/>
      <w:r>
        <w:rPr>
          <w:sz w:val="24"/>
          <w:szCs w:val="24"/>
          <w:lang w:val="en-GB"/>
        </w:rPr>
        <w:t>keputusan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dilampirkan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jenis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miny</w:t>
      </w:r>
      <w:r w:rsidR="0070290C">
        <w:rPr>
          <w:sz w:val="24"/>
          <w:szCs w:val="24"/>
          <w:lang w:val="en-GB"/>
        </w:rPr>
        <w:t>ak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70290C">
        <w:rPr>
          <w:sz w:val="24"/>
          <w:szCs w:val="24"/>
          <w:lang w:val="en-GB"/>
        </w:rPr>
        <w:t>mentah</w:t>
      </w:r>
      <w:proofErr w:type="spellEnd"/>
      <w:r w:rsidR="0070290C">
        <w:rPr>
          <w:sz w:val="24"/>
          <w:szCs w:val="24"/>
          <w:lang w:val="en-GB"/>
        </w:rPr>
        <w:t xml:space="preserve"> </w:t>
      </w:r>
      <w:proofErr w:type="spellStart"/>
      <w:r w:rsidR="00206297">
        <w:rPr>
          <w:sz w:val="24"/>
          <w:szCs w:val="24"/>
          <w:lang w:val="en-GB"/>
        </w:rPr>
        <w:t>baik</w:t>
      </w:r>
      <w:proofErr w:type="spellEnd"/>
      <w:r w:rsidR="00206297">
        <w:rPr>
          <w:sz w:val="24"/>
          <w:szCs w:val="24"/>
          <w:lang w:val="en-GB"/>
        </w:rPr>
        <w:t xml:space="preserve"> yang </w:t>
      </w:r>
      <w:proofErr w:type="spellStart"/>
      <w:r w:rsidR="00206297">
        <w:rPr>
          <w:sz w:val="24"/>
          <w:szCs w:val="24"/>
          <w:lang w:val="en-GB"/>
        </w:rPr>
        <w:t>permanen</w:t>
      </w:r>
      <w:proofErr w:type="spellEnd"/>
      <w:r w:rsidR="00206297">
        <w:rPr>
          <w:sz w:val="24"/>
          <w:szCs w:val="24"/>
          <w:lang w:val="en-GB"/>
        </w:rPr>
        <w:t xml:space="preserve"> </w:t>
      </w:r>
      <w:proofErr w:type="spellStart"/>
      <w:r w:rsidR="00206297">
        <w:rPr>
          <w:sz w:val="24"/>
          <w:szCs w:val="24"/>
          <w:lang w:val="en-GB"/>
        </w:rPr>
        <w:t>maupun</w:t>
      </w:r>
      <w:proofErr w:type="spellEnd"/>
      <w:r w:rsidR="00206297">
        <w:rPr>
          <w:sz w:val="24"/>
          <w:szCs w:val="24"/>
          <w:lang w:val="en-GB"/>
        </w:rPr>
        <w:t xml:space="preserve"> yang </w:t>
      </w:r>
      <w:proofErr w:type="spellStart"/>
      <w:r w:rsidR="00206297">
        <w:rPr>
          <w:sz w:val="24"/>
          <w:szCs w:val="24"/>
          <w:lang w:val="en-GB"/>
        </w:rPr>
        <w:t>sementara</w:t>
      </w:r>
      <w:proofErr w:type="spellEnd"/>
      <w:r>
        <w:rPr>
          <w:sz w:val="24"/>
          <w:szCs w:val="24"/>
          <w:lang w:val="en-GB"/>
        </w:rPr>
        <w:t>.</w:t>
      </w:r>
      <w:proofErr w:type="gramEnd"/>
      <w:r w:rsidR="00206297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Untuk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itu</w:t>
      </w:r>
      <w:proofErr w:type="spellEnd"/>
      <w:r w:rsidR="00E408D9">
        <w:rPr>
          <w:sz w:val="24"/>
          <w:szCs w:val="24"/>
          <w:lang w:val="en-GB"/>
        </w:rPr>
        <w:t xml:space="preserve"> kami </w:t>
      </w:r>
      <w:proofErr w:type="spellStart"/>
      <w:proofErr w:type="gramStart"/>
      <w:r w:rsidR="00E408D9">
        <w:rPr>
          <w:sz w:val="24"/>
          <w:szCs w:val="24"/>
          <w:lang w:val="en-GB"/>
        </w:rPr>
        <w:t>akan</w:t>
      </w:r>
      <w:proofErr w:type="spellEnd"/>
      <w:proofErr w:type="gram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mengkaji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terkait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minyak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mentah</w:t>
      </w:r>
      <w:proofErr w:type="spellEnd"/>
      <w:r w:rsidR="00E408D9">
        <w:rPr>
          <w:sz w:val="24"/>
          <w:szCs w:val="24"/>
          <w:lang w:val="en-GB"/>
        </w:rPr>
        <w:t xml:space="preserve"> yang </w:t>
      </w:r>
      <w:proofErr w:type="spellStart"/>
      <w:r w:rsidR="00E408D9">
        <w:rPr>
          <w:sz w:val="24"/>
          <w:szCs w:val="24"/>
          <w:lang w:val="en-GB"/>
        </w:rPr>
        <w:t>akan</w:t>
      </w:r>
      <w:proofErr w:type="spellEnd"/>
      <w:r w:rsidR="00E408D9">
        <w:rPr>
          <w:sz w:val="24"/>
          <w:szCs w:val="24"/>
          <w:lang w:val="en-GB"/>
        </w:rPr>
        <w:t xml:space="preserve"> di </w:t>
      </w:r>
      <w:proofErr w:type="spellStart"/>
      <w:r w:rsidR="00E408D9">
        <w:rPr>
          <w:sz w:val="24"/>
          <w:szCs w:val="24"/>
          <w:lang w:val="en-GB"/>
        </w:rPr>
        <w:t>jual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sesuai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ketersediaan</w:t>
      </w:r>
      <w:proofErr w:type="spellEnd"/>
      <w:r w:rsidR="00E408D9">
        <w:rPr>
          <w:sz w:val="24"/>
          <w:szCs w:val="24"/>
          <w:lang w:val="en-GB"/>
        </w:rPr>
        <w:t xml:space="preserve"> </w:t>
      </w:r>
      <w:proofErr w:type="spellStart"/>
      <w:r w:rsidR="00E408D9">
        <w:rPr>
          <w:sz w:val="24"/>
          <w:szCs w:val="24"/>
          <w:lang w:val="en-GB"/>
        </w:rPr>
        <w:t>minyak</w:t>
      </w:r>
      <w:proofErr w:type="spellEnd"/>
      <w:r w:rsidR="00E408D9">
        <w:rPr>
          <w:sz w:val="24"/>
          <w:szCs w:val="24"/>
          <w:lang w:val="en-GB"/>
        </w:rPr>
        <w:t xml:space="preserve"> yang </w:t>
      </w:r>
      <w:proofErr w:type="spellStart"/>
      <w:r w:rsidR="00E408D9">
        <w:rPr>
          <w:sz w:val="24"/>
          <w:szCs w:val="24"/>
          <w:lang w:val="en-GB"/>
        </w:rPr>
        <w:t>ada</w:t>
      </w:r>
      <w:proofErr w:type="spellEnd"/>
      <w:r w:rsidR="000A5291">
        <w:rPr>
          <w:sz w:val="24"/>
          <w:szCs w:val="24"/>
          <w:lang w:val="en-GB"/>
        </w:rPr>
        <w:t xml:space="preserve"> di </w:t>
      </w:r>
      <w:proofErr w:type="spellStart"/>
      <w:r w:rsidR="000A5291">
        <w:rPr>
          <w:sz w:val="24"/>
          <w:szCs w:val="24"/>
          <w:lang w:val="en-GB"/>
        </w:rPr>
        <w:t>Provinsi</w:t>
      </w:r>
      <w:proofErr w:type="spellEnd"/>
      <w:r w:rsidR="000A5291">
        <w:rPr>
          <w:sz w:val="24"/>
          <w:szCs w:val="24"/>
          <w:lang w:val="en-GB"/>
        </w:rPr>
        <w:t xml:space="preserve"> Aceh</w:t>
      </w:r>
      <w:r w:rsidR="00E408D9">
        <w:rPr>
          <w:sz w:val="24"/>
          <w:szCs w:val="24"/>
          <w:lang w:val="en-GB"/>
        </w:rPr>
        <w:t>.</w:t>
      </w:r>
    </w:p>
    <w:p w:rsidR="000A5291" w:rsidRPr="000A5291" w:rsidRDefault="00EF0716" w:rsidP="000A5291">
      <w:pPr>
        <w:jc w:val="both"/>
        <w:rPr>
          <w:sz w:val="28"/>
          <w:szCs w:val="28"/>
          <w:lang w:val="en-GB"/>
        </w:rPr>
      </w:pPr>
      <w:proofErr w:type="spellStart"/>
      <w:r w:rsidRPr="00EF0716">
        <w:rPr>
          <w:sz w:val="24"/>
          <w:szCs w:val="24"/>
        </w:rPr>
        <w:t>Harga</w:t>
      </w:r>
      <w:proofErr w:type="spellEnd"/>
      <w:r w:rsidRPr="00EF0716">
        <w:rPr>
          <w:sz w:val="24"/>
          <w:szCs w:val="24"/>
        </w:rPr>
        <w:t xml:space="preserve"> rata-rata </w:t>
      </w:r>
      <w:proofErr w:type="spellStart"/>
      <w:r w:rsidRPr="00EF0716">
        <w:rPr>
          <w:sz w:val="24"/>
          <w:szCs w:val="24"/>
        </w:rPr>
        <w:t>Minyak</w:t>
      </w:r>
      <w:proofErr w:type="spellEnd"/>
      <w:r w:rsidRPr="00EF0716">
        <w:rPr>
          <w:sz w:val="24"/>
          <w:szCs w:val="24"/>
        </w:rPr>
        <w:t xml:space="preserve"> </w:t>
      </w:r>
      <w:proofErr w:type="spellStart"/>
      <w:r w:rsidRPr="00EF0716">
        <w:rPr>
          <w:sz w:val="24"/>
          <w:szCs w:val="24"/>
        </w:rPr>
        <w:t>Mentah</w:t>
      </w:r>
      <w:proofErr w:type="spellEnd"/>
      <w:r w:rsidRPr="00EF0716">
        <w:rPr>
          <w:sz w:val="24"/>
          <w:szCs w:val="24"/>
        </w:rPr>
        <w:t xml:space="preserve"> Indonesia </w:t>
      </w:r>
      <w:proofErr w:type="spellStart"/>
      <w:r w:rsidRPr="00EF0716">
        <w:rPr>
          <w:sz w:val="24"/>
          <w:szCs w:val="24"/>
        </w:rPr>
        <w:t>untuk</w:t>
      </w:r>
      <w:proofErr w:type="spellEnd"/>
      <w:r w:rsidRPr="00EF0716">
        <w:rPr>
          <w:sz w:val="24"/>
          <w:szCs w:val="24"/>
        </w:rPr>
        <w:t xml:space="preserve"> </w:t>
      </w:r>
      <w:proofErr w:type="spellStart"/>
      <w:r w:rsidRPr="00EF0716">
        <w:rPr>
          <w:sz w:val="24"/>
          <w:szCs w:val="24"/>
        </w:rPr>
        <w:t>bulan</w:t>
      </w:r>
      <w:proofErr w:type="spellEnd"/>
      <w:r w:rsidRPr="00EF0716">
        <w:rPr>
          <w:sz w:val="24"/>
          <w:szCs w:val="24"/>
        </w:rPr>
        <w:t xml:space="preserve"> </w:t>
      </w:r>
      <w:proofErr w:type="spellStart"/>
      <w:r w:rsidRPr="00EF0716">
        <w:rPr>
          <w:sz w:val="24"/>
          <w:szCs w:val="24"/>
        </w:rPr>
        <w:t>Agustus</w:t>
      </w:r>
      <w:proofErr w:type="spellEnd"/>
      <w:r w:rsidRPr="00EF0716">
        <w:rPr>
          <w:sz w:val="24"/>
          <w:szCs w:val="24"/>
        </w:rPr>
        <w:t xml:space="preserve"> 2023 </w:t>
      </w:r>
      <w:proofErr w:type="spellStart"/>
      <w:r w:rsidRPr="00EF0716">
        <w:rPr>
          <w:sz w:val="24"/>
          <w:szCs w:val="24"/>
        </w:rPr>
        <w:t>ditetapkan</w:t>
      </w:r>
      <w:proofErr w:type="spellEnd"/>
      <w:r w:rsidRPr="00EF0716">
        <w:rPr>
          <w:sz w:val="24"/>
          <w:szCs w:val="24"/>
        </w:rPr>
        <w:t xml:space="preserve"> </w:t>
      </w:r>
      <w:proofErr w:type="spellStart"/>
      <w:r w:rsidRPr="00EF0716">
        <w:rPr>
          <w:sz w:val="24"/>
          <w:szCs w:val="24"/>
        </w:rPr>
        <w:t>sebesar</w:t>
      </w:r>
      <w:proofErr w:type="spellEnd"/>
      <w:r w:rsidRPr="00EF0716">
        <w:rPr>
          <w:sz w:val="24"/>
          <w:szCs w:val="24"/>
        </w:rPr>
        <w:t xml:space="preserve"> US$ 82</w:t>
      </w:r>
      <w:proofErr w:type="gramStart"/>
      <w:r w:rsidRPr="00EF0716">
        <w:rPr>
          <w:sz w:val="24"/>
          <w:szCs w:val="24"/>
        </w:rPr>
        <w:t>,59</w:t>
      </w:r>
      <w:proofErr w:type="gramEnd"/>
      <w:r w:rsidRPr="00EF0716">
        <w:rPr>
          <w:sz w:val="24"/>
          <w:szCs w:val="24"/>
        </w:rPr>
        <w:t>/barrel.</w:t>
      </w:r>
    </w:p>
    <w:p w:rsidR="00443999" w:rsidRDefault="00443999" w:rsidP="0017338F">
      <w:pPr>
        <w:jc w:val="both"/>
        <w:rPr>
          <w:b/>
          <w:bCs/>
          <w:sz w:val="24"/>
          <w:szCs w:val="24"/>
          <w:lang w:val="en-GB"/>
        </w:rPr>
      </w:pPr>
      <w:proofErr w:type="spellStart"/>
      <w:r w:rsidRPr="00443999">
        <w:rPr>
          <w:b/>
          <w:bCs/>
          <w:sz w:val="24"/>
          <w:szCs w:val="24"/>
          <w:lang w:val="en-GB"/>
        </w:rPr>
        <w:t>Pembahasan</w:t>
      </w:r>
      <w:proofErr w:type="spellEnd"/>
    </w:p>
    <w:p w:rsidR="00A6029B" w:rsidRPr="00A6029B" w:rsidRDefault="00A6029B" w:rsidP="0017338F">
      <w:p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 xml:space="preserve">Dari </w:t>
      </w:r>
      <w:proofErr w:type="spellStart"/>
      <w:r>
        <w:rPr>
          <w:sz w:val="24"/>
          <w:szCs w:val="24"/>
          <w:lang w:val="en-GB"/>
        </w:rPr>
        <w:t>kajian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dilakukan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keputusan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, kami </w:t>
      </w:r>
      <w:proofErr w:type="spellStart"/>
      <w:r>
        <w:rPr>
          <w:sz w:val="24"/>
          <w:szCs w:val="24"/>
          <w:lang w:val="en-GB"/>
        </w:rPr>
        <w:t>mengkaji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jenis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minyak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mentah</w:t>
      </w:r>
      <w:proofErr w:type="spellEnd"/>
      <w:r>
        <w:rPr>
          <w:sz w:val="24"/>
          <w:szCs w:val="24"/>
          <w:lang w:val="en-GB"/>
        </w:rPr>
        <w:t>.</w:t>
      </w:r>
      <w:proofErr w:type="gram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Kami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kondensat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ketersediaan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 w:rsidR="000A5291">
        <w:rPr>
          <w:sz w:val="24"/>
          <w:szCs w:val="24"/>
          <w:lang w:val="en-GB"/>
        </w:rPr>
        <w:t xml:space="preserve"> di </w:t>
      </w:r>
      <w:proofErr w:type="spellStart"/>
      <w:r w:rsidR="000A5291">
        <w:rPr>
          <w:sz w:val="24"/>
          <w:szCs w:val="24"/>
          <w:lang w:val="en-GB"/>
        </w:rPr>
        <w:t>Provinsi</w:t>
      </w:r>
      <w:proofErr w:type="spellEnd"/>
      <w:r w:rsidR="000A5291">
        <w:rPr>
          <w:sz w:val="24"/>
          <w:szCs w:val="24"/>
          <w:lang w:val="en-GB"/>
        </w:rPr>
        <w:t xml:space="preserve"> Aceh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rincian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dirangkum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tabel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dibawah</w:t>
      </w:r>
      <w:proofErr w:type="spellEnd"/>
      <w:r>
        <w:rPr>
          <w:sz w:val="24"/>
          <w:szCs w:val="24"/>
          <w:lang w:val="en-GB"/>
        </w:rPr>
        <w:t>.</w:t>
      </w:r>
      <w:proofErr w:type="gramEnd"/>
    </w:p>
    <w:p w:rsidR="00C25F1E" w:rsidRPr="00C25F1E" w:rsidRDefault="0017338F" w:rsidP="00C25F1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Harga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Minyak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Mentah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Utama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Bulan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Agustus</w:t>
      </w:r>
      <w:proofErr w:type="spellEnd"/>
      <w:r>
        <w:rPr>
          <w:b/>
          <w:bCs/>
          <w:sz w:val="24"/>
          <w:szCs w:val="24"/>
          <w:lang w:val="en-GB"/>
        </w:rPr>
        <w:t xml:space="preserve"> 2023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977"/>
        <w:gridCol w:w="1559"/>
        <w:gridCol w:w="1418"/>
        <w:gridCol w:w="1246"/>
      </w:tblGrid>
      <w:tr w:rsidR="00C25F1E" w:rsidTr="00932F93">
        <w:tc>
          <w:tcPr>
            <w:tcW w:w="534" w:type="dxa"/>
            <w:vAlign w:val="center"/>
          </w:tcPr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1842" w:type="dxa"/>
            <w:vAlign w:val="center"/>
          </w:tcPr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Jenis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Minyak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Mentah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Utama</w:t>
            </w:r>
            <w:proofErr w:type="spellEnd"/>
          </w:p>
        </w:tc>
        <w:tc>
          <w:tcPr>
            <w:tcW w:w="2977" w:type="dxa"/>
            <w:vAlign w:val="center"/>
          </w:tcPr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Formula</w:t>
            </w:r>
          </w:p>
        </w:tc>
        <w:tc>
          <w:tcPr>
            <w:tcW w:w="1559" w:type="dxa"/>
            <w:vAlign w:val="center"/>
          </w:tcPr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Dated Brent</w:t>
            </w:r>
          </w:p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(US$/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bbl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418" w:type="dxa"/>
            <w:vAlign w:val="center"/>
          </w:tcPr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Alpha</w:t>
            </w:r>
          </w:p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(US$/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bbl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246" w:type="dxa"/>
            <w:vAlign w:val="center"/>
          </w:tcPr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Harga</w:t>
            </w:r>
            <w:proofErr w:type="spellEnd"/>
          </w:p>
          <w:p w:rsidR="00C25F1E" w:rsidRDefault="00C25F1E" w:rsidP="004E0FE7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(US$/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bbl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4E0FE7" w:rsidRPr="00C25F1E" w:rsidTr="00932F93">
        <w:tc>
          <w:tcPr>
            <w:tcW w:w="534" w:type="dxa"/>
            <w:vAlign w:val="center"/>
          </w:tcPr>
          <w:p w:rsidR="004E0FE7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 w:rsidRPr="00C25F1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842" w:type="dxa"/>
            <w:vAlign w:val="center"/>
          </w:tcPr>
          <w:p w:rsidR="004E0FE7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SLC</w:t>
            </w:r>
          </w:p>
        </w:tc>
        <w:tc>
          <w:tcPr>
            <w:tcW w:w="2977" w:type="dxa"/>
            <w:vAlign w:val="center"/>
          </w:tcPr>
          <w:p w:rsidR="004E0FE7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t>DATED BRENT ± ALPHA SLC</w:t>
            </w:r>
          </w:p>
        </w:tc>
        <w:tc>
          <w:tcPr>
            <w:tcW w:w="1559" w:type="dxa"/>
            <w:vAlign w:val="center"/>
          </w:tcPr>
          <w:p w:rsidR="004E0FE7" w:rsidRDefault="004E0FE7" w:rsidP="004E0FE7">
            <w:pPr>
              <w:jc w:val="center"/>
            </w:pPr>
            <w:r w:rsidRPr="00E13D68">
              <w:t>86,22</w:t>
            </w:r>
          </w:p>
        </w:tc>
        <w:tc>
          <w:tcPr>
            <w:tcW w:w="1418" w:type="dxa"/>
            <w:vAlign w:val="center"/>
          </w:tcPr>
          <w:p w:rsidR="004E0FE7" w:rsidRDefault="004E0FE7" w:rsidP="004E0FE7">
            <w:pPr>
              <w:jc w:val="center"/>
            </w:pPr>
            <w:r>
              <w:t>0,28</w:t>
            </w:r>
          </w:p>
        </w:tc>
        <w:tc>
          <w:tcPr>
            <w:tcW w:w="1246" w:type="dxa"/>
            <w:vAlign w:val="center"/>
          </w:tcPr>
          <w:p w:rsidR="004E0FE7" w:rsidRDefault="004E0FE7" w:rsidP="004E0FE7">
            <w:pPr>
              <w:jc w:val="center"/>
            </w:pPr>
            <w:r w:rsidRPr="00E13D68">
              <w:t>86,5</w:t>
            </w:r>
          </w:p>
        </w:tc>
      </w:tr>
      <w:tr w:rsidR="00C25F1E" w:rsidRPr="00C25F1E" w:rsidTr="00932F93">
        <w:tc>
          <w:tcPr>
            <w:tcW w:w="534" w:type="dxa"/>
            <w:vAlign w:val="center"/>
          </w:tcPr>
          <w:p w:rsidR="00C25F1E" w:rsidRPr="00C25F1E" w:rsidRDefault="00C25F1E" w:rsidP="004E0FE7">
            <w:pPr>
              <w:jc w:val="center"/>
              <w:rPr>
                <w:sz w:val="24"/>
                <w:szCs w:val="24"/>
                <w:lang w:val="en-GB"/>
              </w:rPr>
            </w:pPr>
            <w:r w:rsidRPr="00C25F1E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842" w:type="dxa"/>
            <w:vAlign w:val="center"/>
          </w:tcPr>
          <w:p w:rsidR="00C25F1E" w:rsidRPr="00C25F1E" w:rsidRDefault="00C25F1E" w:rsidP="004E0FE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ATTAKA*</w:t>
            </w:r>
          </w:p>
        </w:tc>
        <w:tc>
          <w:tcPr>
            <w:tcW w:w="2977" w:type="dxa"/>
            <w:vAlign w:val="center"/>
          </w:tcPr>
          <w:p w:rsidR="00C25F1E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t>DATED BRENT ± ALPHA ATTAKA</w:t>
            </w:r>
          </w:p>
        </w:tc>
        <w:tc>
          <w:tcPr>
            <w:tcW w:w="1559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86,22</w:t>
            </w:r>
          </w:p>
        </w:tc>
        <w:tc>
          <w:tcPr>
            <w:tcW w:w="1418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-2,16</w:t>
            </w:r>
          </w:p>
        </w:tc>
        <w:tc>
          <w:tcPr>
            <w:tcW w:w="1246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84,06</w:t>
            </w:r>
          </w:p>
        </w:tc>
      </w:tr>
      <w:tr w:rsidR="00C25F1E" w:rsidRPr="00C25F1E" w:rsidTr="00932F93">
        <w:tc>
          <w:tcPr>
            <w:tcW w:w="534" w:type="dxa"/>
            <w:vAlign w:val="center"/>
          </w:tcPr>
          <w:p w:rsidR="00C25F1E" w:rsidRPr="00C25F1E" w:rsidRDefault="00C25F1E" w:rsidP="004E0FE7">
            <w:pPr>
              <w:jc w:val="center"/>
              <w:rPr>
                <w:sz w:val="24"/>
                <w:szCs w:val="24"/>
                <w:lang w:val="en-GB"/>
              </w:rPr>
            </w:pPr>
            <w:r w:rsidRPr="00C25F1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842" w:type="dxa"/>
            <w:vAlign w:val="center"/>
          </w:tcPr>
          <w:p w:rsidR="00C25F1E" w:rsidRPr="00C25F1E" w:rsidRDefault="00C25F1E" w:rsidP="004E0FE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DURI</w:t>
            </w:r>
          </w:p>
        </w:tc>
        <w:tc>
          <w:tcPr>
            <w:tcW w:w="2977" w:type="dxa"/>
            <w:vAlign w:val="center"/>
          </w:tcPr>
          <w:p w:rsidR="00C25F1E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t>DATED BRENT ± ALPHA DURI</w:t>
            </w:r>
          </w:p>
        </w:tc>
        <w:tc>
          <w:tcPr>
            <w:tcW w:w="1559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86,22</w:t>
            </w:r>
          </w:p>
        </w:tc>
        <w:tc>
          <w:tcPr>
            <w:tcW w:w="1418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3,56</w:t>
            </w:r>
          </w:p>
        </w:tc>
        <w:tc>
          <w:tcPr>
            <w:tcW w:w="1246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89,78</w:t>
            </w:r>
          </w:p>
        </w:tc>
      </w:tr>
      <w:tr w:rsidR="00C25F1E" w:rsidRPr="00C25F1E" w:rsidTr="00932F93">
        <w:tc>
          <w:tcPr>
            <w:tcW w:w="534" w:type="dxa"/>
            <w:vAlign w:val="center"/>
          </w:tcPr>
          <w:p w:rsidR="00C25F1E" w:rsidRPr="00C25F1E" w:rsidRDefault="00C25F1E" w:rsidP="004E0FE7">
            <w:pPr>
              <w:jc w:val="center"/>
              <w:rPr>
                <w:sz w:val="24"/>
                <w:szCs w:val="24"/>
                <w:lang w:val="en-GB"/>
              </w:rPr>
            </w:pPr>
            <w:r w:rsidRPr="00C25F1E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842" w:type="dxa"/>
            <w:vAlign w:val="center"/>
          </w:tcPr>
          <w:p w:rsidR="00C25F1E" w:rsidRPr="00C25F1E" w:rsidRDefault="00C25F1E" w:rsidP="004E0FE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BELIDA</w:t>
            </w:r>
          </w:p>
        </w:tc>
        <w:tc>
          <w:tcPr>
            <w:tcW w:w="2977" w:type="dxa"/>
            <w:vAlign w:val="center"/>
          </w:tcPr>
          <w:p w:rsidR="00C25F1E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t>DATED BRENT ± ALPHA BELIDA</w:t>
            </w:r>
          </w:p>
        </w:tc>
        <w:tc>
          <w:tcPr>
            <w:tcW w:w="1559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86,22</w:t>
            </w:r>
          </w:p>
        </w:tc>
        <w:tc>
          <w:tcPr>
            <w:tcW w:w="1418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-2,07</w:t>
            </w:r>
          </w:p>
        </w:tc>
        <w:tc>
          <w:tcPr>
            <w:tcW w:w="1246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84,15</w:t>
            </w:r>
          </w:p>
        </w:tc>
      </w:tr>
      <w:tr w:rsidR="00C25F1E" w:rsidRPr="00C25F1E" w:rsidTr="00932F93">
        <w:tc>
          <w:tcPr>
            <w:tcW w:w="534" w:type="dxa"/>
            <w:vAlign w:val="center"/>
          </w:tcPr>
          <w:p w:rsidR="00C25F1E" w:rsidRPr="00C25F1E" w:rsidRDefault="00C25F1E" w:rsidP="004E0FE7">
            <w:pPr>
              <w:jc w:val="center"/>
              <w:rPr>
                <w:sz w:val="24"/>
                <w:szCs w:val="24"/>
                <w:lang w:val="en-GB"/>
              </w:rPr>
            </w:pPr>
            <w:r w:rsidRPr="00C25F1E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842" w:type="dxa"/>
            <w:vAlign w:val="center"/>
          </w:tcPr>
          <w:p w:rsidR="00C25F1E" w:rsidRPr="00C25F1E" w:rsidRDefault="00C25F1E" w:rsidP="004E0FE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SENIPAH CONDENSATE</w:t>
            </w:r>
          </w:p>
        </w:tc>
        <w:tc>
          <w:tcPr>
            <w:tcW w:w="2977" w:type="dxa"/>
            <w:vAlign w:val="center"/>
          </w:tcPr>
          <w:p w:rsidR="00C25F1E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t>DATED BRENT ± ALPHA SENIPAH CONDENSATE</w:t>
            </w:r>
          </w:p>
        </w:tc>
        <w:tc>
          <w:tcPr>
            <w:tcW w:w="1559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86,22</w:t>
            </w:r>
          </w:p>
        </w:tc>
        <w:tc>
          <w:tcPr>
            <w:tcW w:w="1418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-12,71</w:t>
            </w:r>
          </w:p>
        </w:tc>
        <w:tc>
          <w:tcPr>
            <w:tcW w:w="1246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73,51</w:t>
            </w:r>
          </w:p>
        </w:tc>
      </w:tr>
      <w:tr w:rsidR="00C25F1E" w:rsidRPr="00C25F1E" w:rsidTr="00932F93">
        <w:tc>
          <w:tcPr>
            <w:tcW w:w="534" w:type="dxa"/>
            <w:vAlign w:val="center"/>
          </w:tcPr>
          <w:p w:rsidR="00C25F1E" w:rsidRPr="00C25F1E" w:rsidRDefault="00C25F1E" w:rsidP="004E0FE7">
            <w:pPr>
              <w:jc w:val="center"/>
              <w:rPr>
                <w:sz w:val="24"/>
                <w:szCs w:val="24"/>
                <w:lang w:val="en-GB"/>
              </w:rPr>
            </w:pPr>
            <w:r w:rsidRPr="00C25F1E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842" w:type="dxa"/>
            <w:vAlign w:val="center"/>
          </w:tcPr>
          <w:p w:rsidR="00C25F1E" w:rsidRPr="00C25F1E" w:rsidRDefault="00C25F1E" w:rsidP="004E0FE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BANYU URIP</w:t>
            </w:r>
          </w:p>
        </w:tc>
        <w:tc>
          <w:tcPr>
            <w:tcW w:w="2977" w:type="dxa"/>
            <w:vAlign w:val="center"/>
          </w:tcPr>
          <w:p w:rsidR="00C25F1E" w:rsidRPr="00C25F1E" w:rsidRDefault="004E0FE7" w:rsidP="004E0FE7">
            <w:pPr>
              <w:rPr>
                <w:sz w:val="24"/>
                <w:szCs w:val="24"/>
                <w:lang w:val="en-GB"/>
              </w:rPr>
            </w:pPr>
            <w:r>
              <w:t>DATED BRENT ± ALPHA BANYU URIP</w:t>
            </w:r>
          </w:p>
        </w:tc>
        <w:tc>
          <w:tcPr>
            <w:tcW w:w="1559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86,22</w:t>
            </w:r>
          </w:p>
        </w:tc>
        <w:tc>
          <w:tcPr>
            <w:tcW w:w="1418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6,94</w:t>
            </w:r>
          </w:p>
        </w:tc>
        <w:tc>
          <w:tcPr>
            <w:tcW w:w="1246" w:type="dxa"/>
            <w:vAlign w:val="center"/>
          </w:tcPr>
          <w:p w:rsidR="00C25F1E" w:rsidRPr="00C25F1E" w:rsidRDefault="004E0FE7" w:rsidP="004E0FE7">
            <w:pPr>
              <w:jc w:val="center"/>
              <w:rPr>
                <w:sz w:val="24"/>
                <w:szCs w:val="24"/>
                <w:lang w:val="en-GB"/>
              </w:rPr>
            </w:pPr>
            <w:r>
              <w:t>93,16</w:t>
            </w:r>
          </w:p>
        </w:tc>
      </w:tr>
    </w:tbl>
    <w:p w:rsidR="00C25F1E" w:rsidRPr="00932F93" w:rsidRDefault="00932F93" w:rsidP="00932F93">
      <w:pPr>
        <w:jc w:val="both"/>
        <w:rPr>
          <w:b/>
          <w:bCs/>
          <w:lang w:val="en-GB"/>
        </w:rPr>
      </w:pPr>
      <w:proofErr w:type="spellStart"/>
      <w:r w:rsidRPr="00932F93">
        <w:rPr>
          <w:b/>
          <w:bCs/>
          <w:sz w:val="20"/>
          <w:szCs w:val="20"/>
        </w:rPr>
        <w:t>Keterangan</w:t>
      </w:r>
      <w:proofErr w:type="spellEnd"/>
      <w:r w:rsidRPr="00932F93">
        <w:rPr>
          <w:b/>
          <w:bCs/>
          <w:sz w:val="20"/>
          <w:szCs w:val="20"/>
        </w:rPr>
        <w:t>:</w:t>
      </w:r>
      <w:r w:rsidRPr="00932F93">
        <w:rPr>
          <w:sz w:val="20"/>
          <w:szCs w:val="20"/>
        </w:rPr>
        <w:t xml:space="preserve"> *) </w:t>
      </w:r>
      <w:proofErr w:type="spellStart"/>
      <w:r w:rsidRPr="00932F93">
        <w:rPr>
          <w:sz w:val="20"/>
          <w:szCs w:val="20"/>
        </w:rPr>
        <w:t>campuran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Minyak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Mentah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Attaka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dan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Minyak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Mentah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Badak</w:t>
      </w:r>
      <w:proofErr w:type="spellEnd"/>
      <w:r w:rsidRPr="00932F93">
        <w:rPr>
          <w:sz w:val="20"/>
          <w:szCs w:val="20"/>
        </w:rPr>
        <w:t xml:space="preserve"> yang </w:t>
      </w:r>
      <w:proofErr w:type="spellStart"/>
      <w:r w:rsidRPr="00932F93">
        <w:rPr>
          <w:sz w:val="20"/>
          <w:szCs w:val="20"/>
        </w:rPr>
        <w:t>dikomersialisasikan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sebagai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Minyak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Mentah</w:t>
      </w:r>
      <w:proofErr w:type="spellEnd"/>
      <w:r w:rsidRPr="00932F93">
        <w:rPr>
          <w:sz w:val="20"/>
          <w:szCs w:val="20"/>
        </w:rPr>
        <w:t xml:space="preserve"> </w:t>
      </w:r>
      <w:proofErr w:type="spellStart"/>
      <w:r w:rsidRPr="00932F93">
        <w:rPr>
          <w:sz w:val="20"/>
          <w:szCs w:val="20"/>
        </w:rPr>
        <w:t>Attaka</w:t>
      </w:r>
      <w:proofErr w:type="spellEnd"/>
      <w:r w:rsidRPr="00932F93">
        <w:rPr>
          <w:sz w:val="20"/>
          <w:szCs w:val="20"/>
        </w:rPr>
        <w:t>;</w:t>
      </w:r>
    </w:p>
    <w:p w:rsidR="0017338F" w:rsidRDefault="0017338F" w:rsidP="0017338F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Harga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Minyak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Mentah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Lainnya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Bulan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Agustus</w:t>
      </w:r>
      <w:proofErr w:type="spellEnd"/>
      <w:r>
        <w:rPr>
          <w:b/>
          <w:bCs/>
          <w:sz w:val="24"/>
          <w:szCs w:val="24"/>
          <w:lang w:val="en-GB"/>
        </w:rPr>
        <w:t xml:space="preserve"> 2023</w:t>
      </w:r>
    </w:p>
    <w:p w:rsidR="00A82815" w:rsidRDefault="0017338F" w:rsidP="00A8281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Harga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Minyak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Mentah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Permanen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Bulan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Agustus</w:t>
      </w:r>
      <w:proofErr w:type="spellEnd"/>
      <w:r>
        <w:rPr>
          <w:b/>
          <w:bCs/>
          <w:sz w:val="24"/>
          <w:szCs w:val="24"/>
          <w:lang w:val="en-GB"/>
        </w:rPr>
        <w:t xml:space="preserve"> 2023</w:t>
      </w:r>
    </w:p>
    <w:p w:rsidR="00A82815" w:rsidRPr="00A82815" w:rsidRDefault="00A82815" w:rsidP="00A82815">
      <w:pPr>
        <w:ind w:left="1080" w:firstLine="360"/>
        <w:jc w:val="both"/>
        <w:rPr>
          <w:sz w:val="24"/>
          <w:szCs w:val="24"/>
          <w:lang w:val="en-GB"/>
        </w:rPr>
      </w:pPr>
      <w:proofErr w:type="spellStart"/>
      <w:r w:rsidRPr="00A82815">
        <w:rPr>
          <w:sz w:val="24"/>
          <w:szCs w:val="24"/>
          <w:lang w:val="en-GB"/>
        </w:rPr>
        <w:t>Pada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rincian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minyak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permanen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Agustus</w:t>
      </w:r>
      <w:proofErr w:type="spellEnd"/>
      <w:r>
        <w:rPr>
          <w:sz w:val="24"/>
          <w:szCs w:val="24"/>
          <w:lang w:val="en-GB"/>
        </w:rPr>
        <w:t xml:space="preserve"> 2023</w:t>
      </w:r>
      <w:r w:rsidRPr="00A82815">
        <w:rPr>
          <w:sz w:val="24"/>
          <w:szCs w:val="24"/>
          <w:lang w:val="en-GB"/>
        </w:rPr>
        <w:t xml:space="preserve"> yang </w:t>
      </w:r>
      <w:proofErr w:type="spellStart"/>
      <w:r w:rsidRPr="00A82815">
        <w:rPr>
          <w:sz w:val="24"/>
          <w:szCs w:val="24"/>
          <w:lang w:val="en-GB"/>
        </w:rPr>
        <w:t>tertera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pada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keputusan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menteri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tersebut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terdapa</w:t>
      </w:r>
      <w:r>
        <w:rPr>
          <w:sz w:val="24"/>
          <w:szCs w:val="24"/>
          <w:lang w:val="en-GB"/>
        </w:rPr>
        <w:t>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condensate yang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dijadikan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referensi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1C3864">
        <w:rPr>
          <w:sz w:val="24"/>
          <w:szCs w:val="24"/>
          <w:lang w:val="en-GB"/>
        </w:rPr>
        <w:t>untuk</w:t>
      </w:r>
      <w:proofErr w:type="spellEnd"/>
      <w:r w:rsidR="001C3864">
        <w:rPr>
          <w:sz w:val="24"/>
          <w:szCs w:val="24"/>
          <w:lang w:val="en-GB"/>
        </w:rPr>
        <w:t xml:space="preserve"> </w:t>
      </w:r>
      <w:proofErr w:type="spellStart"/>
      <w:r w:rsidR="001C3864">
        <w:rPr>
          <w:sz w:val="24"/>
          <w:szCs w:val="24"/>
          <w:lang w:val="en-GB"/>
        </w:rPr>
        <w:t>penjualan</w:t>
      </w:r>
      <w:proofErr w:type="spellEnd"/>
      <w:r w:rsidR="001C3864">
        <w:rPr>
          <w:sz w:val="24"/>
          <w:szCs w:val="24"/>
          <w:lang w:val="en-GB"/>
        </w:rPr>
        <w:t xml:space="preserve"> condensate</w:t>
      </w:r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pada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wilayah</w:t>
      </w:r>
      <w:proofErr w:type="spellEnd"/>
      <w:r w:rsidRPr="00A82815">
        <w:rPr>
          <w:sz w:val="24"/>
          <w:szCs w:val="24"/>
          <w:lang w:val="en-GB"/>
        </w:rPr>
        <w:t xml:space="preserve"> </w:t>
      </w:r>
      <w:proofErr w:type="spellStart"/>
      <w:r w:rsidRPr="00A82815">
        <w:rPr>
          <w:sz w:val="24"/>
          <w:szCs w:val="24"/>
          <w:lang w:val="en-GB"/>
        </w:rPr>
        <w:t>kerja</w:t>
      </w:r>
      <w:proofErr w:type="spellEnd"/>
      <w:r w:rsidRPr="00A82815">
        <w:rPr>
          <w:sz w:val="24"/>
          <w:szCs w:val="24"/>
          <w:lang w:val="en-GB"/>
        </w:rPr>
        <w:t xml:space="preserve"> di </w:t>
      </w:r>
      <w:proofErr w:type="spellStart"/>
      <w:r w:rsidRPr="00A82815">
        <w:rPr>
          <w:sz w:val="24"/>
          <w:szCs w:val="24"/>
          <w:lang w:val="en-GB"/>
        </w:rPr>
        <w:t>Provinsi</w:t>
      </w:r>
      <w:proofErr w:type="spellEnd"/>
      <w:r w:rsidRPr="00A82815">
        <w:rPr>
          <w:sz w:val="24"/>
          <w:szCs w:val="24"/>
          <w:lang w:val="en-GB"/>
        </w:rPr>
        <w:t xml:space="preserve"> Aceh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Arun</w:t>
      </w:r>
      <w:proofErr w:type="spellEnd"/>
      <w:r>
        <w:rPr>
          <w:sz w:val="24"/>
          <w:szCs w:val="24"/>
          <w:lang w:val="en-GB"/>
        </w:rPr>
        <w:t xml:space="preserve"> Condensate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formula </w:t>
      </w:r>
      <w:proofErr w:type="spellStart"/>
      <w:r>
        <w:rPr>
          <w:sz w:val="24"/>
          <w:szCs w:val="24"/>
          <w:lang w:val="en-GB"/>
        </w:rPr>
        <w:t>Se</w:t>
      </w:r>
      <w:r w:rsidR="001C3864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>ipah</w:t>
      </w:r>
      <w:proofErr w:type="spellEnd"/>
      <w:r>
        <w:rPr>
          <w:sz w:val="24"/>
          <w:szCs w:val="24"/>
          <w:lang w:val="en-GB"/>
        </w:rPr>
        <w:t xml:space="preserve"> Condensate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formula </w:t>
      </w:r>
      <w:proofErr w:type="spellStart"/>
      <w:r>
        <w:rPr>
          <w:sz w:val="24"/>
          <w:szCs w:val="24"/>
          <w:lang w:val="en-GB"/>
        </w:rPr>
        <w:t>Attaka</w:t>
      </w:r>
      <w:proofErr w:type="spellEnd"/>
      <w:r>
        <w:rPr>
          <w:sz w:val="24"/>
          <w:szCs w:val="24"/>
          <w:lang w:val="en-GB"/>
        </w:rPr>
        <w:t xml:space="preserve"> – US$ / bbl</w:t>
      </w:r>
      <w:r w:rsidR="001C3864">
        <w:rPr>
          <w:sz w:val="24"/>
          <w:szCs w:val="24"/>
          <w:lang w:val="en-GB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36"/>
        <w:gridCol w:w="4260"/>
      </w:tblGrid>
      <w:tr w:rsidR="0017338F" w:rsidTr="0017338F">
        <w:tc>
          <w:tcPr>
            <w:tcW w:w="4788" w:type="dxa"/>
          </w:tcPr>
          <w:p w:rsidR="0017338F" w:rsidRPr="0017338F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17338F">
              <w:rPr>
                <w:sz w:val="24"/>
                <w:szCs w:val="24"/>
                <w:lang w:val="en-GB"/>
              </w:rPr>
              <w:t>Jenis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Minyak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Mentah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Permanen</w:t>
            </w:r>
            <w:proofErr w:type="spellEnd"/>
          </w:p>
        </w:tc>
        <w:tc>
          <w:tcPr>
            <w:tcW w:w="4788" w:type="dxa"/>
          </w:tcPr>
          <w:p w:rsidR="0017338F" w:rsidRPr="0017338F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17338F">
              <w:rPr>
                <w:sz w:val="24"/>
                <w:szCs w:val="24"/>
                <w:lang w:val="en-GB"/>
              </w:rPr>
              <w:t>Arun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Condensate</w:t>
            </w:r>
          </w:p>
        </w:tc>
      </w:tr>
      <w:tr w:rsidR="0017338F" w:rsidTr="0017338F">
        <w:tc>
          <w:tcPr>
            <w:tcW w:w="4788" w:type="dxa"/>
          </w:tcPr>
          <w:p w:rsidR="0017338F" w:rsidRPr="0017338F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r w:rsidRPr="0017338F">
              <w:rPr>
                <w:sz w:val="24"/>
                <w:szCs w:val="24"/>
                <w:lang w:val="en-GB"/>
              </w:rPr>
              <w:t>Formula</w:t>
            </w:r>
          </w:p>
        </w:tc>
        <w:tc>
          <w:tcPr>
            <w:tcW w:w="4788" w:type="dxa"/>
          </w:tcPr>
          <w:p w:rsidR="0017338F" w:rsidRPr="0017338F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17338F">
              <w:rPr>
                <w:sz w:val="24"/>
                <w:szCs w:val="24"/>
                <w:lang w:val="en-GB"/>
              </w:rPr>
              <w:t>Senipah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Condensate</w:t>
            </w:r>
          </w:p>
        </w:tc>
      </w:tr>
      <w:tr w:rsidR="0017338F" w:rsidTr="0017338F">
        <w:tc>
          <w:tcPr>
            <w:tcW w:w="4788" w:type="dxa"/>
          </w:tcPr>
          <w:p w:rsidR="0017338F" w:rsidRPr="0017338F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17338F">
              <w:rPr>
                <w:sz w:val="24"/>
                <w:szCs w:val="24"/>
                <w:lang w:val="en-GB"/>
              </w:rPr>
              <w:t>Harga</w:t>
            </w:r>
            <w:proofErr w:type="spellEnd"/>
          </w:p>
        </w:tc>
        <w:tc>
          <w:tcPr>
            <w:tcW w:w="4788" w:type="dxa"/>
          </w:tcPr>
          <w:p w:rsidR="0017338F" w:rsidRPr="0017338F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r w:rsidRPr="0017338F">
              <w:rPr>
                <w:sz w:val="24"/>
                <w:szCs w:val="24"/>
                <w:lang w:val="en-GB"/>
              </w:rPr>
              <w:t xml:space="preserve">73.51 US$ /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bbl</w:t>
            </w:r>
            <w:proofErr w:type="spellEnd"/>
          </w:p>
        </w:tc>
      </w:tr>
    </w:tbl>
    <w:p w:rsidR="0017338F" w:rsidRDefault="0017338F" w:rsidP="00C25F1E">
      <w:pPr>
        <w:jc w:val="both"/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32"/>
        <w:gridCol w:w="4264"/>
      </w:tblGrid>
      <w:tr w:rsidR="008D2FF0" w:rsidTr="00493787">
        <w:tc>
          <w:tcPr>
            <w:tcW w:w="4788" w:type="dxa"/>
          </w:tcPr>
          <w:p w:rsidR="008D2FF0" w:rsidRPr="0017338F" w:rsidRDefault="008D2FF0" w:rsidP="00493787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17338F">
              <w:rPr>
                <w:sz w:val="24"/>
                <w:szCs w:val="24"/>
                <w:lang w:val="en-GB"/>
              </w:rPr>
              <w:t>Jenis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Minyak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Mentah</w:t>
            </w:r>
            <w:proofErr w:type="spellEnd"/>
            <w:r w:rsidRPr="0017338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Permanen</w:t>
            </w:r>
            <w:proofErr w:type="spellEnd"/>
          </w:p>
        </w:tc>
        <w:tc>
          <w:tcPr>
            <w:tcW w:w="4788" w:type="dxa"/>
          </w:tcPr>
          <w:p w:rsidR="008D2FF0" w:rsidRPr="0017338F" w:rsidRDefault="008D2FF0" w:rsidP="00493787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Langsa</w:t>
            </w:r>
            <w:proofErr w:type="spellEnd"/>
          </w:p>
        </w:tc>
      </w:tr>
      <w:tr w:rsidR="008D2FF0" w:rsidTr="00493787">
        <w:tc>
          <w:tcPr>
            <w:tcW w:w="4788" w:type="dxa"/>
          </w:tcPr>
          <w:p w:rsidR="008D2FF0" w:rsidRPr="0017338F" w:rsidRDefault="008D2FF0" w:rsidP="00493787">
            <w:pPr>
              <w:jc w:val="both"/>
              <w:rPr>
                <w:sz w:val="24"/>
                <w:szCs w:val="24"/>
                <w:lang w:val="en-GB"/>
              </w:rPr>
            </w:pPr>
            <w:r w:rsidRPr="0017338F">
              <w:rPr>
                <w:sz w:val="24"/>
                <w:szCs w:val="24"/>
                <w:lang w:val="en-GB"/>
              </w:rPr>
              <w:t>Formula</w:t>
            </w:r>
          </w:p>
        </w:tc>
        <w:tc>
          <w:tcPr>
            <w:tcW w:w="4788" w:type="dxa"/>
          </w:tcPr>
          <w:p w:rsidR="008D2FF0" w:rsidRPr="0017338F" w:rsidRDefault="008D2FF0" w:rsidP="00493787">
            <w:pPr>
              <w:jc w:val="both"/>
              <w:rPr>
                <w:sz w:val="24"/>
                <w:szCs w:val="24"/>
                <w:lang w:val="en-GB"/>
              </w:rPr>
            </w:pPr>
            <w:r w:rsidRPr="008D2FF0">
              <w:rPr>
                <w:sz w:val="24"/>
                <w:szCs w:val="24"/>
              </w:rPr>
              <w:t>ATTAKA - US$0.40/</w:t>
            </w:r>
            <w:proofErr w:type="spellStart"/>
            <w:r w:rsidRPr="008D2FF0">
              <w:rPr>
                <w:sz w:val="24"/>
                <w:szCs w:val="24"/>
              </w:rPr>
              <w:t>bbl</w:t>
            </w:r>
            <w:proofErr w:type="spellEnd"/>
          </w:p>
        </w:tc>
      </w:tr>
      <w:tr w:rsidR="008D2FF0" w:rsidTr="00493787">
        <w:tc>
          <w:tcPr>
            <w:tcW w:w="4788" w:type="dxa"/>
          </w:tcPr>
          <w:p w:rsidR="008D2FF0" w:rsidRPr="0017338F" w:rsidRDefault="008D2FF0" w:rsidP="00493787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17338F">
              <w:rPr>
                <w:sz w:val="24"/>
                <w:szCs w:val="24"/>
                <w:lang w:val="en-GB"/>
              </w:rPr>
              <w:t>Harga</w:t>
            </w:r>
            <w:proofErr w:type="spellEnd"/>
          </w:p>
        </w:tc>
        <w:tc>
          <w:tcPr>
            <w:tcW w:w="4788" w:type="dxa"/>
          </w:tcPr>
          <w:p w:rsidR="008D2FF0" w:rsidRPr="0017338F" w:rsidRDefault="008D2FF0" w:rsidP="00493787">
            <w:pPr>
              <w:jc w:val="both"/>
              <w:rPr>
                <w:sz w:val="24"/>
                <w:szCs w:val="24"/>
                <w:lang w:val="en-GB"/>
              </w:rPr>
            </w:pPr>
            <w:r w:rsidRPr="008D2FF0">
              <w:rPr>
                <w:sz w:val="24"/>
                <w:szCs w:val="24"/>
              </w:rPr>
              <w:t>83,66</w:t>
            </w:r>
            <w:r>
              <w:rPr>
                <w:sz w:val="24"/>
                <w:szCs w:val="24"/>
              </w:rPr>
              <w:t xml:space="preserve"> </w:t>
            </w:r>
            <w:r w:rsidRPr="008D2FF0">
              <w:rPr>
                <w:sz w:val="24"/>
                <w:szCs w:val="24"/>
                <w:lang w:val="en-GB"/>
              </w:rPr>
              <w:t>US</w:t>
            </w:r>
            <w:r w:rsidRPr="0017338F">
              <w:rPr>
                <w:sz w:val="24"/>
                <w:szCs w:val="24"/>
                <w:lang w:val="en-GB"/>
              </w:rPr>
              <w:t xml:space="preserve">$ / </w:t>
            </w:r>
            <w:proofErr w:type="spellStart"/>
            <w:r w:rsidRPr="0017338F">
              <w:rPr>
                <w:sz w:val="24"/>
                <w:szCs w:val="24"/>
                <w:lang w:val="en-GB"/>
              </w:rPr>
              <w:t>bbl</w:t>
            </w:r>
            <w:proofErr w:type="spellEnd"/>
          </w:p>
        </w:tc>
      </w:tr>
    </w:tbl>
    <w:p w:rsidR="008D2FF0" w:rsidRDefault="008D2FF0" w:rsidP="0017338F">
      <w:pPr>
        <w:ind w:left="1080"/>
        <w:jc w:val="both"/>
        <w:rPr>
          <w:b/>
          <w:bCs/>
          <w:sz w:val="24"/>
          <w:szCs w:val="24"/>
          <w:lang w:val="en-GB"/>
        </w:rPr>
      </w:pPr>
    </w:p>
    <w:p w:rsidR="0017338F" w:rsidRDefault="0017338F" w:rsidP="0017338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Harga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Minyak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Mentah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Sementara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Bulan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b/>
          <w:bCs/>
          <w:sz w:val="24"/>
          <w:szCs w:val="24"/>
          <w:lang w:val="en-GB"/>
        </w:rPr>
        <w:t>Agustus</w:t>
      </w:r>
      <w:proofErr w:type="spellEnd"/>
      <w:r>
        <w:rPr>
          <w:b/>
          <w:bCs/>
          <w:sz w:val="24"/>
          <w:szCs w:val="24"/>
          <w:lang w:val="en-GB"/>
        </w:rPr>
        <w:t xml:space="preserve"> 2023</w:t>
      </w:r>
    </w:p>
    <w:p w:rsidR="001C3864" w:rsidRPr="001C3864" w:rsidRDefault="001C3864" w:rsidP="001C3864">
      <w:pPr>
        <w:ind w:left="1080" w:firstLine="360"/>
        <w:jc w:val="both"/>
        <w:rPr>
          <w:sz w:val="24"/>
          <w:szCs w:val="24"/>
          <w:lang w:val="en-GB"/>
        </w:rPr>
      </w:pPr>
      <w:proofErr w:type="spellStart"/>
      <w:r w:rsidRPr="001C3864">
        <w:rPr>
          <w:sz w:val="24"/>
          <w:szCs w:val="24"/>
          <w:lang w:val="en-GB"/>
        </w:rPr>
        <w:t>Pada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rincian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minyak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mentah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sementara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bulan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Agustus</w:t>
      </w:r>
      <w:proofErr w:type="spellEnd"/>
      <w:r w:rsidRPr="001C3864">
        <w:rPr>
          <w:sz w:val="24"/>
          <w:szCs w:val="24"/>
          <w:lang w:val="en-GB"/>
        </w:rPr>
        <w:t xml:space="preserve"> 2023 yang </w:t>
      </w:r>
      <w:proofErr w:type="spellStart"/>
      <w:r w:rsidRPr="001C3864">
        <w:rPr>
          <w:sz w:val="24"/>
          <w:szCs w:val="24"/>
          <w:lang w:val="en-GB"/>
        </w:rPr>
        <w:t>tertera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pada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keputusan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menteri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tersebut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terdapat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harga</w:t>
      </w:r>
      <w:proofErr w:type="spellEnd"/>
      <w:r w:rsidRPr="001C3864">
        <w:rPr>
          <w:sz w:val="24"/>
          <w:szCs w:val="24"/>
          <w:lang w:val="en-GB"/>
        </w:rPr>
        <w:t xml:space="preserve"> condensate yang </w:t>
      </w:r>
      <w:proofErr w:type="spellStart"/>
      <w:r w:rsidRPr="001C3864">
        <w:rPr>
          <w:sz w:val="24"/>
          <w:szCs w:val="24"/>
          <w:lang w:val="en-GB"/>
        </w:rPr>
        <w:t>dapat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dijadikan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referensi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untuk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penjualan</w:t>
      </w:r>
      <w:proofErr w:type="spellEnd"/>
      <w:r w:rsidRPr="001C3864">
        <w:rPr>
          <w:sz w:val="24"/>
          <w:szCs w:val="24"/>
          <w:lang w:val="en-GB"/>
        </w:rPr>
        <w:t xml:space="preserve"> condensate </w:t>
      </w:r>
      <w:proofErr w:type="spellStart"/>
      <w:r w:rsidRPr="001C3864">
        <w:rPr>
          <w:sz w:val="24"/>
          <w:szCs w:val="24"/>
          <w:lang w:val="en-GB"/>
        </w:rPr>
        <w:t>pada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wilayah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proofErr w:type="spellStart"/>
      <w:r w:rsidRPr="001C3864">
        <w:rPr>
          <w:sz w:val="24"/>
          <w:szCs w:val="24"/>
          <w:lang w:val="en-GB"/>
        </w:rPr>
        <w:t>kerja</w:t>
      </w:r>
      <w:proofErr w:type="spellEnd"/>
      <w:r w:rsidRPr="001C3864">
        <w:rPr>
          <w:sz w:val="24"/>
          <w:szCs w:val="24"/>
          <w:lang w:val="en-GB"/>
        </w:rPr>
        <w:t xml:space="preserve"> di </w:t>
      </w:r>
      <w:proofErr w:type="spellStart"/>
      <w:r w:rsidRPr="001C3864">
        <w:rPr>
          <w:sz w:val="24"/>
          <w:szCs w:val="24"/>
          <w:lang w:val="en-GB"/>
        </w:rPr>
        <w:t>Provinsi</w:t>
      </w:r>
      <w:proofErr w:type="spellEnd"/>
      <w:r w:rsidRPr="001C3864">
        <w:rPr>
          <w:sz w:val="24"/>
          <w:szCs w:val="24"/>
          <w:lang w:val="en-GB"/>
        </w:rPr>
        <w:t xml:space="preserve"> Aceh </w:t>
      </w:r>
      <w:proofErr w:type="spellStart"/>
      <w:r w:rsidRPr="001C3864">
        <w:rPr>
          <w:sz w:val="24"/>
          <w:szCs w:val="24"/>
          <w:lang w:val="en-GB"/>
        </w:rPr>
        <w:t>yaitu</w:t>
      </w:r>
      <w:proofErr w:type="spellEnd"/>
      <w:r w:rsidRPr="001C386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Blok A Condensate yang </w:t>
      </w:r>
      <w:proofErr w:type="spellStart"/>
      <w:r>
        <w:rPr>
          <w:sz w:val="24"/>
          <w:szCs w:val="24"/>
          <w:lang w:val="en-GB"/>
        </w:rPr>
        <w:t>dikomersialisasi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Arun</w:t>
      </w:r>
      <w:proofErr w:type="spellEnd"/>
      <w:r>
        <w:rPr>
          <w:sz w:val="24"/>
          <w:szCs w:val="24"/>
          <w:lang w:val="en-GB"/>
        </w:rPr>
        <w:t xml:space="preserve"> Condensate.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4506"/>
      </w:tblGrid>
      <w:tr w:rsidR="0017338F" w:rsidTr="00AD5E90">
        <w:tc>
          <w:tcPr>
            <w:tcW w:w="3990" w:type="dxa"/>
          </w:tcPr>
          <w:p w:rsidR="0017338F" w:rsidRPr="00A6029B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A6029B">
              <w:rPr>
                <w:sz w:val="24"/>
                <w:szCs w:val="24"/>
                <w:lang w:val="en-GB"/>
              </w:rPr>
              <w:t>Jenis</w:t>
            </w:r>
            <w:proofErr w:type="spellEnd"/>
            <w:r w:rsidRPr="00A6029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029B">
              <w:rPr>
                <w:sz w:val="24"/>
                <w:szCs w:val="24"/>
                <w:lang w:val="en-GB"/>
              </w:rPr>
              <w:t>Minyak</w:t>
            </w:r>
            <w:proofErr w:type="spellEnd"/>
            <w:r w:rsidRPr="00A6029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029B">
              <w:rPr>
                <w:sz w:val="24"/>
                <w:szCs w:val="24"/>
                <w:lang w:val="en-GB"/>
              </w:rPr>
              <w:t>Mentah</w:t>
            </w:r>
            <w:proofErr w:type="spellEnd"/>
            <w:r w:rsidRPr="00A6029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029B">
              <w:rPr>
                <w:sz w:val="24"/>
                <w:szCs w:val="24"/>
                <w:lang w:val="en-GB"/>
              </w:rPr>
              <w:t>Sementara</w:t>
            </w:r>
            <w:proofErr w:type="spellEnd"/>
          </w:p>
        </w:tc>
        <w:tc>
          <w:tcPr>
            <w:tcW w:w="4506" w:type="dxa"/>
          </w:tcPr>
          <w:p w:rsidR="0017338F" w:rsidRPr="00A6029B" w:rsidRDefault="0017338F" w:rsidP="0017338F">
            <w:pPr>
              <w:jc w:val="both"/>
              <w:rPr>
                <w:sz w:val="24"/>
                <w:szCs w:val="24"/>
                <w:lang w:val="en-GB"/>
              </w:rPr>
            </w:pPr>
            <w:r w:rsidRPr="00A6029B">
              <w:rPr>
                <w:sz w:val="24"/>
                <w:szCs w:val="24"/>
                <w:lang w:val="en-GB"/>
              </w:rPr>
              <w:t>Blok A</w:t>
            </w:r>
            <w:r w:rsidR="00A6029B" w:rsidRPr="00A6029B">
              <w:rPr>
                <w:sz w:val="24"/>
                <w:szCs w:val="24"/>
                <w:lang w:val="en-GB"/>
              </w:rPr>
              <w:t xml:space="preserve"> Condensate</w:t>
            </w:r>
          </w:p>
        </w:tc>
      </w:tr>
      <w:tr w:rsidR="0017338F" w:rsidTr="00AD5E90">
        <w:tc>
          <w:tcPr>
            <w:tcW w:w="3990" w:type="dxa"/>
          </w:tcPr>
          <w:p w:rsidR="0017338F" w:rsidRPr="00A6029B" w:rsidRDefault="00A6029B" w:rsidP="0017338F">
            <w:pPr>
              <w:jc w:val="both"/>
              <w:rPr>
                <w:sz w:val="24"/>
                <w:szCs w:val="24"/>
                <w:lang w:val="en-GB"/>
              </w:rPr>
            </w:pPr>
            <w:r w:rsidRPr="00A6029B">
              <w:rPr>
                <w:sz w:val="24"/>
                <w:szCs w:val="24"/>
                <w:lang w:val="en-GB"/>
              </w:rPr>
              <w:t xml:space="preserve">Formula </w:t>
            </w:r>
          </w:p>
        </w:tc>
        <w:tc>
          <w:tcPr>
            <w:tcW w:w="4506" w:type="dxa"/>
          </w:tcPr>
          <w:p w:rsidR="0017338F" w:rsidRPr="00A6029B" w:rsidRDefault="00A6029B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A6029B">
              <w:rPr>
                <w:sz w:val="24"/>
                <w:szCs w:val="24"/>
                <w:lang w:val="en-GB"/>
              </w:rPr>
              <w:t>Dikomersialisasi</w:t>
            </w:r>
            <w:proofErr w:type="spellEnd"/>
            <w:r w:rsidRPr="00A6029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029B">
              <w:rPr>
                <w:sz w:val="24"/>
                <w:szCs w:val="24"/>
                <w:lang w:val="en-GB"/>
              </w:rPr>
              <w:t>sebagai</w:t>
            </w:r>
            <w:proofErr w:type="spellEnd"/>
            <w:r w:rsidRPr="00A6029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029B">
              <w:rPr>
                <w:sz w:val="24"/>
                <w:szCs w:val="24"/>
                <w:lang w:val="en-GB"/>
              </w:rPr>
              <w:t>Arun</w:t>
            </w:r>
            <w:proofErr w:type="spellEnd"/>
            <w:r w:rsidRPr="00A6029B">
              <w:rPr>
                <w:sz w:val="24"/>
                <w:szCs w:val="24"/>
                <w:lang w:val="en-GB"/>
              </w:rPr>
              <w:t xml:space="preserve"> Condensate</w:t>
            </w:r>
          </w:p>
        </w:tc>
      </w:tr>
      <w:tr w:rsidR="0017338F" w:rsidTr="00AD5E90">
        <w:tc>
          <w:tcPr>
            <w:tcW w:w="3990" w:type="dxa"/>
          </w:tcPr>
          <w:p w:rsidR="0017338F" w:rsidRPr="00A6029B" w:rsidRDefault="00A6029B" w:rsidP="0017338F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A6029B">
              <w:rPr>
                <w:sz w:val="24"/>
                <w:szCs w:val="24"/>
                <w:lang w:val="en-GB"/>
              </w:rPr>
              <w:t>Harga</w:t>
            </w:r>
            <w:proofErr w:type="spellEnd"/>
          </w:p>
        </w:tc>
        <w:tc>
          <w:tcPr>
            <w:tcW w:w="4506" w:type="dxa"/>
          </w:tcPr>
          <w:p w:rsidR="0017338F" w:rsidRPr="00A6029B" w:rsidRDefault="00A6029B" w:rsidP="0017338F">
            <w:pPr>
              <w:jc w:val="both"/>
              <w:rPr>
                <w:sz w:val="24"/>
                <w:szCs w:val="24"/>
                <w:lang w:val="en-GB"/>
              </w:rPr>
            </w:pPr>
            <w:r w:rsidRPr="00A6029B">
              <w:rPr>
                <w:sz w:val="24"/>
                <w:szCs w:val="24"/>
                <w:lang w:val="en-GB"/>
              </w:rPr>
              <w:t xml:space="preserve">73.51 US$ / </w:t>
            </w:r>
            <w:proofErr w:type="spellStart"/>
            <w:r w:rsidRPr="00A6029B">
              <w:rPr>
                <w:sz w:val="24"/>
                <w:szCs w:val="24"/>
                <w:lang w:val="en-GB"/>
              </w:rPr>
              <w:t>bbl</w:t>
            </w:r>
            <w:proofErr w:type="spellEnd"/>
          </w:p>
        </w:tc>
      </w:tr>
    </w:tbl>
    <w:p w:rsidR="0017338F" w:rsidRPr="0017338F" w:rsidRDefault="0017338F" w:rsidP="0017338F">
      <w:pPr>
        <w:ind w:left="1080"/>
        <w:jc w:val="both"/>
        <w:rPr>
          <w:b/>
          <w:bCs/>
          <w:sz w:val="24"/>
          <w:szCs w:val="24"/>
          <w:lang w:val="en-GB"/>
        </w:rPr>
      </w:pPr>
    </w:p>
    <w:sectPr w:rsidR="0017338F" w:rsidRPr="00173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621D"/>
    <w:multiLevelType w:val="hybridMultilevel"/>
    <w:tmpl w:val="6582B364"/>
    <w:lvl w:ilvl="0" w:tplc="84A090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A11536"/>
    <w:multiLevelType w:val="hybridMultilevel"/>
    <w:tmpl w:val="38F8FA58"/>
    <w:lvl w:ilvl="0" w:tplc="6B389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075"/>
    <w:multiLevelType w:val="hybridMultilevel"/>
    <w:tmpl w:val="66508908"/>
    <w:lvl w:ilvl="0" w:tplc="85B4C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D7"/>
    <w:rsid w:val="00032CD9"/>
    <w:rsid w:val="000A5291"/>
    <w:rsid w:val="001677DF"/>
    <w:rsid w:val="0017338F"/>
    <w:rsid w:val="001C3864"/>
    <w:rsid w:val="001E7E70"/>
    <w:rsid w:val="00203F1A"/>
    <w:rsid w:val="00206297"/>
    <w:rsid w:val="002E542A"/>
    <w:rsid w:val="00443999"/>
    <w:rsid w:val="00477AE1"/>
    <w:rsid w:val="004E0FE7"/>
    <w:rsid w:val="00552C10"/>
    <w:rsid w:val="00692624"/>
    <w:rsid w:val="006C6442"/>
    <w:rsid w:val="006E50D7"/>
    <w:rsid w:val="0070290C"/>
    <w:rsid w:val="008D2FF0"/>
    <w:rsid w:val="00932F93"/>
    <w:rsid w:val="00A6029B"/>
    <w:rsid w:val="00A82815"/>
    <w:rsid w:val="00AD5E90"/>
    <w:rsid w:val="00C25F1E"/>
    <w:rsid w:val="00C31AD0"/>
    <w:rsid w:val="00CC2DA0"/>
    <w:rsid w:val="00E408D9"/>
    <w:rsid w:val="00E46676"/>
    <w:rsid w:val="00E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8F"/>
    <w:pPr>
      <w:ind w:left="720"/>
      <w:contextualSpacing/>
    </w:pPr>
  </w:style>
  <w:style w:type="table" w:styleId="TableGrid">
    <w:name w:val="Table Grid"/>
    <w:basedOn w:val="TableNormal"/>
    <w:uiPriority w:val="59"/>
    <w:rsid w:val="00173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8F"/>
    <w:pPr>
      <w:ind w:left="720"/>
      <w:contextualSpacing/>
    </w:pPr>
  </w:style>
  <w:style w:type="table" w:styleId="TableGrid">
    <w:name w:val="Table Grid"/>
    <w:basedOn w:val="TableNormal"/>
    <w:uiPriority w:val="59"/>
    <w:rsid w:val="00173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2024-02-13T08:03:00Z</dcterms:created>
  <dcterms:modified xsi:type="dcterms:W3CDTF">2024-03-04T09:03:00Z</dcterms:modified>
</cp:coreProperties>
</file>