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345"/>
        <w:tblW w:w="15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72"/>
        <w:gridCol w:w="5028"/>
        <w:gridCol w:w="5220"/>
      </w:tblGrid>
      <w:tr w:rsidR="000D20E5" w:rsidRPr="00876D17" w:rsidTr="000D20E5">
        <w:trPr>
          <w:trHeight w:val="336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bookmarkStart w:id="0" w:name="_GoBack"/>
            <w:bookmarkEnd w:id="0"/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Internal</w:t>
            </w:r>
          </w:p>
        </w:tc>
        <w:tc>
          <w:tcPr>
            <w:tcW w:w="502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Strengh (S)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Weakness (W)</w:t>
            </w:r>
          </w:p>
        </w:tc>
      </w:tr>
      <w:tr w:rsidR="000D20E5" w:rsidRPr="00876D17" w:rsidTr="000D20E5">
        <w:trPr>
          <w:trHeight w:val="1417"/>
        </w:trPr>
        <w:tc>
          <w:tcPr>
            <w:tcW w:w="48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bottom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External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1"/>
              </w:numPr>
              <w:tabs>
                <w:tab w:val="clear" w:pos="720"/>
                <w:tab w:val="num" w:pos="336"/>
              </w:tabs>
              <w:spacing w:after="0" w:line="240" w:lineRule="auto"/>
              <w:ind w:left="331" w:hanging="331"/>
              <w:jc w:val="both"/>
              <w:rPr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D4FAFD" wp14:editId="29ADA795">
                      <wp:simplePos x="0" y="0"/>
                      <wp:positionH relativeFrom="column">
                        <wp:posOffset>-3195320</wp:posOffset>
                      </wp:positionH>
                      <wp:positionV relativeFrom="paragraph">
                        <wp:posOffset>-405765</wp:posOffset>
                      </wp:positionV>
                      <wp:extent cx="3063875" cy="1356360"/>
                      <wp:effectExtent l="0" t="0" r="22225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3890" cy="13564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D9FB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1.6pt,-31.95pt" to="-10.3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876D17">
              <w:rPr>
                <w:noProof/>
                <w:lang w:val="id-ID"/>
              </w:rPr>
              <w:t>Produksi selada 11 sampai 12 ton per masa panen (</w:t>
            </w:r>
            <w:r>
              <w:rPr>
                <w:noProof/>
              </w:rPr>
              <w:t>45</w:t>
            </w:r>
            <w:r w:rsidRPr="00876D17">
              <w:rPr>
                <w:noProof/>
                <w:lang w:val="id-ID"/>
              </w:rPr>
              <w:t xml:space="preserve"> hari)</w:t>
            </w:r>
          </w:p>
          <w:p w:rsidR="000D20E5" w:rsidRPr="00876D17" w:rsidRDefault="000D20E5" w:rsidP="000D20E5">
            <w:pPr>
              <w:numPr>
                <w:ilvl w:val="0"/>
                <w:numId w:val="11"/>
              </w:numPr>
              <w:tabs>
                <w:tab w:val="clear" w:pos="720"/>
                <w:tab w:val="num" w:pos="336"/>
              </w:tabs>
              <w:spacing w:after="0" w:line="240" w:lineRule="auto"/>
              <w:ind w:left="331" w:hanging="331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Ketersediaan lahan yang luas</w:t>
            </w:r>
          </w:p>
          <w:p w:rsidR="000D20E5" w:rsidRPr="00876D17" w:rsidRDefault="000D20E5" w:rsidP="000D20E5">
            <w:pPr>
              <w:numPr>
                <w:ilvl w:val="0"/>
                <w:numId w:val="11"/>
              </w:numPr>
              <w:tabs>
                <w:tab w:val="clear" w:pos="720"/>
                <w:tab w:val="num" w:pos="336"/>
              </w:tabs>
              <w:spacing w:after="0" w:line="240" w:lineRule="auto"/>
              <w:ind w:left="331" w:hanging="331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Kestabilan komoditi dibandingkan dengan komoditi lainnya.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1"/>
              </w:numPr>
              <w:tabs>
                <w:tab w:val="clear" w:pos="720"/>
                <w:tab w:val="num" w:pos="336"/>
              </w:tabs>
              <w:spacing w:after="0" w:line="240" w:lineRule="auto"/>
              <w:ind w:left="331" w:hanging="331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Membutuhkan dana yang besar untuk pembangunan infrastruktur</w:t>
            </w:r>
          </w:p>
          <w:p w:rsidR="000D20E5" w:rsidRPr="00876D17" w:rsidRDefault="000D20E5" w:rsidP="000D20E5">
            <w:pPr>
              <w:numPr>
                <w:ilvl w:val="0"/>
                <w:numId w:val="11"/>
              </w:numPr>
              <w:tabs>
                <w:tab w:val="clear" w:pos="720"/>
                <w:tab w:val="num" w:pos="336"/>
              </w:tabs>
              <w:spacing w:after="0" w:line="240" w:lineRule="auto"/>
              <w:ind w:left="331" w:hanging="331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Pengalaman perusahaan calon mitra yang masih sedikit</w:t>
            </w:r>
          </w:p>
        </w:tc>
      </w:tr>
      <w:tr w:rsidR="000D20E5" w:rsidRPr="00876D17" w:rsidTr="000D20E5">
        <w:trPr>
          <w:trHeight w:val="172"/>
        </w:trPr>
        <w:tc>
          <w:tcPr>
            <w:tcW w:w="48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noProof/>
                <w:lang w:val="id-ID"/>
              </w:rPr>
            </w:pPr>
            <w:r w:rsidRPr="00876D17">
              <w:rPr>
                <w:b/>
                <w:bCs/>
                <w:noProof/>
                <w:lang w:val="id-ID"/>
              </w:rPr>
              <w:t>Opportunity (O)</w:t>
            </w:r>
          </w:p>
        </w:tc>
        <w:tc>
          <w:tcPr>
            <w:tcW w:w="50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noProof/>
                <w:lang w:val="id-ID"/>
              </w:rPr>
            </w:pPr>
            <w:r w:rsidRPr="00876D17">
              <w:rPr>
                <w:b/>
                <w:bCs/>
                <w:noProof/>
                <w:lang w:val="id-ID"/>
              </w:rPr>
              <w:t>SO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noProof/>
                <w:lang w:val="id-ID"/>
              </w:rPr>
            </w:pPr>
            <w:r w:rsidRPr="00876D17">
              <w:rPr>
                <w:b/>
                <w:bCs/>
                <w:noProof/>
                <w:lang w:val="id-ID"/>
              </w:rPr>
              <w:t>WO</w:t>
            </w:r>
          </w:p>
        </w:tc>
      </w:tr>
      <w:tr w:rsidR="000D20E5" w:rsidRPr="00876D17" w:rsidTr="000D20E5">
        <w:trPr>
          <w:trHeight w:val="1359"/>
        </w:trPr>
        <w:tc>
          <w:tcPr>
            <w:tcW w:w="48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2"/>
              </w:numPr>
              <w:tabs>
                <w:tab w:val="clear" w:pos="720"/>
                <w:tab w:val="num" w:pos="438"/>
              </w:tabs>
              <w:spacing w:after="0" w:line="240" w:lineRule="auto"/>
              <w:ind w:left="346" w:hanging="272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Minat dari pasar yang tinggi</w:t>
            </w:r>
          </w:p>
          <w:p w:rsidR="000D20E5" w:rsidRPr="00876D17" w:rsidRDefault="000D20E5" w:rsidP="000D20E5">
            <w:pPr>
              <w:numPr>
                <w:ilvl w:val="0"/>
                <w:numId w:val="12"/>
              </w:numPr>
              <w:tabs>
                <w:tab w:val="clear" w:pos="720"/>
                <w:tab w:val="num" w:pos="438"/>
              </w:tabs>
              <w:spacing w:after="0" w:line="240" w:lineRule="auto"/>
              <w:ind w:left="346" w:hanging="272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Persaingan yang rendah</w:t>
            </w:r>
          </w:p>
          <w:p w:rsidR="000D20E5" w:rsidRPr="00876D17" w:rsidRDefault="000D20E5" w:rsidP="000D20E5">
            <w:pPr>
              <w:numPr>
                <w:ilvl w:val="0"/>
                <w:numId w:val="12"/>
              </w:numPr>
              <w:tabs>
                <w:tab w:val="clear" w:pos="720"/>
                <w:tab w:val="num" w:pos="438"/>
              </w:tabs>
              <w:spacing w:after="0" w:line="240" w:lineRule="auto"/>
              <w:ind w:left="346" w:hanging="272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Tren hidup sehat dan mengkonsumsi sayuran hijau organik atau berkimia rendah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2"/>
              </w:numPr>
              <w:tabs>
                <w:tab w:val="clear" w:pos="720"/>
                <w:tab w:val="num" w:pos="438"/>
              </w:tabs>
              <w:spacing w:after="0" w:line="240" w:lineRule="auto"/>
              <w:ind w:left="346" w:hanging="272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Pemanfaatan ketersediaan lahan untuk meningkatkan produksi panen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2"/>
              </w:numPr>
              <w:tabs>
                <w:tab w:val="clear" w:pos="720"/>
                <w:tab w:val="num" w:pos="438"/>
              </w:tabs>
              <w:spacing w:after="0" w:line="240" w:lineRule="auto"/>
              <w:ind w:left="346" w:hanging="272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Kolaborasi PEMA dengan PT Eco Green dalam bentuk kerjasama (JO) diharapkan mampu membantu dari segi finansial dan kajian bisnis agar rencana bisnis ini dapat berkembang luas</w:t>
            </w:r>
          </w:p>
        </w:tc>
      </w:tr>
      <w:tr w:rsidR="000D20E5" w:rsidRPr="00876D17" w:rsidTr="000D20E5">
        <w:trPr>
          <w:trHeight w:val="199"/>
        </w:trPr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Threats (T)</w:t>
            </w:r>
          </w:p>
        </w:tc>
        <w:tc>
          <w:tcPr>
            <w:tcW w:w="50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ST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 w:rsidRPr="00876D17">
              <w:rPr>
                <w:rFonts w:ascii="Calibri" w:hAnsi="Calibri" w:cs="Calibri"/>
                <w:b/>
                <w:bCs/>
                <w:noProof/>
                <w:lang w:val="id-ID"/>
              </w:rPr>
              <w:t>WT</w:t>
            </w:r>
          </w:p>
        </w:tc>
      </w:tr>
      <w:tr w:rsidR="000D20E5" w:rsidRPr="00876D17" w:rsidTr="000D20E5">
        <w:trPr>
          <w:trHeight w:val="1303"/>
        </w:trPr>
        <w:tc>
          <w:tcPr>
            <w:tcW w:w="48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3"/>
              </w:numPr>
              <w:tabs>
                <w:tab w:val="clear" w:pos="720"/>
                <w:tab w:val="num" w:pos="348"/>
              </w:tabs>
              <w:spacing w:after="0" w:line="240" w:lineRule="auto"/>
              <w:ind w:left="346" w:hanging="274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Kondisi alam yang mempengaruhi produksi</w:t>
            </w:r>
          </w:p>
          <w:p w:rsidR="000D20E5" w:rsidRPr="00876D17" w:rsidRDefault="000D20E5" w:rsidP="000D20E5">
            <w:pPr>
              <w:numPr>
                <w:ilvl w:val="0"/>
                <w:numId w:val="13"/>
              </w:numPr>
              <w:tabs>
                <w:tab w:val="clear" w:pos="720"/>
                <w:tab w:val="num" w:pos="348"/>
              </w:tabs>
              <w:spacing w:after="0" w:line="240" w:lineRule="auto"/>
              <w:ind w:left="346" w:hanging="274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Serangan hama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3"/>
              </w:numPr>
              <w:tabs>
                <w:tab w:val="clear" w:pos="720"/>
                <w:tab w:val="num" w:pos="348"/>
              </w:tabs>
              <w:spacing w:after="0" w:line="240" w:lineRule="auto"/>
              <w:ind w:left="346" w:hanging="274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Pada lahan saat ini dubutuhkan pembangunan green house yang berguna untuk mengatasi masalah hama dan faktor cuaca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:rsidR="000D20E5" w:rsidRPr="00876D17" w:rsidRDefault="000D20E5" w:rsidP="000D20E5">
            <w:pPr>
              <w:numPr>
                <w:ilvl w:val="0"/>
                <w:numId w:val="13"/>
              </w:numPr>
              <w:tabs>
                <w:tab w:val="clear" w:pos="720"/>
                <w:tab w:val="num" w:pos="348"/>
              </w:tabs>
              <w:spacing w:after="0" w:line="240" w:lineRule="auto"/>
              <w:ind w:left="346" w:hanging="274"/>
              <w:jc w:val="both"/>
              <w:rPr>
                <w:noProof/>
                <w:lang w:val="id-ID"/>
              </w:rPr>
            </w:pPr>
            <w:r w:rsidRPr="00876D17">
              <w:rPr>
                <w:noProof/>
                <w:lang w:val="id-ID"/>
              </w:rPr>
              <w:t>Diharapkan keterlibatan PEMA disini mampu mengatasi masalah investasi yang dibutuhkan untuk membangun green house</w:t>
            </w:r>
          </w:p>
        </w:tc>
      </w:tr>
    </w:tbl>
    <w:p w:rsidR="000D20E5" w:rsidRPr="000D20E5" w:rsidRDefault="000D20E5" w:rsidP="000D20E5"/>
    <w:sectPr w:rsidR="000D20E5" w:rsidRPr="000D20E5" w:rsidSect="00785514">
      <w:headerReference w:type="first" r:id="rId7"/>
      <w:pgSz w:w="16838" w:h="11906" w:orient="landscape"/>
      <w:pgMar w:top="851" w:right="8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66" w:rsidRDefault="00023666" w:rsidP="00C67241">
      <w:pPr>
        <w:spacing w:after="0" w:line="240" w:lineRule="auto"/>
      </w:pPr>
      <w:r>
        <w:separator/>
      </w:r>
    </w:p>
  </w:endnote>
  <w:endnote w:type="continuationSeparator" w:id="0">
    <w:p w:rsidR="00023666" w:rsidRDefault="00023666" w:rsidP="00C6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66" w:rsidRDefault="00023666" w:rsidP="00C67241">
      <w:pPr>
        <w:spacing w:after="0" w:line="240" w:lineRule="auto"/>
      </w:pPr>
      <w:r>
        <w:separator/>
      </w:r>
    </w:p>
  </w:footnote>
  <w:footnote w:type="continuationSeparator" w:id="0">
    <w:p w:rsidR="00023666" w:rsidRDefault="00023666" w:rsidP="00C6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14" w:rsidRDefault="007855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225E"/>
    <w:multiLevelType w:val="multilevel"/>
    <w:tmpl w:val="3DFC4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67B53"/>
    <w:multiLevelType w:val="hybridMultilevel"/>
    <w:tmpl w:val="0464C2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000BE"/>
    <w:multiLevelType w:val="hybridMultilevel"/>
    <w:tmpl w:val="56B612C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2000C"/>
    <w:multiLevelType w:val="hybridMultilevel"/>
    <w:tmpl w:val="14B6E98C"/>
    <w:lvl w:ilvl="0" w:tplc="605A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28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68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6E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8A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C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46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6C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D175DE"/>
    <w:multiLevelType w:val="hybridMultilevel"/>
    <w:tmpl w:val="09788BE6"/>
    <w:lvl w:ilvl="0" w:tplc="6C465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CA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2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8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8B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E2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AC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6E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E4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A22F31"/>
    <w:multiLevelType w:val="hybridMultilevel"/>
    <w:tmpl w:val="5CE2E1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CA0561"/>
    <w:multiLevelType w:val="multilevel"/>
    <w:tmpl w:val="3DFC4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6070C9"/>
    <w:multiLevelType w:val="hybridMultilevel"/>
    <w:tmpl w:val="32B0EFF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5776B"/>
    <w:multiLevelType w:val="hybridMultilevel"/>
    <w:tmpl w:val="2848C7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CE494D"/>
    <w:multiLevelType w:val="hybridMultilevel"/>
    <w:tmpl w:val="CC1AB740"/>
    <w:lvl w:ilvl="0" w:tplc="C4A0D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08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E3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0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CF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29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4C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AF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4834DE"/>
    <w:multiLevelType w:val="hybridMultilevel"/>
    <w:tmpl w:val="D6E49B06"/>
    <w:lvl w:ilvl="0" w:tplc="AA1A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48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E2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8D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67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3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89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D87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A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5922AB"/>
    <w:multiLevelType w:val="hybridMultilevel"/>
    <w:tmpl w:val="2DB281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0A7086"/>
    <w:multiLevelType w:val="multilevel"/>
    <w:tmpl w:val="4BC057D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i w:val="0"/>
        <w:iCs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3"/>
    <w:rsid w:val="00017423"/>
    <w:rsid w:val="00023666"/>
    <w:rsid w:val="000D20E5"/>
    <w:rsid w:val="00156B26"/>
    <w:rsid w:val="001D7416"/>
    <w:rsid w:val="002C73C8"/>
    <w:rsid w:val="0034227E"/>
    <w:rsid w:val="004C350A"/>
    <w:rsid w:val="005F6728"/>
    <w:rsid w:val="00785514"/>
    <w:rsid w:val="007A2293"/>
    <w:rsid w:val="00826704"/>
    <w:rsid w:val="008F3A73"/>
    <w:rsid w:val="00A42E14"/>
    <w:rsid w:val="00C67241"/>
    <w:rsid w:val="00F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8C6EA-54B0-44A3-8DF9-63CDD06F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0E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51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41"/>
    <w:rPr>
      <w:lang w:val="en-US"/>
    </w:rPr>
  </w:style>
  <w:style w:type="table" w:styleId="GridTable5Dark-Accent2">
    <w:name w:val="Grid Table 5 Dark Accent 2"/>
    <w:basedOn w:val="TableNormal"/>
    <w:uiPriority w:val="50"/>
    <w:rsid w:val="00F921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85514"/>
    <w:rPr>
      <w:rFonts w:eastAsiaTheme="majorEastAsia" w:cstheme="majorBidi"/>
      <w:b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7855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2024-02-22T02:35:00Z</dcterms:created>
  <dcterms:modified xsi:type="dcterms:W3CDTF">2024-02-22T03:39:00Z</dcterms:modified>
</cp:coreProperties>
</file>