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D599" w14:textId="06FC2018" w:rsidR="004A240F" w:rsidRDefault="0085374F" w:rsidP="008537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KELAPA SAWIT</w:t>
      </w:r>
    </w:p>
    <w:p w14:paraId="2309A918" w14:textId="479C0CCF" w:rsidR="00AA58C4" w:rsidRDefault="00A93AA6" w:rsidP="00AA58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Luas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perkebunan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seluas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258.991,56 Ha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144.871 KK.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tanaman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3AA6">
        <w:rPr>
          <w:rFonts w:ascii="Times New Roman" w:hAnsi="Times New Roman" w:cs="Times New Roman"/>
          <w:sz w:val="24"/>
          <w:szCs w:val="24"/>
          <w:lang w:val="en-US"/>
        </w:rPr>
        <w:t>459.727,37 ton</w:t>
      </w:r>
      <w:proofErr w:type="gram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2.705 kg/ha per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Crude Palm Oil (CPO).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kurun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CPO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2,7%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AA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A93AA6">
        <w:rPr>
          <w:rFonts w:ascii="Times New Roman" w:hAnsi="Times New Roman" w:cs="Times New Roman"/>
          <w:sz w:val="24"/>
          <w:szCs w:val="24"/>
          <w:lang w:val="en-US"/>
        </w:rPr>
        <w:t xml:space="preserve"> PSR.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6BAE" w14:paraId="7F27DDE9" w14:textId="77777777" w:rsidTr="00B16BAE">
        <w:tc>
          <w:tcPr>
            <w:tcW w:w="4508" w:type="dxa"/>
          </w:tcPr>
          <w:p w14:paraId="77B7CB16" w14:textId="315225A2" w:rsidR="00B16BAE" w:rsidRDefault="00B16BAE" w:rsidP="00AA58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TBS</w:t>
            </w:r>
          </w:p>
        </w:tc>
        <w:tc>
          <w:tcPr>
            <w:tcW w:w="4508" w:type="dxa"/>
          </w:tcPr>
          <w:p w14:paraId="60F70280" w14:textId="0BD23EBA" w:rsidR="00B16BAE" w:rsidRDefault="00196AF1" w:rsidP="00AA58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2.139/kg (2021)</w:t>
            </w:r>
          </w:p>
        </w:tc>
      </w:tr>
      <w:tr w:rsidR="00B16BAE" w14:paraId="613609A8" w14:textId="77777777" w:rsidTr="00B16BAE">
        <w:tc>
          <w:tcPr>
            <w:tcW w:w="4508" w:type="dxa"/>
          </w:tcPr>
          <w:p w14:paraId="377925B0" w14:textId="5FA9888E" w:rsidR="00B16BAE" w:rsidRDefault="00B16BAE" w:rsidP="00AA58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CPO</w:t>
            </w:r>
          </w:p>
        </w:tc>
        <w:tc>
          <w:tcPr>
            <w:tcW w:w="4508" w:type="dxa"/>
          </w:tcPr>
          <w:p w14:paraId="3DA79619" w14:textId="1B63F826" w:rsidR="00B16BAE" w:rsidRDefault="00B16BAE" w:rsidP="00AA58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U$774,93</w:t>
            </w:r>
            <w:r w:rsidR="0019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B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16-31 </w:t>
            </w:r>
            <w:proofErr w:type="spellStart"/>
            <w:r w:rsidRPr="00B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 w:rsidRPr="00B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9B0FDF3" w14:textId="7474530D" w:rsidR="000F2EE3" w:rsidRDefault="000F2EE3" w:rsidP="000F2E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Aceh:</w:t>
      </w:r>
    </w:p>
    <w:p w14:paraId="0F4D240E" w14:textId="77777777" w:rsidR="000F2EE3" w:rsidRDefault="00527493" w:rsidP="000F2E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mengangkut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CPO. </w:t>
      </w:r>
    </w:p>
    <w:p w14:paraId="67C6B75C" w14:textId="74E3AD17" w:rsidR="00832AF3" w:rsidRDefault="000F2EE3" w:rsidP="000F2E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EE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etiadaan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pabrik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pengolah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minyak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minyak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goreng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tandan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segar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(TBS)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di Aceh yang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527493" w:rsidRPr="000F2E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2AF3" w:rsidRPr="00832AF3">
        <w:t xml:space="preserve"> </w:t>
      </w:r>
      <w:proofErr w:type="spellStart"/>
      <w:r w:rsidR="00832AF3" w:rsidRPr="000F2EE3">
        <w:rPr>
          <w:lang w:val="en-US"/>
        </w:rPr>
        <w:t>S</w:t>
      </w:r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elama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Aceh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Belawan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Dumai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32AF3" w:rsidRPr="000F2EE3">
        <w:rPr>
          <w:rFonts w:ascii="Times New Roman" w:hAnsi="Times New Roman" w:cs="Times New Roman"/>
          <w:sz w:val="24"/>
          <w:szCs w:val="24"/>
          <w:lang w:val="en-US"/>
        </w:rPr>
        <w:t xml:space="preserve"> Sumatera Utara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74505A" w14:textId="060E5051" w:rsidR="000F2EE3" w:rsidRDefault="000F2EE3" w:rsidP="000F2E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Tumpahan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CPO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diangkut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6EAF8" w14:textId="480B5E42" w:rsidR="003A62F4" w:rsidRPr="00E94608" w:rsidRDefault="00493DFB" w:rsidP="009822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93DFB">
        <w:rPr>
          <w:rFonts w:ascii="Times New Roman" w:hAnsi="Times New Roman" w:cs="Times New Roman"/>
          <w:sz w:val="24"/>
          <w:szCs w:val="24"/>
          <w:lang w:val="en-US"/>
        </w:rPr>
        <w:t>umlah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CPO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di Aceh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mengekspor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CPO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India, Singapura, Hongkong,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Jepang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, Malaysia dan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493DFB">
        <w:rPr>
          <w:rFonts w:ascii="Times New Roman" w:hAnsi="Times New Roman" w:cs="Times New Roman"/>
          <w:sz w:val="24"/>
          <w:szCs w:val="24"/>
          <w:lang w:val="en-US"/>
        </w:rPr>
        <w:t xml:space="preserve"> 6 – 7 </w:t>
      </w:r>
      <w:proofErr w:type="spellStart"/>
      <w:r w:rsidRPr="00493DF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7A927" w14:textId="38163174" w:rsidR="00DF6708" w:rsidRPr="00F30B63" w:rsidRDefault="00F30B63" w:rsidP="00F30B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0B63">
        <w:rPr>
          <w:rFonts w:ascii="Times New Roman" w:hAnsi="Times New Roman" w:cs="Times New Roman"/>
          <w:sz w:val="24"/>
          <w:szCs w:val="24"/>
          <w:lang w:val="en-US"/>
        </w:rPr>
        <w:t>LUAS AREAL DAN PRODUKSI KELAPA SAWIT PERKEBUNAN RAKYAT ACEH TAHUN 2022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36"/>
        <w:gridCol w:w="1527"/>
        <w:gridCol w:w="1016"/>
        <w:gridCol w:w="1026"/>
        <w:gridCol w:w="936"/>
        <w:gridCol w:w="1026"/>
        <w:gridCol w:w="1026"/>
        <w:gridCol w:w="1177"/>
        <w:gridCol w:w="801"/>
        <w:gridCol w:w="857"/>
      </w:tblGrid>
      <w:tr w:rsidR="00DF6708" w:rsidRPr="00DF6708" w14:paraId="78F5FDA4" w14:textId="77777777" w:rsidTr="00E94608">
        <w:trPr>
          <w:trHeight w:val="290"/>
        </w:trPr>
        <w:tc>
          <w:tcPr>
            <w:tcW w:w="436" w:type="dxa"/>
            <w:vMerge w:val="restart"/>
            <w:vAlign w:val="center"/>
            <w:hideMark/>
          </w:tcPr>
          <w:p w14:paraId="6CCDE82A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527" w:type="dxa"/>
            <w:vMerge w:val="restart"/>
            <w:vAlign w:val="center"/>
            <w:hideMark/>
          </w:tcPr>
          <w:p w14:paraId="32508839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Kabupaten/Kota</w:t>
            </w:r>
          </w:p>
        </w:tc>
        <w:tc>
          <w:tcPr>
            <w:tcW w:w="2978" w:type="dxa"/>
            <w:gridSpan w:val="3"/>
            <w:vAlign w:val="center"/>
            <w:hideMark/>
          </w:tcPr>
          <w:p w14:paraId="5686BB03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Luas Areal (Ha)</w:t>
            </w:r>
          </w:p>
        </w:tc>
        <w:tc>
          <w:tcPr>
            <w:tcW w:w="1026" w:type="dxa"/>
            <w:vMerge w:val="restart"/>
            <w:vAlign w:val="center"/>
            <w:hideMark/>
          </w:tcPr>
          <w:p w14:paraId="09C146CC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Jumlah (Ha)</w:t>
            </w:r>
          </w:p>
        </w:tc>
        <w:tc>
          <w:tcPr>
            <w:tcW w:w="1026" w:type="dxa"/>
            <w:vMerge w:val="restart"/>
            <w:vAlign w:val="center"/>
            <w:hideMark/>
          </w:tcPr>
          <w:p w14:paraId="56C5B861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Produksi (Ton)</w:t>
            </w:r>
          </w:p>
        </w:tc>
        <w:tc>
          <w:tcPr>
            <w:tcW w:w="1177" w:type="dxa"/>
            <w:vMerge w:val="restart"/>
            <w:vAlign w:val="center"/>
            <w:hideMark/>
          </w:tcPr>
          <w:p w14:paraId="7A3F4AE2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Rata-rata Produktivitas (Kg/Ha)</w:t>
            </w:r>
          </w:p>
        </w:tc>
        <w:tc>
          <w:tcPr>
            <w:tcW w:w="801" w:type="dxa"/>
            <w:vMerge w:val="restart"/>
            <w:vAlign w:val="center"/>
            <w:hideMark/>
          </w:tcPr>
          <w:p w14:paraId="6928C4A6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Jumlah Petani (KK)</w:t>
            </w:r>
          </w:p>
        </w:tc>
        <w:tc>
          <w:tcPr>
            <w:tcW w:w="654" w:type="dxa"/>
            <w:vMerge w:val="restart"/>
            <w:vAlign w:val="center"/>
            <w:hideMark/>
          </w:tcPr>
          <w:p w14:paraId="5C0CFA95" w14:textId="77777777" w:rsidR="00DF6708" w:rsidRPr="0088022C" w:rsidRDefault="00DF6708" w:rsidP="00DF67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Ket.</w:t>
            </w:r>
          </w:p>
        </w:tc>
      </w:tr>
      <w:tr w:rsidR="00DF6708" w:rsidRPr="00DF6708" w14:paraId="0C7FEDEA" w14:textId="77777777" w:rsidTr="00E94608">
        <w:trPr>
          <w:trHeight w:val="290"/>
        </w:trPr>
        <w:tc>
          <w:tcPr>
            <w:tcW w:w="436" w:type="dxa"/>
            <w:vMerge/>
            <w:vAlign w:val="center"/>
            <w:hideMark/>
          </w:tcPr>
          <w:p w14:paraId="101082C7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vMerge/>
            <w:vAlign w:val="center"/>
            <w:hideMark/>
          </w:tcPr>
          <w:p w14:paraId="6475CC0E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6" w:type="dxa"/>
            <w:vAlign w:val="center"/>
            <w:hideMark/>
          </w:tcPr>
          <w:p w14:paraId="16222508" w14:textId="77777777" w:rsidR="00DF6708" w:rsidRPr="0088022C" w:rsidRDefault="00DF6708" w:rsidP="001D5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TBM</w:t>
            </w:r>
          </w:p>
        </w:tc>
        <w:tc>
          <w:tcPr>
            <w:tcW w:w="1026" w:type="dxa"/>
            <w:vAlign w:val="center"/>
            <w:hideMark/>
          </w:tcPr>
          <w:p w14:paraId="36F3659F" w14:textId="77777777" w:rsidR="00DF6708" w:rsidRPr="0088022C" w:rsidRDefault="00DF6708" w:rsidP="001D5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TM</w:t>
            </w:r>
          </w:p>
        </w:tc>
        <w:tc>
          <w:tcPr>
            <w:tcW w:w="936" w:type="dxa"/>
            <w:vAlign w:val="center"/>
            <w:hideMark/>
          </w:tcPr>
          <w:p w14:paraId="328E43B4" w14:textId="77777777" w:rsidR="00DF6708" w:rsidRPr="0088022C" w:rsidRDefault="00DF6708" w:rsidP="001D5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1026" w:type="dxa"/>
            <w:vMerge/>
            <w:vAlign w:val="center"/>
            <w:hideMark/>
          </w:tcPr>
          <w:p w14:paraId="16C81A0C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159C070B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7" w:type="dxa"/>
            <w:vMerge/>
            <w:vAlign w:val="center"/>
            <w:hideMark/>
          </w:tcPr>
          <w:p w14:paraId="1DC6EBD1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/>
            <w:vAlign w:val="center"/>
            <w:hideMark/>
          </w:tcPr>
          <w:p w14:paraId="73517AF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4" w:type="dxa"/>
            <w:vMerge/>
            <w:vAlign w:val="center"/>
            <w:hideMark/>
          </w:tcPr>
          <w:p w14:paraId="17E6CE2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7E0E4147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22D6D68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27" w:type="dxa"/>
            <w:noWrap/>
            <w:vAlign w:val="center"/>
            <w:hideMark/>
          </w:tcPr>
          <w:p w14:paraId="26F05BBF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Simeulue</w:t>
            </w:r>
          </w:p>
        </w:tc>
        <w:tc>
          <w:tcPr>
            <w:tcW w:w="1016" w:type="dxa"/>
            <w:noWrap/>
            <w:vAlign w:val="center"/>
            <w:hideMark/>
          </w:tcPr>
          <w:p w14:paraId="6DFC8766" w14:textId="3D2E68B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4.927,00</w:t>
            </w:r>
          </w:p>
        </w:tc>
        <w:tc>
          <w:tcPr>
            <w:tcW w:w="1026" w:type="dxa"/>
            <w:noWrap/>
            <w:vAlign w:val="center"/>
            <w:hideMark/>
          </w:tcPr>
          <w:p w14:paraId="0BE34C2B" w14:textId="7331D09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2.211,00</w:t>
            </w:r>
          </w:p>
        </w:tc>
        <w:tc>
          <w:tcPr>
            <w:tcW w:w="936" w:type="dxa"/>
            <w:noWrap/>
            <w:vAlign w:val="center"/>
            <w:hideMark/>
          </w:tcPr>
          <w:p w14:paraId="29EDC7B1" w14:textId="37CCDA6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1.232,00</w:t>
            </w:r>
          </w:p>
        </w:tc>
        <w:tc>
          <w:tcPr>
            <w:tcW w:w="1026" w:type="dxa"/>
            <w:noWrap/>
            <w:vAlign w:val="center"/>
            <w:hideMark/>
          </w:tcPr>
          <w:p w14:paraId="2212A260" w14:textId="6CA8AD9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8.370,00</w:t>
            </w:r>
          </w:p>
        </w:tc>
        <w:tc>
          <w:tcPr>
            <w:tcW w:w="1026" w:type="dxa"/>
            <w:noWrap/>
            <w:vAlign w:val="center"/>
            <w:hideMark/>
          </w:tcPr>
          <w:p w14:paraId="3FEC04E2" w14:textId="170D351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2.030,00</w:t>
            </w:r>
          </w:p>
        </w:tc>
        <w:tc>
          <w:tcPr>
            <w:tcW w:w="1177" w:type="dxa"/>
            <w:noWrap/>
            <w:vAlign w:val="center"/>
            <w:hideMark/>
          </w:tcPr>
          <w:p w14:paraId="5C841AEE" w14:textId="3FA22A8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918,14</w:t>
            </w:r>
          </w:p>
        </w:tc>
        <w:tc>
          <w:tcPr>
            <w:tcW w:w="801" w:type="dxa"/>
            <w:noWrap/>
            <w:vAlign w:val="center"/>
            <w:hideMark/>
          </w:tcPr>
          <w:p w14:paraId="530A0B94" w14:textId="5579DAC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3.291</w:t>
            </w:r>
          </w:p>
        </w:tc>
        <w:tc>
          <w:tcPr>
            <w:tcW w:w="654" w:type="dxa"/>
            <w:noWrap/>
            <w:vAlign w:val="center"/>
            <w:hideMark/>
          </w:tcPr>
          <w:p w14:paraId="436B14EB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Wujud Produksi</w:t>
            </w:r>
          </w:p>
        </w:tc>
      </w:tr>
      <w:tr w:rsidR="00DF6708" w:rsidRPr="00DF6708" w14:paraId="449FF8FA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03EB2CB2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27" w:type="dxa"/>
            <w:noWrap/>
            <w:vAlign w:val="center"/>
            <w:hideMark/>
          </w:tcPr>
          <w:p w14:paraId="701E4B5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Singkil</w:t>
            </w:r>
          </w:p>
        </w:tc>
        <w:tc>
          <w:tcPr>
            <w:tcW w:w="1016" w:type="dxa"/>
            <w:noWrap/>
            <w:vAlign w:val="center"/>
            <w:hideMark/>
          </w:tcPr>
          <w:p w14:paraId="553DBFB8" w14:textId="39D84EB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6.581,00</w:t>
            </w:r>
          </w:p>
        </w:tc>
        <w:tc>
          <w:tcPr>
            <w:tcW w:w="1026" w:type="dxa"/>
            <w:noWrap/>
            <w:vAlign w:val="center"/>
            <w:hideMark/>
          </w:tcPr>
          <w:p w14:paraId="3CF0D1C8" w14:textId="3E6AAB6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23.193,00</w:t>
            </w:r>
          </w:p>
        </w:tc>
        <w:tc>
          <w:tcPr>
            <w:tcW w:w="936" w:type="dxa"/>
            <w:noWrap/>
            <w:vAlign w:val="center"/>
            <w:hideMark/>
          </w:tcPr>
          <w:p w14:paraId="7DACBA9F" w14:textId="0E9740D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3.276,00</w:t>
            </w:r>
          </w:p>
        </w:tc>
        <w:tc>
          <w:tcPr>
            <w:tcW w:w="1026" w:type="dxa"/>
            <w:noWrap/>
            <w:vAlign w:val="center"/>
            <w:hideMark/>
          </w:tcPr>
          <w:p w14:paraId="66806536" w14:textId="7F783CE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33.050,00</w:t>
            </w:r>
          </w:p>
        </w:tc>
        <w:tc>
          <w:tcPr>
            <w:tcW w:w="1026" w:type="dxa"/>
            <w:noWrap/>
            <w:vAlign w:val="center"/>
            <w:hideMark/>
          </w:tcPr>
          <w:p w14:paraId="66B7C7C5" w14:textId="4AC4859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80.153,28</w:t>
            </w:r>
          </w:p>
        </w:tc>
        <w:tc>
          <w:tcPr>
            <w:tcW w:w="1177" w:type="dxa"/>
            <w:noWrap/>
            <w:vAlign w:val="center"/>
            <w:hideMark/>
          </w:tcPr>
          <w:p w14:paraId="3377B3C6" w14:textId="38E7B67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3.455,93</w:t>
            </w:r>
          </w:p>
        </w:tc>
        <w:tc>
          <w:tcPr>
            <w:tcW w:w="801" w:type="dxa"/>
            <w:noWrap/>
            <w:vAlign w:val="center"/>
            <w:hideMark/>
          </w:tcPr>
          <w:p w14:paraId="1238794A" w14:textId="6A024A3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11.168</w:t>
            </w:r>
          </w:p>
        </w:tc>
        <w:tc>
          <w:tcPr>
            <w:tcW w:w="654" w:type="dxa"/>
            <w:noWrap/>
            <w:vAlign w:val="center"/>
            <w:hideMark/>
          </w:tcPr>
          <w:p w14:paraId="1B91D4DE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CPO</w:t>
            </w:r>
          </w:p>
        </w:tc>
      </w:tr>
      <w:tr w:rsidR="00DF6708" w:rsidRPr="00DF6708" w14:paraId="272C044E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481F6EB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14:paraId="78E7C296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Selatan</w:t>
            </w:r>
          </w:p>
        </w:tc>
        <w:tc>
          <w:tcPr>
            <w:tcW w:w="1016" w:type="dxa"/>
            <w:noWrap/>
            <w:vAlign w:val="center"/>
            <w:hideMark/>
          </w:tcPr>
          <w:p w14:paraId="6E20FFB5" w14:textId="5C9E7E7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1.458,00</w:t>
            </w:r>
          </w:p>
        </w:tc>
        <w:tc>
          <w:tcPr>
            <w:tcW w:w="1026" w:type="dxa"/>
            <w:noWrap/>
            <w:vAlign w:val="center"/>
            <w:hideMark/>
          </w:tcPr>
          <w:p w14:paraId="02FEAF7B" w14:textId="37C16BA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10.095,00</w:t>
            </w:r>
          </w:p>
        </w:tc>
        <w:tc>
          <w:tcPr>
            <w:tcW w:w="936" w:type="dxa"/>
            <w:noWrap/>
            <w:vAlign w:val="center"/>
            <w:hideMark/>
          </w:tcPr>
          <w:p w14:paraId="7F9EA45F" w14:textId="6861745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180,00</w:t>
            </w:r>
          </w:p>
        </w:tc>
        <w:tc>
          <w:tcPr>
            <w:tcW w:w="1026" w:type="dxa"/>
            <w:noWrap/>
            <w:vAlign w:val="center"/>
            <w:hideMark/>
          </w:tcPr>
          <w:p w14:paraId="0414D48B" w14:textId="5D0C90C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11.733,00</w:t>
            </w:r>
          </w:p>
        </w:tc>
        <w:tc>
          <w:tcPr>
            <w:tcW w:w="1026" w:type="dxa"/>
            <w:noWrap/>
            <w:vAlign w:val="center"/>
            <w:hideMark/>
          </w:tcPr>
          <w:p w14:paraId="2E2A7EA3" w14:textId="05FF1A8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26.438,80</w:t>
            </w:r>
          </w:p>
        </w:tc>
        <w:tc>
          <w:tcPr>
            <w:tcW w:w="1177" w:type="dxa"/>
            <w:noWrap/>
            <w:vAlign w:val="center"/>
            <w:hideMark/>
          </w:tcPr>
          <w:p w14:paraId="2F48F826" w14:textId="4E86365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2.619,00</w:t>
            </w:r>
          </w:p>
        </w:tc>
        <w:tc>
          <w:tcPr>
            <w:tcW w:w="801" w:type="dxa"/>
            <w:noWrap/>
            <w:vAlign w:val="center"/>
            <w:hideMark/>
          </w:tcPr>
          <w:p w14:paraId="1D64A7D8" w14:textId="5A7FE77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9.064</w:t>
            </w:r>
          </w:p>
        </w:tc>
        <w:tc>
          <w:tcPr>
            <w:tcW w:w="654" w:type="dxa"/>
            <w:noWrap/>
            <w:vAlign w:val="center"/>
            <w:hideMark/>
          </w:tcPr>
          <w:p w14:paraId="3987BB5F" w14:textId="77E0831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28727513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5EADE12D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27" w:type="dxa"/>
            <w:noWrap/>
            <w:vAlign w:val="center"/>
            <w:hideMark/>
          </w:tcPr>
          <w:p w14:paraId="4FA46811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Tenggara</w:t>
            </w:r>
          </w:p>
        </w:tc>
        <w:tc>
          <w:tcPr>
            <w:tcW w:w="1016" w:type="dxa"/>
            <w:noWrap/>
            <w:vAlign w:val="center"/>
            <w:hideMark/>
          </w:tcPr>
          <w:p w14:paraId="71394384" w14:textId="01FC36F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1.075,00</w:t>
            </w:r>
          </w:p>
        </w:tc>
        <w:tc>
          <w:tcPr>
            <w:tcW w:w="1026" w:type="dxa"/>
            <w:noWrap/>
            <w:vAlign w:val="center"/>
            <w:hideMark/>
          </w:tcPr>
          <w:p w14:paraId="3CE01C02" w14:textId="76199AD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2.650,00</w:t>
            </w:r>
          </w:p>
        </w:tc>
        <w:tc>
          <w:tcPr>
            <w:tcW w:w="936" w:type="dxa"/>
            <w:noWrap/>
            <w:vAlign w:val="center"/>
            <w:hideMark/>
          </w:tcPr>
          <w:p w14:paraId="7C9F58B5" w14:textId="3606DCD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288,00</w:t>
            </w:r>
          </w:p>
        </w:tc>
        <w:tc>
          <w:tcPr>
            <w:tcW w:w="1026" w:type="dxa"/>
            <w:noWrap/>
            <w:vAlign w:val="center"/>
            <w:hideMark/>
          </w:tcPr>
          <w:p w14:paraId="081B0BBF" w14:textId="6F65FA2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4.013,00</w:t>
            </w:r>
          </w:p>
        </w:tc>
        <w:tc>
          <w:tcPr>
            <w:tcW w:w="1026" w:type="dxa"/>
            <w:noWrap/>
            <w:vAlign w:val="center"/>
            <w:hideMark/>
          </w:tcPr>
          <w:p w14:paraId="109E58C2" w14:textId="76C5C48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7.155,00</w:t>
            </w:r>
          </w:p>
        </w:tc>
        <w:tc>
          <w:tcPr>
            <w:tcW w:w="1177" w:type="dxa"/>
            <w:noWrap/>
            <w:vAlign w:val="center"/>
            <w:hideMark/>
          </w:tcPr>
          <w:p w14:paraId="25BFD110" w14:textId="53CE6F0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2.700,00</w:t>
            </w:r>
          </w:p>
        </w:tc>
        <w:tc>
          <w:tcPr>
            <w:tcW w:w="801" w:type="dxa"/>
            <w:noWrap/>
            <w:vAlign w:val="center"/>
            <w:hideMark/>
          </w:tcPr>
          <w:p w14:paraId="4AC40A56" w14:textId="0CBA810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1.492</w:t>
            </w:r>
          </w:p>
        </w:tc>
        <w:tc>
          <w:tcPr>
            <w:tcW w:w="654" w:type="dxa"/>
            <w:noWrap/>
            <w:vAlign w:val="center"/>
            <w:hideMark/>
          </w:tcPr>
          <w:p w14:paraId="5DCD4F92" w14:textId="69F58AC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FA35C25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4A0215FF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27" w:type="dxa"/>
            <w:noWrap/>
            <w:vAlign w:val="center"/>
            <w:hideMark/>
          </w:tcPr>
          <w:p w14:paraId="4D12A50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Timur</w:t>
            </w:r>
          </w:p>
        </w:tc>
        <w:tc>
          <w:tcPr>
            <w:tcW w:w="1016" w:type="dxa"/>
            <w:noWrap/>
            <w:vAlign w:val="center"/>
            <w:hideMark/>
          </w:tcPr>
          <w:p w14:paraId="5F523C75" w14:textId="2D49FDE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12.552,50</w:t>
            </w:r>
          </w:p>
        </w:tc>
        <w:tc>
          <w:tcPr>
            <w:tcW w:w="1026" w:type="dxa"/>
            <w:noWrap/>
            <w:vAlign w:val="center"/>
            <w:hideMark/>
          </w:tcPr>
          <w:p w14:paraId="70E64DCF" w14:textId="4EE2E89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12.875,50</w:t>
            </w:r>
          </w:p>
        </w:tc>
        <w:tc>
          <w:tcPr>
            <w:tcW w:w="936" w:type="dxa"/>
            <w:noWrap/>
            <w:vAlign w:val="center"/>
            <w:hideMark/>
          </w:tcPr>
          <w:p w14:paraId="4E440153" w14:textId="5C1517D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3.082,26</w:t>
            </w:r>
          </w:p>
        </w:tc>
        <w:tc>
          <w:tcPr>
            <w:tcW w:w="1026" w:type="dxa"/>
            <w:noWrap/>
            <w:vAlign w:val="center"/>
            <w:hideMark/>
          </w:tcPr>
          <w:p w14:paraId="21F3A233" w14:textId="1E8CB8D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28.510,26</w:t>
            </w:r>
          </w:p>
        </w:tc>
        <w:tc>
          <w:tcPr>
            <w:tcW w:w="1026" w:type="dxa"/>
            <w:noWrap/>
            <w:vAlign w:val="center"/>
            <w:hideMark/>
          </w:tcPr>
          <w:p w14:paraId="1AA2383A" w14:textId="370241C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32.467,50</w:t>
            </w:r>
          </w:p>
        </w:tc>
        <w:tc>
          <w:tcPr>
            <w:tcW w:w="1177" w:type="dxa"/>
            <w:noWrap/>
            <w:vAlign w:val="center"/>
            <w:hideMark/>
          </w:tcPr>
          <w:p w14:paraId="5C53B74D" w14:textId="2D433C5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2.521,65</w:t>
            </w:r>
          </w:p>
        </w:tc>
        <w:tc>
          <w:tcPr>
            <w:tcW w:w="801" w:type="dxa"/>
            <w:noWrap/>
            <w:vAlign w:val="center"/>
            <w:hideMark/>
          </w:tcPr>
          <w:p w14:paraId="12ABE196" w14:textId="2A61C87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17.380</w:t>
            </w:r>
          </w:p>
        </w:tc>
        <w:tc>
          <w:tcPr>
            <w:tcW w:w="654" w:type="dxa"/>
            <w:noWrap/>
            <w:vAlign w:val="center"/>
            <w:hideMark/>
          </w:tcPr>
          <w:p w14:paraId="66F9FE72" w14:textId="04554DE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7D1BFEAE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5912AD2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27" w:type="dxa"/>
            <w:noWrap/>
            <w:vAlign w:val="center"/>
            <w:hideMark/>
          </w:tcPr>
          <w:p w14:paraId="3C8A072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Tengah</w:t>
            </w:r>
          </w:p>
        </w:tc>
        <w:tc>
          <w:tcPr>
            <w:tcW w:w="1016" w:type="dxa"/>
            <w:noWrap/>
            <w:vAlign w:val="center"/>
            <w:hideMark/>
          </w:tcPr>
          <w:p w14:paraId="1641A71C" w14:textId="3EC9B7D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6FB49045" w14:textId="7D0AD3D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6" w:type="dxa"/>
            <w:noWrap/>
            <w:vAlign w:val="center"/>
            <w:hideMark/>
          </w:tcPr>
          <w:p w14:paraId="7D0FA29F" w14:textId="6828A5C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5BDE9BD4" w14:textId="3F2390C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060D0DC7" w14:textId="2947395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77" w:type="dxa"/>
            <w:noWrap/>
            <w:vAlign w:val="center"/>
            <w:hideMark/>
          </w:tcPr>
          <w:p w14:paraId="3DD64523" w14:textId="33F7E47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1" w:type="dxa"/>
            <w:noWrap/>
            <w:vAlign w:val="center"/>
            <w:hideMark/>
          </w:tcPr>
          <w:p w14:paraId="6027323E" w14:textId="776607A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54" w:type="dxa"/>
            <w:noWrap/>
            <w:vAlign w:val="center"/>
            <w:hideMark/>
          </w:tcPr>
          <w:p w14:paraId="5ABF6F41" w14:textId="2040F56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69A55C8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60652E5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27" w:type="dxa"/>
            <w:noWrap/>
            <w:vAlign w:val="center"/>
            <w:hideMark/>
          </w:tcPr>
          <w:p w14:paraId="2BA6F46F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Barat</w:t>
            </w:r>
          </w:p>
        </w:tc>
        <w:tc>
          <w:tcPr>
            <w:tcW w:w="1016" w:type="dxa"/>
            <w:noWrap/>
            <w:vAlign w:val="center"/>
            <w:hideMark/>
          </w:tcPr>
          <w:p w14:paraId="3EFC069D" w14:textId="11E1E6A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5.485,76</w:t>
            </w:r>
          </w:p>
        </w:tc>
        <w:tc>
          <w:tcPr>
            <w:tcW w:w="1026" w:type="dxa"/>
            <w:noWrap/>
            <w:vAlign w:val="center"/>
            <w:hideMark/>
          </w:tcPr>
          <w:p w14:paraId="65968907" w14:textId="68CB68B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4.856,50</w:t>
            </w:r>
          </w:p>
        </w:tc>
        <w:tc>
          <w:tcPr>
            <w:tcW w:w="936" w:type="dxa"/>
            <w:noWrap/>
            <w:vAlign w:val="center"/>
            <w:hideMark/>
          </w:tcPr>
          <w:p w14:paraId="5B13C322" w14:textId="1025277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523,12</w:t>
            </w:r>
          </w:p>
        </w:tc>
        <w:tc>
          <w:tcPr>
            <w:tcW w:w="1026" w:type="dxa"/>
            <w:noWrap/>
            <w:vAlign w:val="center"/>
            <w:hideMark/>
          </w:tcPr>
          <w:p w14:paraId="2031D748" w14:textId="2705EFE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10.865,38</w:t>
            </w:r>
          </w:p>
        </w:tc>
        <w:tc>
          <w:tcPr>
            <w:tcW w:w="1026" w:type="dxa"/>
            <w:noWrap/>
            <w:vAlign w:val="center"/>
            <w:hideMark/>
          </w:tcPr>
          <w:p w14:paraId="331C9629" w14:textId="7B5C6A8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17.075,45</w:t>
            </w:r>
          </w:p>
        </w:tc>
        <w:tc>
          <w:tcPr>
            <w:tcW w:w="1177" w:type="dxa"/>
            <w:noWrap/>
            <w:vAlign w:val="center"/>
            <w:hideMark/>
          </w:tcPr>
          <w:p w14:paraId="6AB974CA" w14:textId="00DB628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3.516,00</w:t>
            </w:r>
          </w:p>
        </w:tc>
        <w:tc>
          <w:tcPr>
            <w:tcW w:w="801" w:type="dxa"/>
            <w:noWrap/>
            <w:vAlign w:val="center"/>
            <w:hideMark/>
          </w:tcPr>
          <w:p w14:paraId="67C257AD" w14:textId="78E5910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8.663</w:t>
            </w:r>
          </w:p>
        </w:tc>
        <w:tc>
          <w:tcPr>
            <w:tcW w:w="654" w:type="dxa"/>
            <w:noWrap/>
            <w:vAlign w:val="center"/>
            <w:hideMark/>
          </w:tcPr>
          <w:p w14:paraId="25AA7013" w14:textId="19F8F03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73788C00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9D99B12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27" w:type="dxa"/>
            <w:noWrap/>
            <w:vAlign w:val="center"/>
            <w:hideMark/>
          </w:tcPr>
          <w:p w14:paraId="6C1ECAF7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Besar</w:t>
            </w:r>
          </w:p>
        </w:tc>
        <w:tc>
          <w:tcPr>
            <w:tcW w:w="1016" w:type="dxa"/>
            <w:noWrap/>
            <w:vAlign w:val="center"/>
            <w:hideMark/>
          </w:tcPr>
          <w:p w14:paraId="745D663B" w14:textId="29A898D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302,00</w:t>
            </w:r>
          </w:p>
        </w:tc>
        <w:tc>
          <w:tcPr>
            <w:tcW w:w="1026" w:type="dxa"/>
            <w:noWrap/>
            <w:vAlign w:val="center"/>
            <w:hideMark/>
          </w:tcPr>
          <w:p w14:paraId="3E27D30E" w14:textId="2B860E3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922,00</w:t>
            </w:r>
          </w:p>
        </w:tc>
        <w:tc>
          <w:tcPr>
            <w:tcW w:w="936" w:type="dxa"/>
            <w:noWrap/>
            <w:vAlign w:val="center"/>
            <w:hideMark/>
          </w:tcPr>
          <w:p w14:paraId="18D8900A" w14:textId="48B77F5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297,00</w:t>
            </w:r>
          </w:p>
        </w:tc>
        <w:tc>
          <w:tcPr>
            <w:tcW w:w="1026" w:type="dxa"/>
            <w:noWrap/>
            <w:vAlign w:val="center"/>
            <w:hideMark/>
          </w:tcPr>
          <w:p w14:paraId="471A7BD7" w14:textId="7821BE4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1.521,00</w:t>
            </w:r>
          </w:p>
        </w:tc>
        <w:tc>
          <w:tcPr>
            <w:tcW w:w="1026" w:type="dxa"/>
            <w:noWrap/>
            <w:vAlign w:val="center"/>
            <w:hideMark/>
          </w:tcPr>
          <w:p w14:paraId="5E0DC763" w14:textId="1C17513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555,79</w:t>
            </w:r>
          </w:p>
        </w:tc>
        <w:tc>
          <w:tcPr>
            <w:tcW w:w="1177" w:type="dxa"/>
            <w:noWrap/>
            <w:vAlign w:val="center"/>
            <w:hideMark/>
          </w:tcPr>
          <w:p w14:paraId="51A70A77" w14:textId="39CDBA0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602,81</w:t>
            </w:r>
          </w:p>
        </w:tc>
        <w:tc>
          <w:tcPr>
            <w:tcW w:w="801" w:type="dxa"/>
            <w:noWrap/>
            <w:vAlign w:val="center"/>
            <w:hideMark/>
          </w:tcPr>
          <w:p w14:paraId="1049477B" w14:textId="361ABEF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756</w:t>
            </w:r>
          </w:p>
        </w:tc>
        <w:tc>
          <w:tcPr>
            <w:tcW w:w="654" w:type="dxa"/>
            <w:noWrap/>
            <w:vAlign w:val="center"/>
            <w:hideMark/>
          </w:tcPr>
          <w:p w14:paraId="664801C3" w14:textId="3B1CCDC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6C32626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729FC6FF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27" w:type="dxa"/>
            <w:noWrap/>
            <w:vAlign w:val="center"/>
            <w:hideMark/>
          </w:tcPr>
          <w:p w14:paraId="76A20D2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Pidie</w:t>
            </w:r>
          </w:p>
        </w:tc>
        <w:tc>
          <w:tcPr>
            <w:tcW w:w="1016" w:type="dxa"/>
            <w:noWrap/>
            <w:vAlign w:val="center"/>
            <w:hideMark/>
          </w:tcPr>
          <w:p w14:paraId="41DFC6B8" w14:textId="5D69A65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25,00</w:t>
            </w:r>
          </w:p>
        </w:tc>
        <w:tc>
          <w:tcPr>
            <w:tcW w:w="1026" w:type="dxa"/>
            <w:noWrap/>
            <w:vAlign w:val="center"/>
            <w:hideMark/>
          </w:tcPr>
          <w:p w14:paraId="40D75F2E" w14:textId="64E5068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176,00</w:t>
            </w:r>
          </w:p>
        </w:tc>
        <w:tc>
          <w:tcPr>
            <w:tcW w:w="936" w:type="dxa"/>
            <w:noWrap/>
            <w:vAlign w:val="center"/>
            <w:hideMark/>
          </w:tcPr>
          <w:p w14:paraId="216B357D" w14:textId="14CF748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47,00</w:t>
            </w:r>
          </w:p>
        </w:tc>
        <w:tc>
          <w:tcPr>
            <w:tcW w:w="1026" w:type="dxa"/>
            <w:noWrap/>
            <w:vAlign w:val="center"/>
            <w:hideMark/>
          </w:tcPr>
          <w:p w14:paraId="28EFC4B8" w14:textId="1561DC1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248,00</w:t>
            </w:r>
          </w:p>
        </w:tc>
        <w:tc>
          <w:tcPr>
            <w:tcW w:w="1026" w:type="dxa"/>
            <w:noWrap/>
            <w:vAlign w:val="center"/>
            <w:hideMark/>
          </w:tcPr>
          <w:p w14:paraId="115A8530" w14:textId="74D20AE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144,00</w:t>
            </w:r>
          </w:p>
        </w:tc>
        <w:tc>
          <w:tcPr>
            <w:tcW w:w="1177" w:type="dxa"/>
            <w:noWrap/>
            <w:vAlign w:val="center"/>
            <w:hideMark/>
          </w:tcPr>
          <w:p w14:paraId="58B43AB5" w14:textId="732E409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818,18</w:t>
            </w:r>
          </w:p>
        </w:tc>
        <w:tc>
          <w:tcPr>
            <w:tcW w:w="801" w:type="dxa"/>
            <w:noWrap/>
            <w:vAlign w:val="center"/>
            <w:hideMark/>
          </w:tcPr>
          <w:p w14:paraId="153D1B68" w14:textId="15852D7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654" w:type="dxa"/>
            <w:noWrap/>
            <w:vAlign w:val="center"/>
            <w:hideMark/>
          </w:tcPr>
          <w:p w14:paraId="64511C9A" w14:textId="312E661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50C055A2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579B505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27" w:type="dxa"/>
            <w:noWrap/>
            <w:vAlign w:val="center"/>
            <w:hideMark/>
          </w:tcPr>
          <w:p w14:paraId="7C6670A5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Bireuen</w:t>
            </w:r>
          </w:p>
        </w:tc>
        <w:tc>
          <w:tcPr>
            <w:tcW w:w="1016" w:type="dxa"/>
            <w:noWrap/>
            <w:vAlign w:val="center"/>
            <w:hideMark/>
          </w:tcPr>
          <w:p w14:paraId="00FC75FD" w14:textId="698D49C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787,00</w:t>
            </w:r>
          </w:p>
        </w:tc>
        <w:tc>
          <w:tcPr>
            <w:tcW w:w="1026" w:type="dxa"/>
            <w:noWrap/>
            <w:vAlign w:val="center"/>
            <w:hideMark/>
          </w:tcPr>
          <w:p w14:paraId="70470AC1" w14:textId="05E7F37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4.483,00</w:t>
            </w:r>
          </w:p>
        </w:tc>
        <w:tc>
          <w:tcPr>
            <w:tcW w:w="936" w:type="dxa"/>
            <w:noWrap/>
            <w:vAlign w:val="center"/>
            <w:hideMark/>
          </w:tcPr>
          <w:p w14:paraId="70746F85" w14:textId="4BFA339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476,00</w:t>
            </w:r>
          </w:p>
        </w:tc>
        <w:tc>
          <w:tcPr>
            <w:tcW w:w="1026" w:type="dxa"/>
            <w:noWrap/>
            <w:vAlign w:val="center"/>
            <w:hideMark/>
          </w:tcPr>
          <w:p w14:paraId="3DE72BCA" w14:textId="2512346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5.746,00</w:t>
            </w:r>
          </w:p>
        </w:tc>
        <w:tc>
          <w:tcPr>
            <w:tcW w:w="1026" w:type="dxa"/>
            <w:noWrap/>
            <w:vAlign w:val="center"/>
            <w:hideMark/>
          </w:tcPr>
          <w:p w14:paraId="6887C291" w14:textId="20638CB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9.469,00</w:t>
            </w:r>
          </w:p>
        </w:tc>
        <w:tc>
          <w:tcPr>
            <w:tcW w:w="1177" w:type="dxa"/>
            <w:noWrap/>
            <w:vAlign w:val="center"/>
            <w:hideMark/>
          </w:tcPr>
          <w:p w14:paraId="3B401AE1" w14:textId="78AB8AF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2.112,20</w:t>
            </w:r>
          </w:p>
        </w:tc>
        <w:tc>
          <w:tcPr>
            <w:tcW w:w="801" w:type="dxa"/>
            <w:noWrap/>
            <w:vAlign w:val="center"/>
            <w:hideMark/>
          </w:tcPr>
          <w:p w14:paraId="2553FA4A" w14:textId="1E37340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3.920</w:t>
            </w:r>
          </w:p>
        </w:tc>
        <w:tc>
          <w:tcPr>
            <w:tcW w:w="654" w:type="dxa"/>
            <w:noWrap/>
            <w:vAlign w:val="center"/>
            <w:hideMark/>
          </w:tcPr>
          <w:p w14:paraId="21B5A67A" w14:textId="46D2C07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6D1777C2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7DA21458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27" w:type="dxa"/>
            <w:noWrap/>
            <w:vAlign w:val="center"/>
            <w:hideMark/>
          </w:tcPr>
          <w:p w14:paraId="4DF374C5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Utara</w:t>
            </w:r>
          </w:p>
        </w:tc>
        <w:tc>
          <w:tcPr>
            <w:tcW w:w="1016" w:type="dxa"/>
            <w:noWrap/>
            <w:vAlign w:val="center"/>
            <w:hideMark/>
          </w:tcPr>
          <w:p w14:paraId="0FD38CB3" w14:textId="717CCFD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2.100,00</w:t>
            </w:r>
          </w:p>
        </w:tc>
        <w:tc>
          <w:tcPr>
            <w:tcW w:w="1026" w:type="dxa"/>
            <w:noWrap/>
            <w:vAlign w:val="center"/>
            <w:hideMark/>
          </w:tcPr>
          <w:p w14:paraId="41C96E6B" w14:textId="73203E3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14.033,00</w:t>
            </w:r>
          </w:p>
        </w:tc>
        <w:tc>
          <w:tcPr>
            <w:tcW w:w="936" w:type="dxa"/>
            <w:noWrap/>
            <w:vAlign w:val="center"/>
            <w:hideMark/>
          </w:tcPr>
          <w:p w14:paraId="679DCBF8" w14:textId="0775F1B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2.052,00</w:t>
            </w:r>
          </w:p>
        </w:tc>
        <w:tc>
          <w:tcPr>
            <w:tcW w:w="1026" w:type="dxa"/>
            <w:noWrap/>
            <w:vAlign w:val="center"/>
            <w:hideMark/>
          </w:tcPr>
          <w:p w14:paraId="2BA6E5C7" w14:textId="0961A6B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18.185,00</w:t>
            </w:r>
          </w:p>
        </w:tc>
        <w:tc>
          <w:tcPr>
            <w:tcW w:w="1026" w:type="dxa"/>
            <w:noWrap/>
            <w:vAlign w:val="center"/>
            <w:hideMark/>
          </w:tcPr>
          <w:p w14:paraId="3CC9C05C" w14:textId="4049D72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54.967,00</w:t>
            </w:r>
          </w:p>
        </w:tc>
        <w:tc>
          <w:tcPr>
            <w:tcW w:w="1177" w:type="dxa"/>
            <w:noWrap/>
            <w:vAlign w:val="center"/>
            <w:hideMark/>
          </w:tcPr>
          <w:p w14:paraId="22E564B0" w14:textId="7971F31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3.916,96</w:t>
            </w:r>
          </w:p>
        </w:tc>
        <w:tc>
          <w:tcPr>
            <w:tcW w:w="801" w:type="dxa"/>
            <w:noWrap/>
            <w:vAlign w:val="center"/>
            <w:hideMark/>
          </w:tcPr>
          <w:p w14:paraId="5554708E" w14:textId="2FC5A58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10.794</w:t>
            </w:r>
          </w:p>
        </w:tc>
        <w:tc>
          <w:tcPr>
            <w:tcW w:w="654" w:type="dxa"/>
            <w:noWrap/>
            <w:vAlign w:val="center"/>
            <w:hideMark/>
          </w:tcPr>
          <w:p w14:paraId="236ECF67" w14:textId="4C6CD61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562172A6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85A496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27" w:type="dxa"/>
            <w:noWrap/>
            <w:vAlign w:val="center"/>
            <w:hideMark/>
          </w:tcPr>
          <w:p w14:paraId="7ABF0567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Barat Daya</w:t>
            </w:r>
          </w:p>
        </w:tc>
        <w:tc>
          <w:tcPr>
            <w:tcW w:w="1016" w:type="dxa"/>
            <w:noWrap/>
            <w:vAlign w:val="center"/>
            <w:hideMark/>
          </w:tcPr>
          <w:p w14:paraId="0D3F2C78" w14:textId="7AFA837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2.565,94</w:t>
            </w:r>
          </w:p>
        </w:tc>
        <w:tc>
          <w:tcPr>
            <w:tcW w:w="1026" w:type="dxa"/>
            <w:noWrap/>
            <w:vAlign w:val="center"/>
            <w:hideMark/>
          </w:tcPr>
          <w:p w14:paraId="4B99A85F" w14:textId="4C24F8B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17.506,10</w:t>
            </w:r>
          </w:p>
        </w:tc>
        <w:tc>
          <w:tcPr>
            <w:tcW w:w="936" w:type="dxa"/>
            <w:noWrap/>
            <w:vAlign w:val="center"/>
            <w:hideMark/>
          </w:tcPr>
          <w:p w14:paraId="60DD27DD" w14:textId="161C725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548,00</w:t>
            </w:r>
          </w:p>
        </w:tc>
        <w:tc>
          <w:tcPr>
            <w:tcW w:w="1026" w:type="dxa"/>
            <w:noWrap/>
            <w:vAlign w:val="center"/>
            <w:hideMark/>
          </w:tcPr>
          <w:p w14:paraId="1F4F43F2" w14:textId="0EE2DF4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20.620,04</w:t>
            </w:r>
          </w:p>
        </w:tc>
        <w:tc>
          <w:tcPr>
            <w:tcW w:w="1026" w:type="dxa"/>
            <w:noWrap/>
            <w:vAlign w:val="center"/>
            <w:hideMark/>
          </w:tcPr>
          <w:p w14:paraId="3EEE5BA7" w14:textId="189971A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24.588,36</w:t>
            </w:r>
          </w:p>
        </w:tc>
        <w:tc>
          <w:tcPr>
            <w:tcW w:w="1177" w:type="dxa"/>
            <w:noWrap/>
            <w:vAlign w:val="center"/>
            <w:hideMark/>
          </w:tcPr>
          <w:p w14:paraId="593EED1C" w14:textId="0AEA9D1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1.404,56</w:t>
            </w:r>
          </w:p>
        </w:tc>
        <w:tc>
          <w:tcPr>
            <w:tcW w:w="801" w:type="dxa"/>
            <w:noWrap/>
            <w:vAlign w:val="center"/>
            <w:hideMark/>
          </w:tcPr>
          <w:p w14:paraId="5E1B2409" w14:textId="2B95E5A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11.890</w:t>
            </w:r>
          </w:p>
        </w:tc>
        <w:tc>
          <w:tcPr>
            <w:tcW w:w="654" w:type="dxa"/>
            <w:noWrap/>
            <w:vAlign w:val="center"/>
            <w:hideMark/>
          </w:tcPr>
          <w:p w14:paraId="52425771" w14:textId="3098983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59717A06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5C383A05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527" w:type="dxa"/>
            <w:noWrap/>
            <w:vAlign w:val="center"/>
            <w:hideMark/>
          </w:tcPr>
          <w:p w14:paraId="7416CB5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Gayo Lues</w:t>
            </w:r>
          </w:p>
        </w:tc>
        <w:tc>
          <w:tcPr>
            <w:tcW w:w="1016" w:type="dxa"/>
            <w:noWrap/>
            <w:vAlign w:val="center"/>
            <w:hideMark/>
          </w:tcPr>
          <w:p w14:paraId="29840700" w14:textId="5EB0FD5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490D539B" w14:textId="2A6E894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6" w:type="dxa"/>
            <w:noWrap/>
            <w:vAlign w:val="center"/>
            <w:hideMark/>
          </w:tcPr>
          <w:p w14:paraId="1F4D3B86" w14:textId="1D2DF3A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70F151D4" w14:textId="3D1E4F8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74DD1D29" w14:textId="4CC0506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77" w:type="dxa"/>
            <w:noWrap/>
            <w:vAlign w:val="center"/>
            <w:hideMark/>
          </w:tcPr>
          <w:p w14:paraId="61B4A481" w14:textId="15368B2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1" w:type="dxa"/>
            <w:noWrap/>
            <w:vAlign w:val="center"/>
            <w:hideMark/>
          </w:tcPr>
          <w:p w14:paraId="6A17D761" w14:textId="6C5C491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54" w:type="dxa"/>
            <w:noWrap/>
            <w:vAlign w:val="center"/>
            <w:hideMark/>
          </w:tcPr>
          <w:p w14:paraId="2FAEA15F" w14:textId="2B6C5E1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201C36CD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7163211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527" w:type="dxa"/>
            <w:noWrap/>
            <w:vAlign w:val="center"/>
            <w:hideMark/>
          </w:tcPr>
          <w:p w14:paraId="02F8E17F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Tamiang</w:t>
            </w:r>
          </w:p>
        </w:tc>
        <w:tc>
          <w:tcPr>
            <w:tcW w:w="1016" w:type="dxa"/>
            <w:noWrap/>
            <w:vAlign w:val="center"/>
            <w:hideMark/>
          </w:tcPr>
          <w:p w14:paraId="20EF87E6" w14:textId="2C8C3EF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4.024,00</w:t>
            </w:r>
          </w:p>
        </w:tc>
        <w:tc>
          <w:tcPr>
            <w:tcW w:w="1026" w:type="dxa"/>
            <w:noWrap/>
            <w:vAlign w:val="center"/>
            <w:hideMark/>
          </w:tcPr>
          <w:p w14:paraId="203D5654" w14:textId="09DC0FB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18.770,00</w:t>
            </w:r>
          </w:p>
        </w:tc>
        <w:tc>
          <w:tcPr>
            <w:tcW w:w="936" w:type="dxa"/>
            <w:noWrap/>
            <w:vAlign w:val="center"/>
            <w:hideMark/>
          </w:tcPr>
          <w:p w14:paraId="6C25A1D7" w14:textId="2CE40C3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588,00</w:t>
            </w:r>
          </w:p>
        </w:tc>
        <w:tc>
          <w:tcPr>
            <w:tcW w:w="1026" w:type="dxa"/>
            <w:noWrap/>
            <w:vAlign w:val="center"/>
            <w:hideMark/>
          </w:tcPr>
          <w:p w14:paraId="7ABEA053" w14:textId="04D7EE2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23.382,00</w:t>
            </w:r>
          </w:p>
        </w:tc>
        <w:tc>
          <w:tcPr>
            <w:tcW w:w="1026" w:type="dxa"/>
            <w:noWrap/>
            <w:vAlign w:val="center"/>
            <w:hideMark/>
          </w:tcPr>
          <w:p w14:paraId="7E198DA7" w14:textId="706CAB3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49.665,40</w:t>
            </w:r>
          </w:p>
        </w:tc>
        <w:tc>
          <w:tcPr>
            <w:tcW w:w="1177" w:type="dxa"/>
            <w:noWrap/>
            <w:vAlign w:val="center"/>
            <w:hideMark/>
          </w:tcPr>
          <w:p w14:paraId="355C4976" w14:textId="4198BF1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2.646,00</w:t>
            </w:r>
          </w:p>
        </w:tc>
        <w:tc>
          <w:tcPr>
            <w:tcW w:w="801" w:type="dxa"/>
            <w:noWrap/>
            <w:vAlign w:val="center"/>
            <w:hideMark/>
          </w:tcPr>
          <w:p w14:paraId="307B0F35" w14:textId="3683192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10.728</w:t>
            </w:r>
          </w:p>
        </w:tc>
        <w:tc>
          <w:tcPr>
            <w:tcW w:w="654" w:type="dxa"/>
            <w:noWrap/>
            <w:vAlign w:val="center"/>
            <w:hideMark/>
          </w:tcPr>
          <w:p w14:paraId="7C0327D6" w14:textId="5E68758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22F1A593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756F2C43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527" w:type="dxa"/>
            <w:noWrap/>
            <w:vAlign w:val="center"/>
            <w:hideMark/>
          </w:tcPr>
          <w:p w14:paraId="450205B8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Nagan raya</w:t>
            </w:r>
          </w:p>
        </w:tc>
        <w:tc>
          <w:tcPr>
            <w:tcW w:w="1016" w:type="dxa"/>
            <w:noWrap/>
            <w:vAlign w:val="center"/>
            <w:hideMark/>
          </w:tcPr>
          <w:p w14:paraId="79A23596" w14:textId="1887A84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8.472,55</w:t>
            </w:r>
          </w:p>
        </w:tc>
        <w:tc>
          <w:tcPr>
            <w:tcW w:w="1026" w:type="dxa"/>
            <w:noWrap/>
            <w:vAlign w:val="center"/>
            <w:hideMark/>
          </w:tcPr>
          <w:p w14:paraId="5EEEC236" w14:textId="483E1B3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37.746,75</w:t>
            </w:r>
          </w:p>
        </w:tc>
        <w:tc>
          <w:tcPr>
            <w:tcW w:w="936" w:type="dxa"/>
            <w:noWrap/>
            <w:vAlign w:val="center"/>
            <w:hideMark/>
          </w:tcPr>
          <w:p w14:paraId="089D823D" w14:textId="64AE2F8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6.931,88</w:t>
            </w:r>
          </w:p>
        </w:tc>
        <w:tc>
          <w:tcPr>
            <w:tcW w:w="1026" w:type="dxa"/>
            <w:noWrap/>
            <w:vAlign w:val="center"/>
            <w:hideMark/>
          </w:tcPr>
          <w:p w14:paraId="1D9A11DD" w14:textId="3117DE7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53.151,18</w:t>
            </w:r>
          </w:p>
        </w:tc>
        <w:tc>
          <w:tcPr>
            <w:tcW w:w="1026" w:type="dxa"/>
            <w:noWrap/>
            <w:vAlign w:val="center"/>
            <w:hideMark/>
          </w:tcPr>
          <w:p w14:paraId="3AAC0B80" w14:textId="2EACE2F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100.217,64</w:t>
            </w:r>
          </w:p>
        </w:tc>
        <w:tc>
          <w:tcPr>
            <w:tcW w:w="1177" w:type="dxa"/>
            <w:noWrap/>
            <w:vAlign w:val="center"/>
            <w:hideMark/>
          </w:tcPr>
          <w:p w14:paraId="7541FA86" w14:textId="6139DE2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2.655,00</w:t>
            </w:r>
          </w:p>
        </w:tc>
        <w:tc>
          <w:tcPr>
            <w:tcW w:w="801" w:type="dxa"/>
            <w:noWrap/>
            <w:vAlign w:val="center"/>
            <w:hideMark/>
          </w:tcPr>
          <w:p w14:paraId="7F34DC63" w14:textId="42AB0B4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27.006</w:t>
            </w:r>
          </w:p>
        </w:tc>
        <w:tc>
          <w:tcPr>
            <w:tcW w:w="654" w:type="dxa"/>
            <w:noWrap/>
            <w:vAlign w:val="center"/>
            <w:hideMark/>
          </w:tcPr>
          <w:p w14:paraId="29F7CFF5" w14:textId="36DBDDC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6DF2CC4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2B69BB6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27" w:type="dxa"/>
            <w:noWrap/>
            <w:vAlign w:val="center"/>
            <w:hideMark/>
          </w:tcPr>
          <w:p w14:paraId="1246ADA5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 Jaya</w:t>
            </w:r>
          </w:p>
        </w:tc>
        <w:tc>
          <w:tcPr>
            <w:tcW w:w="1016" w:type="dxa"/>
            <w:noWrap/>
            <w:vAlign w:val="center"/>
            <w:hideMark/>
          </w:tcPr>
          <w:p w14:paraId="3C803CE7" w14:textId="20B719D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5.360,00</w:t>
            </w:r>
          </w:p>
        </w:tc>
        <w:tc>
          <w:tcPr>
            <w:tcW w:w="1026" w:type="dxa"/>
            <w:noWrap/>
            <w:vAlign w:val="center"/>
            <w:hideMark/>
          </w:tcPr>
          <w:p w14:paraId="1EAD38F8" w14:textId="51C3B6A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8.152,00</w:t>
            </w:r>
          </w:p>
        </w:tc>
        <w:tc>
          <w:tcPr>
            <w:tcW w:w="936" w:type="dxa"/>
            <w:noWrap/>
            <w:vAlign w:val="center"/>
            <w:hideMark/>
          </w:tcPr>
          <w:p w14:paraId="766F4DC5" w14:textId="40F18C9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2.992,00</w:t>
            </w:r>
          </w:p>
        </w:tc>
        <w:tc>
          <w:tcPr>
            <w:tcW w:w="1026" w:type="dxa"/>
            <w:noWrap/>
            <w:vAlign w:val="center"/>
            <w:hideMark/>
          </w:tcPr>
          <w:p w14:paraId="270769F1" w14:textId="28E0D2E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16.504,00</w:t>
            </w:r>
          </w:p>
        </w:tc>
        <w:tc>
          <w:tcPr>
            <w:tcW w:w="1026" w:type="dxa"/>
            <w:noWrap/>
            <w:vAlign w:val="center"/>
            <w:hideMark/>
          </w:tcPr>
          <w:p w14:paraId="62780144" w14:textId="54571A4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23.237,00</w:t>
            </w:r>
          </w:p>
        </w:tc>
        <w:tc>
          <w:tcPr>
            <w:tcW w:w="1177" w:type="dxa"/>
            <w:noWrap/>
            <w:vAlign w:val="center"/>
            <w:hideMark/>
          </w:tcPr>
          <w:p w14:paraId="30D568D1" w14:textId="448457E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2.850,47</w:t>
            </w:r>
          </w:p>
        </w:tc>
        <w:tc>
          <w:tcPr>
            <w:tcW w:w="801" w:type="dxa"/>
            <w:noWrap/>
            <w:vAlign w:val="center"/>
            <w:hideMark/>
          </w:tcPr>
          <w:p w14:paraId="0622EEF9" w14:textId="4753650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11.527</w:t>
            </w:r>
          </w:p>
        </w:tc>
        <w:tc>
          <w:tcPr>
            <w:tcW w:w="654" w:type="dxa"/>
            <w:noWrap/>
            <w:vAlign w:val="center"/>
            <w:hideMark/>
          </w:tcPr>
          <w:p w14:paraId="05368028" w14:textId="6557754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821576F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0AC5117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527" w:type="dxa"/>
            <w:noWrap/>
            <w:vAlign w:val="center"/>
            <w:hideMark/>
          </w:tcPr>
          <w:p w14:paraId="453B561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Bener Meriah</w:t>
            </w:r>
          </w:p>
        </w:tc>
        <w:tc>
          <w:tcPr>
            <w:tcW w:w="1016" w:type="dxa"/>
            <w:noWrap/>
            <w:vAlign w:val="center"/>
            <w:hideMark/>
          </w:tcPr>
          <w:p w14:paraId="1062D773" w14:textId="6F558E9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565,00</w:t>
            </w:r>
          </w:p>
        </w:tc>
        <w:tc>
          <w:tcPr>
            <w:tcW w:w="1026" w:type="dxa"/>
            <w:noWrap/>
            <w:vAlign w:val="center"/>
            <w:hideMark/>
          </w:tcPr>
          <w:p w14:paraId="3AF00C80" w14:textId="20208AE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333,00</w:t>
            </w:r>
          </w:p>
        </w:tc>
        <w:tc>
          <w:tcPr>
            <w:tcW w:w="936" w:type="dxa"/>
            <w:noWrap/>
            <w:vAlign w:val="center"/>
            <w:hideMark/>
          </w:tcPr>
          <w:p w14:paraId="261C6D68" w14:textId="26AF546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402,00</w:t>
            </w:r>
          </w:p>
        </w:tc>
        <w:tc>
          <w:tcPr>
            <w:tcW w:w="1026" w:type="dxa"/>
            <w:noWrap/>
            <w:vAlign w:val="center"/>
            <w:hideMark/>
          </w:tcPr>
          <w:p w14:paraId="2B9DFFA1" w14:textId="4A72126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1.300,00</w:t>
            </w:r>
          </w:p>
        </w:tc>
        <w:tc>
          <w:tcPr>
            <w:tcW w:w="1026" w:type="dxa"/>
            <w:noWrap/>
            <w:vAlign w:val="center"/>
            <w:hideMark/>
          </w:tcPr>
          <w:p w14:paraId="67649CF3" w14:textId="5143F66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362,00</w:t>
            </w:r>
          </w:p>
        </w:tc>
        <w:tc>
          <w:tcPr>
            <w:tcW w:w="1177" w:type="dxa"/>
            <w:noWrap/>
            <w:vAlign w:val="center"/>
            <w:hideMark/>
          </w:tcPr>
          <w:p w14:paraId="19E611D6" w14:textId="1CB732B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1.087,09</w:t>
            </w:r>
          </w:p>
        </w:tc>
        <w:tc>
          <w:tcPr>
            <w:tcW w:w="801" w:type="dxa"/>
            <w:noWrap/>
            <w:vAlign w:val="center"/>
            <w:hideMark/>
          </w:tcPr>
          <w:p w14:paraId="2A470660" w14:textId="2356A8A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1.040</w:t>
            </w:r>
          </w:p>
        </w:tc>
        <w:tc>
          <w:tcPr>
            <w:tcW w:w="654" w:type="dxa"/>
            <w:noWrap/>
            <w:vAlign w:val="center"/>
            <w:hideMark/>
          </w:tcPr>
          <w:p w14:paraId="01CC5D3B" w14:textId="4E91F67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06C9D30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5223FD3D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27" w:type="dxa"/>
            <w:noWrap/>
            <w:vAlign w:val="center"/>
            <w:hideMark/>
          </w:tcPr>
          <w:p w14:paraId="49B6FBAE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Pidie Jaya</w:t>
            </w:r>
          </w:p>
        </w:tc>
        <w:tc>
          <w:tcPr>
            <w:tcW w:w="1016" w:type="dxa"/>
            <w:noWrap/>
            <w:vAlign w:val="center"/>
            <w:hideMark/>
          </w:tcPr>
          <w:p w14:paraId="0BE218FB" w14:textId="0D45690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1.183,50</w:t>
            </w:r>
          </w:p>
        </w:tc>
        <w:tc>
          <w:tcPr>
            <w:tcW w:w="1026" w:type="dxa"/>
            <w:noWrap/>
            <w:vAlign w:val="center"/>
            <w:hideMark/>
          </w:tcPr>
          <w:p w14:paraId="7BE515B2" w14:textId="5D25955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369,50</w:t>
            </w:r>
          </w:p>
        </w:tc>
        <w:tc>
          <w:tcPr>
            <w:tcW w:w="936" w:type="dxa"/>
            <w:noWrap/>
            <w:vAlign w:val="center"/>
            <w:hideMark/>
          </w:tcPr>
          <w:p w14:paraId="1E7E3691" w14:textId="3D79C97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10,50</w:t>
            </w:r>
          </w:p>
        </w:tc>
        <w:tc>
          <w:tcPr>
            <w:tcW w:w="1026" w:type="dxa"/>
            <w:noWrap/>
            <w:vAlign w:val="center"/>
            <w:hideMark/>
          </w:tcPr>
          <w:p w14:paraId="6B00178A" w14:textId="1202E7C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1.563,50</w:t>
            </w:r>
          </w:p>
        </w:tc>
        <w:tc>
          <w:tcPr>
            <w:tcW w:w="1026" w:type="dxa"/>
            <w:noWrap/>
            <w:vAlign w:val="center"/>
            <w:hideMark/>
          </w:tcPr>
          <w:p w14:paraId="7D93F22E" w14:textId="55A3BF4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882,87</w:t>
            </w:r>
          </w:p>
        </w:tc>
        <w:tc>
          <w:tcPr>
            <w:tcW w:w="1177" w:type="dxa"/>
            <w:noWrap/>
            <w:vAlign w:val="center"/>
            <w:hideMark/>
          </w:tcPr>
          <w:p w14:paraId="2FBEC207" w14:textId="1D71728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2.389,37</w:t>
            </w:r>
          </w:p>
        </w:tc>
        <w:tc>
          <w:tcPr>
            <w:tcW w:w="801" w:type="dxa"/>
            <w:noWrap/>
            <w:vAlign w:val="center"/>
            <w:hideMark/>
          </w:tcPr>
          <w:p w14:paraId="44264F00" w14:textId="61ABC0D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1.835</w:t>
            </w:r>
          </w:p>
        </w:tc>
        <w:tc>
          <w:tcPr>
            <w:tcW w:w="654" w:type="dxa"/>
            <w:noWrap/>
            <w:vAlign w:val="center"/>
            <w:hideMark/>
          </w:tcPr>
          <w:p w14:paraId="0CB17F48" w14:textId="1511733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E8B656C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1D6FE7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527" w:type="dxa"/>
            <w:noWrap/>
            <w:vAlign w:val="center"/>
            <w:hideMark/>
          </w:tcPr>
          <w:p w14:paraId="1FED3F1A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Banda Aceh</w:t>
            </w:r>
          </w:p>
        </w:tc>
        <w:tc>
          <w:tcPr>
            <w:tcW w:w="1016" w:type="dxa"/>
            <w:noWrap/>
            <w:vAlign w:val="center"/>
            <w:hideMark/>
          </w:tcPr>
          <w:p w14:paraId="6B9A856F" w14:textId="6AB5381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21FDEDFC" w14:textId="2C71B0D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6" w:type="dxa"/>
            <w:noWrap/>
            <w:vAlign w:val="center"/>
            <w:hideMark/>
          </w:tcPr>
          <w:p w14:paraId="259F9D5D" w14:textId="696A65A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7764B0D4" w14:textId="37D75D2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6CE0B01F" w14:textId="0363A55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77" w:type="dxa"/>
            <w:noWrap/>
            <w:vAlign w:val="center"/>
            <w:hideMark/>
          </w:tcPr>
          <w:p w14:paraId="02D17FE4" w14:textId="13A8DC5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1" w:type="dxa"/>
            <w:noWrap/>
            <w:vAlign w:val="center"/>
            <w:hideMark/>
          </w:tcPr>
          <w:p w14:paraId="3A23ED39" w14:textId="6A4E9E1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54" w:type="dxa"/>
            <w:noWrap/>
            <w:vAlign w:val="center"/>
            <w:hideMark/>
          </w:tcPr>
          <w:p w14:paraId="0F5081AC" w14:textId="6514DA6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EB104B7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64BEB414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27" w:type="dxa"/>
            <w:noWrap/>
            <w:vAlign w:val="center"/>
            <w:hideMark/>
          </w:tcPr>
          <w:p w14:paraId="030F46ED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Sabang</w:t>
            </w:r>
          </w:p>
        </w:tc>
        <w:tc>
          <w:tcPr>
            <w:tcW w:w="1016" w:type="dxa"/>
            <w:noWrap/>
            <w:vAlign w:val="center"/>
            <w:hideMark/>
          </w:tcPr>
          <w:p w14:paraId="7C209589" w14:textId="777179E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0915A5C2" w14:textId="7AFE40F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6" w:type="dxa"/>
            <w:noWrap/>
            <w:vAlign w:val="center"/>
            <w:hideMark/>
          </w:tcPr>
          <w:p w14:paraId="1E84A6C5" w14:textId="77CC3C2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61FE9C3F" w14:textId="459C9DC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7FBCFE11" w14:textId="5A73B50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177" w:type="dxa"/>
            <w:noWrap/>
            <w:vAlign w:val="center"/>
            <w:hideMark/>
          </w:tcPr>
          <w:p w14:paraId="106BC292" w14:textId="66A45FA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1" w:type="dxa"/>
            <w:noWrap/>
            <w:vAlign w:val="center"/>
            <w:hideMark/>
          </w:tcPr>
          <w:p w14:paraId="11142033" w14:textId="7B7972E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54" w:type="dxa"/>
            <w:noWrap/>
            <w:vAlign w:val="center"/>
            <w:hideMark/>
          </w:tcPr>
          <w:p w14:paraId="4C24111B" w14:textId="7D3A174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24BAE268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080E940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27" w:type="dxa"/>
            <w:noWrap/>
            <w:vAlign w:val="center"/>
            <w:hideMark/>
          </w:tcPr>
          <w:p w14:paraId="3251CF8C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Langsa</w:t>
            </w:r>
          </w:p>
        </w:tc>
        <w:tc>
          <w:tcPr>
            <w:tcW w:w="1016" w:type="dxa"/>
            <w:noWrap/>
            <w:vAlign w:val="center"/>
            <w:hideMark/>
          </w:tcPr>
          <w:p w14:paraId="07940322" w14:textId="2E173E1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58,00</w:t>
            </w:r>
          </w:p>
        </w:tc>
        <w:tc>
          <w:tcPr>
            <w:tcW w:w="1026" w:type="dxa"/>
            <w:noWrap/>
            <w:vAlign w:val="center"/>
            <w:hideMark/>
          </w:tcPr>
          <w:p w14:paraId="5448D796" w14:textId="5DD613A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537,60</w:t>
            </w:r>
          </w:p>
        </w:tc>
        <w:tc>
          <w:tcPr>
            <w:tcW w:w="936" w:type="dxa"/>
            <w:noWrap/>
            <w:vAlign w:val="center"/>
            <w:hideMark/>
          </w:tcPr>
          <w:p w14:paraId="09838417" w14:textId="6698BCB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120,60</w:t>
            </w:r>
          </w:p>
        </w:tc>
        <w:tc>
          <w:tcPr>
            <w:tcW w:w="1026" w:type="dxa"/>
            <w:noWrap/>
            <w:vAlign w:val="center"/>
            <w:hideMark/>
          </w:tcPr>
          <w:p w14:paraId="156F1DBB" w14:textId="399FA80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716,20</w:t>
            </w:r>
          </w:p>
        </w:tc>
        <w:tc>
          <w:tcPr>
            <w:tcW w:w="1026" w:type="dxa"/>
            <w:noWrap/>
            <w:vAlign w:val="center"/>
            <w:hideMark/>
          </w:tcPr>
          <w:p w14:paraId="62D44B53" w14:textId="78974A4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1.189,78</w:t>
            </w:r>
          </w:p>
        </w:tc>
        <w:tc>
          <w:tcPr>
            <w:tcW w:w="1177" w:type="dxa"/>
            <w:noWrap/>
            <w:vAlign w:val="center"/>
            <w:hideMark/>
          </w:tcPr>
          <w:p w14:paraId="055A986E" w14:textId="77E27A26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2.213,13</w:t>
            </w:r>
          </w:p>
        </w:tc>
        <w:tc>
          <w:tcPr>
            <w:tcW w:w="801" w:type="dxa"/>
            <w:noWrap/>
            <w:vAlign w:val="center"/>
            <w:hideMark/>
          </w:tcPr>
          <w:p w14:paraId="7F966F4D" w14:textId="1166FB1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394</w:t>
            </w:r>
          </w:p>
        </w:tc>
        <w:tc>
          <w:tcPr>
            <w:tcW w:w="654" w:type="dxa"/>
            <w:noWrap/>
            <w:vAlign w:val="center"/>
            <w:hideMark/>
          </w:tcPr>
          <w:p w14:paraId="4938D7C8" w14:textId="36BA75C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121E781F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08C85F3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27" w:type="dxa"/>
            <w:noWrap/>
            <w:vAlign w:val="center"/>
            <w:hideMark/>
          </w:tcPr>
          <w:p w14:paraId="19FB90C6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Lhokseumawe</w:t>
            </w:r>
          </w:p>
        </w:tc>
        <w:tc>
          <w:tcPr>
            <w:tcW w:w="1016" w:type="dxa"/>
            <w:noWrap/>
            <w:vAlign w:val="center"/>
            <w:hideMark/>
          </w:tcPr>
          <w:p w14:paraId="62EDB912" w14:textId="2FA1049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81,00</w:t>
            </w:r>
          </w:p>
        </w:tc>
        <w:tc>
          <w:tcPr>
            <w:tcW w:w="1026" w:type="dxa"/>
            <w:noWrap/>
            <w:vAlign w:val="center"/>
            <w:hideMark/>
          </w:tcPr>
          <w:p w14:paraId="54E1C9C5" w14:textId="171DC21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128,00</w:t>
            </w:r>
          </w:p>
        </w:tc>
        <w:tc>
          <w:tcPr>
            <w:tcW w:w="936" w:type="dxa"/>
            <w:noWrap/>
            <w:vAlign w:val="center"/>
            <w:hideMark/>
          </w:tcPr>
          <w:p w14:paraId="7506696C" w14:textId="3B65D53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26" w:type="dxa"/>
            <w:noWrap/>
            <w:vAlign w:val="center"/>
            <w:hideMark/>
          </w:tcPr>
          <w:p w14:paraId="120752CB" w14:textId="622F8A3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209,00</w:t>
            </w:r>
          </w:p>
        </w:tc>
        <w:tc>
          <w:tcPr>
            <w:tcW w:w="1026" w:type="dxa"/>
            <w:noWrap/>
            <w:vAlign w:val="center"/>
            <w:hideMark/>
          </w:tcPr>
          <w:p w14:paraId="3DFFE148" w14:textId="665939E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328,50</w:t>
            </w:r>
          </w:p>
        </w:tc>
        <w:tc>
          <w:tcPr>
            <w:tcW w:w="1177" w:type="dxa"/>
            <w:noWrap/>
            <w:vAlign w:val="center"/>
            <w:hideMark/>
          </w:tcPr>
          <w:p w14:paraId="1C724F17" w14:textId="5D6AF75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2.566,41</w:t>
            </w:r>
          </w:p>
        </w:tc>
        <w:tc>
          <w:tcPr>
            <w:tcW w:w="801" w:type="dxa"/>
            <w:noWrap/>
            <w:vAlign w:val="center"/>
            <w:hideMark/>
          </w:tcPr>
          <w:p w14:paraId="6850E737" w14:textId="05EA985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654" w:type="dxa"/>
            <w:noWrap/>
            <w:vAlign w:val="center"/>
            <w:hideMark/>
          </w:tcPr>
          <w:p w14:paraId="02C31C39" w14:textId="13E4374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49C4C703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35F306B2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27" w:type="dxa"/>
            <w:noWrap/>
            <w:vAlign w:val="center"/>
            <w:hideMark/>
          </w:tcPr>
          <w:p w14:paraId="4754A571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Subulussalam</w:t>
            </w:r>
          </w:p>
        </w:tc>
        <w:tc>
          <w:tcPr>
            <w:tcW w:w="1016" w:type="dxa"/>
            <w:noWrap/>
            <w:vAlign w:val="center"/>
            <w:hideMark/>
          </w:tcPr>
          <w:p w14:paraId="155BC488" w14:textId="0C5D1D3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8.169,00</w:t>
            </w:r>
          </w:p>
        </w:tc>
        <w:tc>
          <w:tcPr>
            <w:tcW w:w="1026" w:type="dxa"/>
            <w:noWrap/>
            <w:vAlign w:val="center"/>
            <w:hideMark/>
          </w:tcPr>
          <w:p w14:paraId="7C8F5F22" w14:textId="27FB5E8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10.899,00</w:t>
            </w:r>
          </w:p>
        </w:tc>
        <w:tc>
          <w:tcPr>
            <w:tcW w:w="936" w:type="dxa"/>
            <w:noWrap/>
            <w:vAlign w:val="center"/>
            <w:hideMark/>
          </w:tcPr>
          <w:p w14:paraId="2341915E" w14:textId="74957F5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236,00</w:t>
            </w:r>
          </w:p>
        </w:tc>
        <w:tc>
          <w:tcPr>
            <w:tcW w:w="1026" w:type="dxa"/>
            <w:noWrap/>
            <w:vAlign w:val="center"/>
            <w:hideMark/>
          </w:tcPr>
          <w:p w14:paraId="257279EC" w14:textId="6993915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19.304,00</w:t>
            </w:r>
          </w:p>
        </w:tc>
        <w:tc>
          <w:tcPr>
            <w:tcW w:w="1026" w:type="dxa"/>
            <w:noWrap/>
            <w:vAlign w:val="center"/>
            <w:hideMark/>
          </w:tcPr>
          <w:p w14:paraId="33BC241C" w14:textId="2A95131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28.800,00</w:t>
            </w:r>
          </w:p>
        </w:tc>
        <w:tc>
          <w:tcPr>
            <w:tcW w:w="1177" w:type="dxa"/>
            <w:noWrap/>
            <w:vAlign w:val="center"/>
            <w:hideMark/>
          </w:tcPr>
          <w:p w14:paraId="53C203B0" w14:textId="5CC695B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2.642,44</w:t>
            </w:r>
          </w:p>
        </w:tc>
        <w:tc>
          <w:tcPr>
            <w:tcW w:w="801" w:type="dxa"/>
            <w:noWrap/>
            <w:vAlign w:val="center"/>
            <w:hideMark/>
          </w:tcPr>
          <w:p w14:paraId="551455A5" w14:textId="27B92CB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13.614</w:t>
            </w:r>
          </w:p>
        </w:tc>
        <w:tc>
          <w:tcPr>
            <w:tcW w:w="654" w:type="dxa"/>
            <w:noWrap/>
            <w:vAlign w:val="center"/>
            <w:hideMark/>
          </w:tcPr>
          <w:p w14:paraId="08268B90" w14:textId="05F5F122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4598F0B3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1D13A4AB" w14:textId="473047B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noWrap/>
            <w:vAlign w:val="center"/>
            <w:hideMark/>
          </w:tcPr>
          <w:p w14:paraId="15A10126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Aceh</w:t>
            </w:r>
          </w:p>
        </w:tc>
        <w:tc>
          <w:tcPr>
            <w:tcW w:w="1016" w:type="dxa"/>
            <w:noWrap/>
            <w:vAlign w:val="center"/>
            <w:hideMark/>
          </w:tcPr>
          <w:p w14:paraId="5CB5DE27" w14:textId="1FD48042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65.772,25</w:t>
            </w:r>
          </w:p>
        </w:tc>
        <w:tc>
          <w:tcPr>
            <w:tcW w:w="1026" w:type="dxa"/>
            <w:noWrap/>
            <w:vAlign w:val="center"/>
            <w:hideMark/>
          </w:tcPr>
          <w:p w14:paraId="481865B8" w14:textId="2FCA4FA5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169.936,95</w:t>
            </w:r>
          </w:p>
        </w:tc>
        <w:tc>
          <w:tcPr>
            <w:tcW w:w="936" w:type="dxa"/>
            <w:noWrap/>
            <w:vAlign w:val="center"/>
            <w:hideMark/>
          </w:tcPr>
          <w:p w14:paraId="6B031EBB" w14:textId="5F60D1BB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23.282,36</w:t>
            </w:r>
          </w:p>
        </w:tc>
        <w:tc>
          <w:tcPr>
            <w:tcW w:w="1026" w:type="dxa"/>
            <w:noWrap/>
            <w:vAlign w:val="center"/>
            <w:hideMark/>
          </w:tcPr>
          <w:p w14:paraId="71BED26F" w14:textId="595FB7B8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258.991,56</w:t>
            </w:r>
          </w:p>
        </w:tc>
        <w:tc>
          <w:tcPr>
            <w:tcW w:w="1026" w:type="dxa"/>
            <w:noWrap/>
            <w:vAlign w:val="center"/>
            <w:hideMark/>
          </w:tcPr>
          <w:p w14:paraId="409BD8BF" w14:textId="573A0097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459.727,37</w:t>
            </w:r>
          </w:p>
        </w:tc>
        <w:tc>
          <w:tcPr>
            <w:tcW w:w="1177" w:type="dxa"/>
            <w:noWrap/>
            <w:vAlign w:val="center"/>
            <w:hideMark/>
          </w:tcPr>
          <w:p w14:paraId="35D6EAEF" w14:textId="0D0969CD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2.705,44</w:t>
            </w:r>
          </w:p>
        </w:tc>
        <w:tc>
          <w:tcPr>
            <w:tcW w:w="801" w:type="dxa"/>
            <w:noWrap/>
            <w:vAlign w:val="center"/>
            <w:hideMark/>
          </w:tcPr>
          <w:p w14:paraId="10FF9A9C" w14:textId="719F0D80" w:rsidR="00DF6708" w:rsidRPr="0088022C" w:rsidRDefault="00DF6708" w:rsidP="00DF670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144.871</w:t>
            </w:r>
          </w:p>
        </w:tc>
        <w:tc>
          <w:tcPr>
            <w:tcW w:w="654" w:type="dxa"/>
            <w:noWrap/>
            <w:vAlign w:val="center"/>
            <w:hideMark/>
          </w:tcPr>
          <w:p w14:paraId="38DB0699" w14:textId="7DD5CBF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7DB01A4C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1756EA0E" w14:textId="0DFF25FE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noWrap/>
            <w:vAlign w:val="center"/>
            <w:hideMark/>
          </w:tcPr>
          <w:p w14:paraId="7C5DEB8E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1016" w:type="dxa"/>
            <w:noWrap/>
            <w:vAlign w:val="center"/>
            <w:hideMark/>
          </w:tcPr>
          <w:p w14:paraId="3A22A9F0" w14:textId="7BB8C0D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59.363</w:t>
            </w:r>
          </w:p>
        </w:tc>
        <w:tc>
          <w:tcPr>
            <w:tcW w:w="1026" w:type="dxa"/>
            <w:noWrap/>
            <w:vAlign w:val="center"/>
            <w:hideMark/>
          </w:tcPr>
          <w:p w14:paraId="5EDE1FB2" w14:textId="09041AEA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166.279</w:t>
            </w:r>
          </w:p>
        </w:tc>
        <w:tc>
          <w:tcPr>
            <w:tcW w:w="936" w:type="dxa"/>
            <w:noWrap/>
            <w:vAlign w:val="center"/>
            <w:hideMark/>
          </w:tcPr>
          <w:p w14:paraId="0A72E2C2" w14:textId="12191A7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21.459</w:t>
            </w:r>
          </w:p>
        </w:tc>
        <w:tc>
          <w:tcPr>
            <w:tcW w:w="1026" w:type="dxa"/>
            <w:noWrap/>
            <w:vAlign w:val="center"/>
            <w:hideMark/>
          </w:tcPr>
          <w:p w14:paraId="7471DFF3" w14:textId="0A9149B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247.101</w:t>
            </w:r>
          </w:p>
        </w:tc>
        <w:tc>
          <w:tcPr>
            <w:tcW w:w="1026" w:type="dxa"/>
            <w:noWrap/>
            <w:vAlign w:val="center"/>
            <w:hideMark/>
          </w:tcPr>
          <w:p w14:paraId="4FA96550" w14:textId="612B2DE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456.426</w:t>
            </w:r>
          </w:p>
        </w:tc>
        <w:tc>
          <w:tcPr>
            <w:tcW w:w="1177" w:type="dxa"/>
            <w:noWrap/>
            <w:vAlign w:val="center"/>
            <w:hideMark/>
          </w:tcPr>
          <w:p w14:paraId="30A0879A" w14:textId="66850B4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2.745</w:t>
            </w:r>
          </w:p>
        </w:tc>
        <w:tc>
          <w:tcPr>
            <w:tcW w:w="801" w:type="dxa"/>
            <w:noWrap/>
            <w:vAlign w:val="center"/>
            <w:hideMark/>
          </w:tcPr>
          <w:p w14:paraId="197EFB1C" w14:textId="0F1DB5A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140.658</w:t>
            </w:r>
          </w:p>
        </w:tc>
        <w:tc>
          <w:tcPr>
            <w:tcW w:w="654" w:type="dxa"/>
            <w:noWrap/>
            <w:vAlign w:val="center"/>
            <w:hideMark/>
          </w:tcPr>
          <w:p w14:paraId="377424AF" w14:textId="01CDE88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068039A1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67EDD5CF" w14:textId="535DA93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noWrap/>
            <w:vAlign w:val="center"/>
            <w:hideMark/>
          </w:tcPr>
          <w:p w14:paraId="2A305E50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1016" w:type="dxa"/>
            <w:noWrap/>
            <w:vAlign w:val="center"/>
            <w:hideMark/>
          </w:tcPr>
          <w:p w14:paraId="1C9EDD0F" w14:textId="3488858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63.023</w:t>
            </w:r>
          </w:p>
        </w:tc>
        <w:tc>
          <w:tcPr>
            <w:tcW w:w="1026" w:type="dxa"/>
            <w:noWrap/>
            <w:vAlign w:val="center"/>
            <w:hideMark/>
          </w:tcPr>
          <w:p w14:paraId="1593528E" w14:textId="0CCCA6C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162.159</w:t>
            </w:r>
          </w:p>
        </w:tc>
        <w:tc>
          <w:tcPr>
            <w:tcW w:w="936" w:type="dxa"/>
            <w:noWrap/>
            <w:vAlign w:val="center"/>
            <w:hideMark/>
          </w:tcPr>
          <w:p w14:paraId="4FD2DDB6" w14:textId="5B6E0E3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17.638</w:t>
            </w:r>
          </w:p>
        </w:tc>
        <w:tc>
          <w:tcPr>
            <w:tcW w:w="1026" w:type="dxa"/>
            <w:noWrap/>
            <w:vAlign w:val="center"/>
            <w:hideMark/>
          </w:tcPr>
          <w:p w14:paraId="67907DEF" w14:textId="0705BEC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242.820</w:t>
            </w:r>
          </w:p>
        </w:tc>
        <w:tc>
          <w:tcPr>
            <w:tcW w:w="1026" w:type="dxa"/>
            <w:noWrap/>
            <w:vAlign w:val="center"/>
            <w:hideMark/>
          </w:tcPr>
          <w:p w14:paraId="2D3C2C77" w14:textId="591DC0B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444.436</w:t>
            </w:r>
          </w:p>
        </w:tc>
        <w:tc>
          <w:tcPr>
            <w:tcW w:w="1177" w:type="dxa"/>
            <w:noWrap/>
            <w:vAlign w:val="center"/>
            <w:hideMark/>
          </w:tcPr>
          <w:p w14:paraId="7882A79F" w14:textId="439F1FD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2.741</w:t>
            </w:r>
          </w:p>
        </w:tc>
        <w:tc>
          <w:tcPr>
            <w:tcW w:w="801" w:type="dxa"/>
            <w:noWrap/>
            <w:vAlign w:val="center"/>
            <w:hideMark/>
          </w:tcPr>
          <w:p w14:paraId="47656929" w14:textId="6B0322A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139.153</w:t>
            </w:r>
          </w:p>
        </w:tc>
        <w:tc>
          <w:tcPr>
            <w:tcW w:w="654" w:type="dxa"/>
            <w:noWrap/>
            <w:vAlign w:val="center"/>
            <w:hideMark/>
          </w:tcPr>
          <w:p w14:paraId="1880210A" w14:textId="72559F4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321D26E9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002F836C" w14:textId="59CC90F4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noWrap/>
            <w:vAlign w:val="center"/>
            <w:hideMark/>
          </w:tcPr>
          <w:p w14:paraId="39D186F9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016" w:type="dxa"/>
            <w:noWrap/>
            <w:vAlign w:val="center"/>
            <w:hideMark/>
          </w:tcPr>
          <w:p w14:paraId="3633D5E7" w14:textId="4CA730BB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61.460</w:t>
            </w:r>
          </w:p>
        </w:tc>
        <w:tc>
          <w:tcPr>
            <w:tcW w:w="1026" w:type="dxa"/>
            <w:noWrap/>
            <w:vAlign w:val="center"/>
            <w:hideMark/>
          </w:tcPr>
          <w:p w14:paraId="7DA1BFCD" w14:textId="78286CB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161.629</w:t>
            </w:r>
          </w:p>
        </w:tc>
        <w:tc>
          <w:tcPr>
            <w:tcW w:w="936" w:type="dxa"/>
            <w:noWrap/>
            <w:vAlign w:val="center"/>
            <w:hideMark/>
          </w:tcPr>
          <w:p w14:paraId="41482737" w14:textId="40BDE0A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17.277</w:t>
            </w:r>
          </w:p>
        </w:tc>
        <w:tc>
          <w:tcPr>
            <w:tcW w:w="1026" w:type="dxa"/>
            <w:noWrap/>
            <w:vAlign w:val="center"/>
            <w:hideMark/>
          </w:tcPr>
          <w:p w14:paraId="081539AF" w14:textId="12B2786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240.366</w:t>
            </w:r>
          </w:p>
        </w:tc>
        <w:tc>
          <w:tcPr>
            <w:tcW w:w="1026" w:type="dxa"/>
            <w:noWrap/>
            <w:vAlign w:val="center"/>
            <w:hideMark/>
          </w:tcPr>
          <w:p w14:paraId="315293BD" w14:textId="1274EDB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441.603</w:t>
            </w:r>
          </w:p>
        </w:tc>
        <w:tc>
          <w:tcPr>
            <w:tcW w:w="1177" w:type="dxa"/>
            <w:noWrap/>
            <w:vAlign w:val="center"/>
            <w:hideMark/>
          </w:tcPr>
          <w:p w14:paraId="47FA9718" w14:textId="0FEC8EC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2.732</w:t>
            </w:r>
          </w:p>
        </w:tc>
        <w:tc>
          <w:tcPr>
            <w:tcW w:w="801" w:type="dxa"/>
            <w:noWrap/>
            <w:vAlign w:val="center"/>
            <w:hideMark/>
          </w:tcPr>
          <w:p w14:paraId="738360F6" w14:textId="5F2E9A48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138.305</w:t>
            </w:r>
          </w:p>
        </w:tc>
        <w:tc>
          <w:tcPr>
            <w:tcW w:w="654" w:type="dxa"/>
            <w:noWrap/>
            <w:vAlign w:val="center"/>
            <w:hideMark/>
          </w:tcPr>
          <w:p w14:paraId="122BB721" w14:textId="19E1AE8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6708" w:rsidRPr="00DF6708" w14:paraId="328524BA" w14:textId="77777777" w:rsidTr="00E94608">
        <w:trPr>
          <w:trHeight w:val="290"/>
        </w:trPr>
        <w:tc>
          <w:tcPr>
            <w:tcW w:w="436" w:type="dxa"/>
            <w:noWrap/>
            <w:vAlign w:val="center"/>
            <w:hideMark/>
          </w:tcPr>
          <w:p w14:paraId="236A7BC8" w14:textId="01F02A7D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7" w:type="dxa"/>
            <w:noWrap/>
            <w:vAlign w:val="center"/>
            <w:hideMark/>
          </w:tcPr>
          <w:p w14:paraId="471B77E8" w14:textId="77777777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1016" w:type="dxa"/>
            <w:noWrap/>
            <w:vAlign w:val="center"/>
            <w:hideMark/>
          </w:tcPr>
          <w:p w14:paraId="03D3C75E" w14:textId="48811D2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60.508</w:t>
            </w:r>
          </w:p>
        </w:tc>
        <w:tc>
          <w:tcPr>
            <w:tcW w:w="1026" w:type="dxa"/>
            <w:noWrap/>
            <w:vAlign w:val="center"/>
            <w:hideMark/>
          </w:tcPr>
          <w:p w14:paraId="6E940A95" w14:textId="23E29C1C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158.291</w:t>
            </w:r>
          </w:p>
        </w:tc>
        <w:tc>
          <w:tcPr>
            <w:tcW w:w="936" w:type="dxa"/>
            <w:noWrap/>
            <w:vAlign w:val="center"/>
            <w:hideMark/>
          </w:tcPr>
          <w:p w14:paraId="4066E120" w14:textId="55786443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18.969</w:t>
            </w:r>
          </w:p>
        </w:tc>
        <w:tc>
          <w:tcPr>
            <w:tcW w:w="1026" w:type="dxa"/>
            <w:noWrap/>
            <w:vAlign w:val="center"/>
            <w:hideMark/>
          </w:tcPr>
          <w:p w14:paraId="45D77126" w14:textId="72D8FFE5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237.768</w:t>
            </w:r>
          </w:p>
        </w:tc>
        <w:tc>
          <w:tcPr>
            <w:tcW w:w="1026" w:type="dxa"/>
            <w:noWrap/>
            <w:vAlign w:val="center"/>
            <w:hideMark/>
          </w:tcPr>
          <w:p w14:paraId="751CA78D" w14:textId="22B65B49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440.087</w:t>
            </w:r>
          </w:p>
        </w:tc>
        <w:tc>
          <w:tcPr>
            <w:tcW w:w="1177" w:type="dxa"/>
            <w:noWrap/>
            <w:vAlign w:val="center"/>
            <w:hideMark/>
          </w:tcPr>
          <w:p w14:paraId="6754C9E0" w14:textId="3F686F01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2.780</w:t>
            </w:r>
          </w:p>
        </w:tc>
        <w:tc>
          <w:tcPr>
            <w:tcW w:w="801" w:type="dxa"/>
            <w:noWrap/>
            <w:vAlign w:val="center"/>
            <w:hideMark/>
          </w:tcPr>
          <w:p w14:paraId="3AD187BE" w14:textId="0ECE79F0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22C">
              <w:rPr>
                <w:rFonts w:ascii="Times New Roman" w:hAnsi="Times New Roman" w:cs="Times New Roman"/>
                <w:sz w:val="18"/>
                <w:szCs w:val="18"/>
              </w:rPr>
              <w:t>137.063</w:t>
            </w:r>
          </w:p>
        </w:tc>
        <w:tc>
          <w:tcPr>
            <w:tcW w:w="654" w:type="dxa"/>
            <w:noWrap/>
            <w:vAlign w:val="center"/>
            <w:hideMark/>
          </w:tcPr>
          <w:p w14:paraId="1351570C" w14:textId="2228B59F" w:rsidR="00DF6708" w:rsidRPr="0088022C" w:rsidRDefault="00DF6708" w:rsidP="00DF670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40BDBEB" w14:textId="54B5396D" w:rsidR="00DF6708" w:rsidRPr="00B17381" w:rsidRDefault="00B17381" w:rsidP="0098228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1738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17381">
        <w:rPr>
          <w:rFonts w:ascii="Times New Roman" w:hAnsi="Times New Roman" w:cs="Times New Roman"/>
          <w:sz w:val="18"/>
          <w:szCs w:val="18"/>
          <w:lang w:val="en-US"/>
        </w:rPr>
        <w:t>Sumber</w:t>
      </w:r>
      <w:proofErr w:type="spellEnd"/>
      <w:r w:rsidRPr="00B17381">
        <w:rPr>
          <w:rFonts w:ascii="Times New Roman" w:hAnsi="Times New Roman" w:cs="Times New Roman"/>
          <w:sz w:val="18"/>
          <w:szCs w:val="18"/>
          <w:lang w:val="en-US"/>
        </w:rPr>
        <w:t>: BPS Aceh, 2024)</w:t>
      </w:r>
    </w:p>
    <w:p w14:paraId="508CBF65" w14:textId="3A7047CD" w:rsidR="00982282" w:rsidRDefault="00982282" w:rsidP="00263C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C306E4" w14:textId="56BF7957" w:rsidR="00982282" w:rsidRDefault="00E21761" w:rsidP="00E217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58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59422" wp14:editId="3B308B8F">
            <wp:extent cx="4551711" cy="556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676" cy="55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-1439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5392"/>
        <w:gridCol w:w="1748"/>
      </w:tblGrid>
      <w:tr w:rsidR="00E94608" w:rsidRPr="005B3205" w14:paraId="61E4BE68" w14:textId="77777777" w:rsidTr="00D8796D">
        <w:trPr>
          <w:trHeight w:val="255"/>
        </w:trPr>
        <w:tc>
          <w:tcPr>
            <w:tcW w:w="9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148B" w14:textId="77777777" w:rsidR="00E94608" w:rsidRPr="005B3205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5B3205" w14:paraId="310DAA2B" w14:textId="77777777" w:rsidTr="00D8796D">
        <w:trPr>
          <w:trHeight w:val="255"/>
        </w:trPr>
        <w:tc>
          <w:tcPr>
            <w:tcW w:w="90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69988A" w14:textId="77777777" w:rsidR="00E94608" w:rsidRPr="005B3205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5B3205" w14:paraId="3E17BE32" w14:textId="77777777" w:rsidTr="00D8796D">
        <w:trPr>
          <w:trHeight w:val="255"/>
        </w:trPr>
        <w:tc>
          <w:tcPr>
            <w:tcW w:w="907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0AC3" w14:textId="77777777" w:rsidR="00E94608" w:rsidRPr="005B3205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5B3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  <w14:ligatures w14:val="none"/>
              </w:rPr>
              <w:t>Daftar Pabrik Kelapa Sawit Di Aceh</w:t>
            </w:r>
          </w:p>
        </w:tc>
      </w:tr>
      <w:tr w:rsidR="00E94608" w:rsidRPr="00953EC2" w14:paraId="68844B18" w14:textId="77777777" w:rsidTr="00D8796D">
        <w:trPr>
          <w:trHeight w:val="255"/>
        </w:trPr>
        <w:tc>
          <w:tcPr>
            <w:tcW w:w="1939" w:type="dxa"/>
            <w:shd w:val="clear" w:color="auto" w:fill="auto"/>
            <w:noWrap/>
            <w:vAlign w:val="center"/>
            <w:hideMark/>
          </w:tcPr>
          <w:p w14:paraId="2FE8589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Kabupaten</w:t>
            </w:r>
          </w:p>
        </w:tc>
        <w:tc>
          <w:tcPr>
            <w:tcW w:w="5392" w:type="dxa"/>
            <w:shd w:val="clear" w:color="auto" w:fill="auto"/>
            <w:noWrap/>
            <w:vAlign w:val="center"/>
            <w:hideMark/>
          </w:tcPr>
          <w:p w14:paraId="7F9C275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Nama PKS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249E508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Kapasitas (ton/Jam)</w:t>
            </w:r>
          </w:p>
        </w:tc>
      </w:tr>
      <w:tr w:rsidR="00E94608" w:rsidRPr="00953EC2" w14:paraId="10BA6766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3641C1D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Nagan Raya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3B5508F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Fajar Baizury &amp; Brother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DE04B6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61E87373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A1D5C8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3731117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Kallista Alam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06370B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434C57DE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DA1E17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65442A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Sawit Nagan Raya Makmur Kapasitas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598E4DD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746F085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2D3ACA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D94383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Beurata Subur Persada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A3CBDB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8D5248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785EC6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7CA9C8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Ujong Neubok Dalam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2E2FB73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0F71A78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3E7EA6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31909E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Surya Panen Subur II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29CABA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15D78AA2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63547B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50D884F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Kharisma Iskandar Muda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332FB1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2C7E4E8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8EE2433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2EF669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Ensem Lestari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5403D5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7A4593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497910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5A34FF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Socfin Indonesia (Seunagan) Kapasitas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53EDCA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E94608" w:rsidRPr="00953EC2" w14:paraId="558561AD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6FFB60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AF6E79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Socfin Indonesia (Seumanyam) Kapasitas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D20270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40507D8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900FDB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61152F5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Raja Marga Kapasitas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51A84AF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B0F46C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AEDA7A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A4556D5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Sawit Nagan Nagan Raya Makur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12106D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2859B5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41C469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BCD156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Seunagan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5BBD92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94608" w:rsidRPr="00953EC2" w14:paraId="520AE7BB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0AA5E02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Barat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894256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Karya Tanah Subur K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66B00D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521302AA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768C54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966090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Mopoli Raya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A75BE5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DA39A42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E5A1A6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1B4022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Potensi Bumi Sakti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1C2EA4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0F0AD79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861D3B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C0398C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Agro Sinergi Nusantara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109C65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933272C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2DFD897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Jaya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7290146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Boswa Megapolis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C6C137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5AC2CB0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A72C19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F7A7CF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Syaukath Agro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9194D9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28C2A179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DF4EE9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872FA0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Agro Sinergi Nusantara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DEE446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1D040C90" w14:textId="77777777" w:rsidTr="00D8796D">
        <w:trPr>
          <w:trHeight w:val="269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DB95D1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5B346BA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  <w:t>PT. ASN Pabrik kelapa sawit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511F58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0BC61C98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3F62BAB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Barat Daya</w:t>
            </w:r>
          </w:p>
        </w:tc>
        <w:tc>
          <w:tcPr>
            <w:tcW w:w="5392" w:type="dxa"/>
            <w:shd w:val="clear" w:color="auto" w:fill="auto"/>
            <w:noWrap/>
            <w:vAlign w:val="center"/>
            <w:hideMark/>
          </w:tcPr>
          <w:p w14:paraId="49A1E67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Mon Jambee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313DB0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754FA57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A43BB8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37DE86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Samira Makmur Sawita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048D63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1E39FA86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B8AE49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A70A7D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Ensem Abadi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EE47A6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0F6DFA3" w14:textId="77777777" w:rsidTr="00D8796D">
        <w:trPr>
          <w:trHeight w:val="255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14CA67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Selatan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49A2CFE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Aceh Trumon Anugerah Kita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9BCF45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1AD5F214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09EE39D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Subulussalam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32EE8B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Global Sawit Semesta (Eks PT. Lestari Tunggal Pratama)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9A1AF7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231CAB2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CB4AE6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A94582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Bangun Sempurna Lestari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807824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709314D7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DDF42E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91646D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Mandiri Sawit Bersama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6A7DB4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7E101593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593803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6AA2DB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Bumi Daya Agro Tirta Mas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9A8DC1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6B29A10A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A18A39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E487CA6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Samudera sawit Nabati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DE2A6E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05639547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713F48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3985DC6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Sikalondang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5752250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2ECDFA7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8627173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3A72C8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Kurnia Nabati Utama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F63480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7E0EDE0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F0FB37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08643067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Mitra Sejati Sejahtera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6A188E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08565C75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B69F03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A31571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Budidaya Anek Flora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1E77A9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31A3AB22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4259C1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1E10E6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Abadi Lestari Subulus Salam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1F2FB6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A074634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EE915D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7EF78E7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Sawit Tunggal Perdana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A20DE9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0895BE3C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41D178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B1C595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Bumi Daya Abadi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99BC9B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1D8B6691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73AFADF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Singkil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5B25A2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Perkebunan Lembah Bhakti (Singkil Utara)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638D68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1F1D938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7EA9AE0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E4440D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Perkebunan Lembah Bhakti (Singkohor)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B7769A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66175813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CB048D3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1E6B0C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Nafasindo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A17976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7BCBF61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89ACA1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54696A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Ensem Lestari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00DC85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42F94BE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AABCE0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0C0CCDE0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Delima Makmur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242B53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6CDC196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069FD9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D33398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Socfin Indonesia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5133443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E94608" w:rsidRPr="00953EC2" w14:paraId="438F9D73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E8860C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0F5582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Singkil Sejahtera Makmur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F42DFC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E94608" w:rsidRPr="00953EC2" w14:paraId="24647C52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7981B9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1686A3F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Runding Putra Persada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DC0B17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0E36F355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E020CB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FAE816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Mandumpang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4A80E3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1A6BB5B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D21CE0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4EAE88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Samudra Sawit Nabati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2E8074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42E37E9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3125EFB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Simeulu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769201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Perkebunan Daerah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7019E9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11C39F8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C23C7CE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3B4DB5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Raja Marga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5C505B1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E94608" w:rsidRPr="00953EC2" w14:paraId="06C2210C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18CBE8E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Bireun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1B24D6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  <w:t>PT Blang Ketumba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050CC8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94608" w:rsidRPr="00953EC2" w14:paraId="7C2DF67C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07A74F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4E61CFE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SYAUKAT SEJAHTERA (CPO)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AF3206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4A15BD1" w14:textId="77777777" w:rsidTr="00D8796D">
        <w:trPr>
          <w:trHeight w:val="269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A55FDA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center"/>
            <w:hideMark/>
          </w:tcPr>
          <w:p w14:paraId="1FF13E1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  <w:t>Pabrik Kelapa Sawit Biereun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4E808A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0BA466D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D4C36A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7FD929F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Pabrik Pengolahan Kelapa Sawit Biereun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92CA4C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6A370373" w14:textId="77777777" w:rsidTr="00D8796D">
        <w:trPr>
          <w:trHeight w:val="269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52C9F2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6BE2C06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Palm Oil Processing plant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4FB5D4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44E38107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5B8C40B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Tamiang</w:t>
            </w: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2E9AD86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PTPN I Tajung Sumanto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56D15A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4F9D9FC2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6D9C49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4B57563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PTPN I Pulau Tiga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092ED1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111900F6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D06B59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3571FD3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Mopoli Raya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10CBF6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5A071C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74685C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37861348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Parasawita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D9E86A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85CBE8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73AF46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5BBFFED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Bahari Dwi Kencana Lestari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F9F967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767E075A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905423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59C917C8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 xml:space="preserve">PT. Sisirau 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2A246A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6B9920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BED03D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EB99B4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Pati sari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187183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78981394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8242DC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0EFBE75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Sosfin Indonesia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0E7684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3CCF56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D33FFF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4EF0640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Bima Desa Sawita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73B2A2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169CEEC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8F0601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18A3381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Tri Agro Palma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8AC574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678851AF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D7FF8D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51794530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Bumi Sama Ganda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460256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E94608" w:rsidRPr="00953EC2" w14:paraId="2F1DE91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3B2A24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270879B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PPDI Nilam Wangi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B3298D5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34AF4328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982E1C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1D1D7142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Bukit SAFA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D8EA727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1468CD1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2B0340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7CC8592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Darma Wisata Nusantara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D1186B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4BEF19CD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13913D0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45DE320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Padang palma Permai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832B24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16E030C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EBDA19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3BEE0390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 Bumi Tamiang Sentosa (BTS)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50B8AFF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657940E3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31BB26F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Timur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73D2BD2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Padang Palma Permai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6B0535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279FF560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7BB250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1891C5E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Ensem Sawita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412284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732686F5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E952596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7ACFD0CB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Agra Bumi Niaga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189EBC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2E2FE054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8144D28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2DE0BD97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Anugrah Fajar Rezeki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1D61D5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5DDC61B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7DBDD4EC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769E5CD7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Teupin Lada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45C8EBB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3011A875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6A9CA14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15E358A4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Mutiara Sawit Lestari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4DCC4220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63A5542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0785A6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14303F3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Perkasa Subur Sakti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19F4E94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E94608" w:rsidRPr="00953EC2" w14:paraId="4C972E01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589956F2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0DA95D68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PTPN I PKS Tanjung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357109F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26F7517E" w14:textId="77777777" w:rsidTr="00D8796D">
        <w:trPr>
          <w:trHeight w:val="255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ECCB2D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Kota Langsa</w:t>
            </w: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6DF56061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Perkebunan Tualang Raya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97F629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0C85D614" w14:textId="77777777" w:rsidTr="00D8796D">
        <w:trPr>
          <w:trHeight w:val="255"/>
        </w:trPr>
        <w:tc>
          <w:tcPr>
            <w:tcW w:w="1939" w:type="dxa"/>
            <w:vMerge w:val="restart"/>
            <w:shd w:val="clear" w:color="auto" w:fill="auto"/>
            <w:noWrap/>
            <w:vAlign w:val="center"/>
            <w:hideMark/>
          </w:tcPr>
          <w:p w14:paraId="78FE1F9E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Aceh Utara</w:t>
            </w:r>
          </w:p>
        </w:tc>
        <w:tc>
          <w:tcPr>
            <w:tcW w:w="5392" w:type="dxa"/>
            <w:shd w:val="clear" w:color="auto" w:fill="auto"/>
            <w:vAlign w:val="bottom"/>
            <w:hideMark/>
          </w:tcPr>
          <w:p w14:paraId="480FF03A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PTPN I Cot Girek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67FB66A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0A456C54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0572816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4DA1DFD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Seuramo Agro Persada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0EBD2BC9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94608" w:rsidRPr="00953EC2" w14:paraId="01B603ED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24598FBC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AEBE223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IBAS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664F0D16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4409D58B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3EC14309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73582FF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PT. Setia Agung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7AEF2921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E94608" w:rsidRPr="00953EC2" w14:paraId="2A0B82CA" w14:textId="77777777" w:rsidTr="00D8796D">
        <w:trPr>
          <w:trHeight w:val="255"/>
        </w:trPr>
        <w:tc>
          <w:tcPr>
            <w:tcW w:w="1939" w:type="dxa"/>
            <w:vMerge/>
            <w:shd w:val="clear" w:color="auto" w:fill="auto"/>
            <w:noWrap/>
            <w:vAlign w:val="bottom"/>
            <w:hideMark/>
          </w:tcPr>
          <w:p w14:paraId="48520764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0DF275A0" w14:textId="77777777" w:rsidR="00E94608" w:rsidRPr="00953EC2" w:rsidRDefault="00E94608" w:rsidP="00D87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  <w:t>PT Aceh Makmur Bersama</w:t>
            </w:r>
          </w:p>
        </w:tc>
        <w:tc>
          <w:tcPr>
            <w:tcW w:w="1748" w:type="dxa"/>
            <w:shd w:val="clear" w:color="auto" w:fill="auto"/>
            <w:noWrap/>
            <w:hideMark/>
          </w:tcPr>
          <w:p w14:paraId="29973CFD" w14:textId="77777777" w:rsidR="00E94608" w:rsidRPr="00953EC2" w:rsidRDefault="00E94608" w:rsidP="00D8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  <w14:ligatures w14:val="none"/>
              </w:rPr>
            </w:pPr>
            <w:r w:rsidRPr="00953EC2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</w:tbl>
    <w:p w14:paraId="16A540CC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39B8A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62D745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95F9C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05D317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FF718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7101D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1EB72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2561F" w14:textId="77777777" w:rsidR="00E94608" w:rsidRDefault="00E94608" w:rsidP="00E946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EF119" w14:textId="77777777" w:rsidR="00E94608" w:rsidRDefault="00E94608" w:rsidP="00E217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1B9EE5" w14:textId="7CABA6C2" w:rsidR="00982282" w:rsidRDefault="00982282" w:rsidP="009822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6C3C27" w14:textId="654C74A4" w:rsidR="00E21761" w:rsidRDefault="00E21761" w:rsidP="009822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239490" w14:textId="3F3FB2AF" w:rsidR="00E21761" w:rsidRDefault="00DB1EFA" w:rsidP="00E217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83E">
        <w:lastRenderedPageBreak/>
        <w:drawing>
          <wp:anchor distT="0" distB="0" distL="114300" distR="114300" simplePos="0" relativeHeight="251658240" behindDoc="1" locked="0" layoutInCell="1" allowOverlap="1" wp14:anchorId="48A4211D" wp14:editId="6A6B39F7">
            <wp:simplePos x="0" y="0"/>
            <wp:positionH relativeFrom="column">
              <wp:posOffset>-186055</wp:posOffset>
            </wp:positionH>
            <wp:positionV relativeFrom="paragraph">
              <wp:posOffset>203200</wp:posOffset>
            </wp:positionV>
            <wp:extent cx="6325870" cy="1073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4211"/>
                    <a:stretch/>
                  </pic:blipFill>
                  <pic:spPr bwMode="auto">
                    <a:xfrm>
                      <a:off x="0" y="0"/>
                      <a:ext cx="63258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7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EKSPOR CPO </w:t>
      </w:r>
    </w:p>
    <w:p w14:paraId="4D3C3866" w14:textId="4B63D15D" w:rsidR="0038583E" w:rsidRDefault="0038583E" w:rsidP="0038583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3858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(Sumber: </w:t>
      </w:r>
      <w:r w:rsidRPr="00FA27E8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Trademap website</w:t>
      </w:r>
      <w:r w:rsidRPr="0038583E">
        <w:rPr>
          <w:rFonts w:ascii="Times New Roman" w:hAnsi="Times New Roman" w:cs="Times New Roman"/>
          <w:noProof/>
          <w:sz w:val="20"/>
          <w:szCs w:val="20"/>
          <w:lang w:val="en-US"/>
        </w:rPr>
        <w:t>)</w:t>
      </w:r>
    </w:p>
    <w:p w14:paraId="4C12221F" w14:textId="62DE7DF7" w:rsidR="0038583E" w:rsidRDefault="0038583E" w:rsidP="0038583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Menurut data dari Trademap dapat disimpulkan bahwa terdapat 5 negara potensial yang menjadi negara importir </w:t>
      </w:r>
      <w:r w:rsidR="00DB1EF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produk CPO dunia yaitu negara India, Netherlands, Kenya, Arab Saudi, dan Jerman</w:t>
      </w:r>
      <w:r w:rsidR="005312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jika dilihat dari indikator </w:t>
      </w:r>
      <w:r w:rsidR="00531276" w:rsidRPr="00531276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Trade balance</w:t>
      </w:r>
      <w:r w:rsidR="0053127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 tahun 2022 (</w:t>
      </w:r>
      <w:r w:rsidR="00531276" w:rsidRPr="00531276">
        <w:rPr>
          <w:rFonts w:ascii="Times New Roman" w:hAnsi="Times New Roman" w:cs="Times New Roman"/>
          <w:noProof/>
          <w:sz w:val="24"/>
          <w:szCs w:val="24"/>
          <w:lang w:val="en-US"/>
        </w:rPr>
        <w:t>memilih negara dengan nilai trade balance-nya negatif, karena negara dengan nilai negatif menandakan negara tersebut lebih banyak impor daripada ekspor, sehingga bisa dikatakan bahwa negara tersebut membutuhkan produk</w:t>
      </w:r>
      <w:r w:rsidR="00531276">
        <w:rPr>
          <w:rFonts w:ascii="Times New Roman" w:hAnsi="Times New Roman" w:cs="Times New Roman"/>
          <w:noProof/>
          <w:sz w:val="24"/>
          <w:szCs w:val="24"/>
          <w:lang w:val="en-US"/>
        </w:rPr>
        <w:t>nya)</w:t>
      </w:r>
      <w:r w:rsidR="00DB1EFA">
        <w:rPr>
          <w:rFonts w:ascii="Times New Roman" w:hAnsi="Times New Roman" w:cs="Times New Roman"/>
          <w:noProof/>
          <w:sz w:val="24"/>
          <w:szCs w:val="24"/>
          <w:lang w:val="en-US"/>
        </w:rPr>
        <w:t>. Adapun hal lain yang perlu di pertimbangkan yaitu harga jual per ton CPO di kelima negara tersebut dan jarak antara negara tersebut dengan negara pengekspor untuk menghemat ongkos transportasinya.</w:t>
      </w:r>
      <w:r w:rsidR="001A6BA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417748A" w14:textId="407DCE8D" w:rsidR="001A6BA9" w:rsidRDefault="001A6BA9" w:rsidP="0038583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Terdapat 264 perusahaan di Indonesia yang melakukan kegiatan ekspor untuk kategori </w:t>
      </w:r>
      <w:r w:rsidRPr="001A6BA9">
        <w:rPr>
          <w:rFonts w:ascii="Times New Roman" w:hAnsi="Times New Roman" w:cs="Times New Roman"/>
          <w:noProof/>
          <w:sz w:val="24"/>
          <w:szCs w:val="24"/>
          <w:lang w:val="en-US"/>
        </w:rPr>
        <w:t>Minyak nabati dan produk sampingannya, kecuali jagung, biji kapas, dan kedelai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termasuk CPO. </w:t>
      </w:r>
    </w:p>
    <w:p w14:paraId="3569CE71" w14:textId="2669EE64" w:rsidR="00C71870" w:rsidRDefault="00C71870" w:rsidP="0038583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7187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Daftar pasar impor produk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CPO </w:t>
      </w:r>
      <w:r w:rsidRPr="00C71870">
        <w:rPr>
          <w:rFonts w:ascii="Times New Roman" w:hAnsi="Times New Roman" w:cs="Times New Roman"/>
          <w:noProof/>
          <w:sz w:val="24"/>
          <w:szCs w:val="24"/>
          <w:lang w:val="en-US"/>
        </w:rPr>
        <w:t>yang diekspor Indonesia</w:t>
      </w:r>
    </w:p>
    <w:p w14:paraId="48EB2E7F" w14:textId="7B426368" w:rsidR="00C71870" w:rsidRDefault="00C71870" w:rsidP="0038583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71870">
        <w:drawing>
          <wp:inline distT="0" distB="0" distL="0" distR="0" wp14:anchorId="7F0747D7" wp14:editId="6CC27654">
            <wp:extent cx="5731510" cy="1384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06" cy="13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F47A" w14:textId="77777777" w:rsidR="00C71870" w:rsidRDefault="00C71870" w:rsidP="00C71870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38583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(Sumber: </w:t>
      </w:r>
      <w:r w:rsidRPr="00FA27E8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Trademap website</w:t>
      </w:r>
      <w:r w:rsidRPr="0038583E">
        <w:rPr>
          <w:rFonts w:ascii="Times New Roman" w:hAnsi="Times New Roman" w:cs="Times New Roman"/>
          <w:noProof/>
          <w:sz w:val="20"/>
          <w:szCs w:val="20"/>
          <w:lang w:val="en-US"/>
        </w:rPr>
        <w:t>)</w:t>
      </w:r>
    </w:p>
    <w:p w14:paraId="3CEC8664" w14:textId="5AC7BE7D" w:rsidR="00C71870" w:rsidRPr="0038583E" w:rsidRDefault="00C71870" w:rsidP="0038583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>Dapat disimpulkan sepanjang tahun 2018-2022 India merupakan pasar impor terbesar produk CPO yang diekspor oleh Indonesia, diikuti dengan negara Italia, Malaysia, Kenya, dan lainnya.</w:t>
      </w:r>
    </w:p>
    <w:p w14:paraId="7FE101BB" w14:textId="5BC91BCC" w:rsidR="00E21761" w:rsidRPr="00E21761" w:rsidRDefault="00E21761" w:rsidP="00113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176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306884C" wp14:editId="4C7387FD">
            <wp:extent cx="4079240" cy="2080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81"/>
                    <a:stretch/>
                  </pic:blipFill>
                  <pic:spPr bwMode="auto">
                    <a:xfrm>
                      <a:off x="0" y="0"/>
                      <a:ext cx="4091356" cy="208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184B" w14:textId="2A3A17BF" w:rsidR="00E21761" w:rsidRDefault="00E21761" w:rsidP="00C600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CPO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2018-2022</w:t>
      </w:r>
    </w:p>
    <w:p w14:paraId="6A8C3460" w14:textId="51581C6F" w:rsidR="00E21761" w:rsidRDefault="00E21761" w:rsidP="002472F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2022 volume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CPO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pelarangan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CPO.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Meski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menyumbang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deflasi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berkurangnya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devisa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melemahnya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761">
        <w:rPr>
          <w:rFonts w:ascii="Times New Roman" w:hAnsi="Times New Roman" w:cs="Times New Roman"/>
          <w:sz w:val="24"/>
          <w:szCs w:val="24"/>
          <w:lang w:val="en-US"/>
        </w:rPr>
        <w:t>rupiah.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Kajian LPEM FEB UI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CPO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lastRenderedPageBreak/>
        <w:t>sebesar</w:t>
      </w:r>
      <w:proofErr w:type="spellEnd"/>
      <w:proofErr w:type="gram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1%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TBS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0,33%.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CPO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kali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lipat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agar TBS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(HPP)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761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E21761">
        <w:rPr>
          <w:rFonts w:ascii="Times New Roman" w:hAnsi="Times New Roman" w:cs="Times New Roman"/>
          <w:sz w:val="24"/>
          <w:szCs w:val="24"/>
          <w:lang w:val="en-US"/>
        </w:rPr>
        <w:t>. 2.250 per kilogram.</w:t>
      </w:r>
    </w:p>
    <w:p w14:paraId="70F09B8C" w14:textId="77777777" w:rsidR="001A154C" w:rsidRDefault="001A154C" w:rsidP="009822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A5515C" w14:textId="6867CB56" w:rsidR="00982282" w:rsidRDefault="00982282" w:rsidP="009822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2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PROSEDUR EKSPOR CRUDE PALM OIL (CPO) DAN PRODUK TURUNANNYA</w:t>
      </w:r>
    </w:p>
    <w:p w14:paraId="182A80ED" w14:textId="4D3A0F26" w:rsidR="006361DF" w:rsidRPr="006361DF" w:rsidRDefault="006361DF" w:rsidP="006361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DF">
        <w:rPr>
          <w:rFonts w:ascii="Times New Roman" w:hAnsi="Times New Roman" w:cs="Times New Roman"/>
          <w:sz w:val="24"/>
          <w:szCs w:val="24"/>
          <w:lang w:val="en-US"/>
        </w:rPr>
        <w:t>PERATURAN MENTERI KEUANGAN REPUBLIK INDONESIA</w:t>
      </w:r>
      <w:r w:rsidRPr="00636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1DF">
        <w:rPr>
          <w:rFonts w:ascii="Times New Roman" w:hAnsi="Times New Roman" w:cs="Times New Roman"/>
          <w:sz w:val="24"/>
          <w:szCs w:val="24"/>
          <w:lang w:val="en-US"/>
        </w:rPr>
        <w:t>NOMOR</w:t>
      </w:r>
      <w:r w:rsidRPr="00636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1DF">
        <w:rPr>
          <w:rFonts w:ascii="Times New Roman" w:hAnsi="Times New Roman" w:cs="Times New Roman"/>
          <w:sz w:val="24"/>
          <w:szCs w:val="24"/>
          <w:lang w:val="en-US"/>
        </w:rPr>
        <w:t>22/PMK.04/2019</w:t>
      </w:r>
    </w:p>
    <w:p w14:paraId="077A2202" w14:textId="67533078" w:rsidR="0093354E" w:rsidRDefault="0093354E" w:rsidP="00C642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D3206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1ED5C8" w14:textId="7D774C2C" w:rsidR="0093354E" w:rsidRDefault="0093354E" w:rsidP="00C642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Pemuatan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Curah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, CPO, dan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turunannya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354E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93354E">
        <w:rPr>
          <w:rFonts w:ascii="Times New Roman" w:hAnsi="Times New Roman" w:cs="Times New Roman"/>
          <w:sz w:val="24"/>
          <w:szCs w:val="24"/>
          <w:lang w:val="en-US"/>
        </w:rPr>
        <w:t xml:space="preserve"> PEB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206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B2395B" w14:textId="5D575C16" w:rsidR="00D32061" w:rsidRDefault="00D32061" w:rsidP="00C642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Pejabat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Bea dan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Cukai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sawit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, CPO, dan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turunannya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7493C7" w14:textId="70B8D4D1" w:rsidR="00D32061" w:rsidRDefault="00D32061" w:rsidP="00C642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PEB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49E71C" w14:textId="77777777" w:rsidR="00D32061" w:rsidRDefault="00D32061" w:rsidP="00D320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PEB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Kantor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dilampiri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berupa:</w:t>
      </w:r>
      <w:proofErr w:type="spellEnd"/>
    </w:p>
    <w:p w14:paraId="20A7BC3B" w14:textId="77777777" w:rsidR="00D32061" w:rsidRDefault="00D32061" w:rsidP="00D32061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061">
        <w:rPr>
          <w:rFonts w:ascii="Times New Roman" w:hAnsi="Times New Roman" w:cs="Times New Roman"/>
          <w:sz w:val="24"/>
          <w:szCs w:val="24"/>
          <w:lang w:val="en-US"/>
        </w:rPr>
        <w:t>invoice;</w:t>
      </w:r>
    </w:p>
    <w:p w14:paraId="2163DD10" w14:textId="77777777" w:rsidR="00D32061" w:rsidRDefault="00D32061" w:rsidP="00D32061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061">
        <w:rPr>
          <w:rFonts w:ascii="Times New Roman" w:hAnsi="Times New Roman" w:cs="Times New Roman"/>
          <w:sz w:val="24"/>
          <w:szCs w:val="24"/>
          <w:lang w:val="en-US"/>
        </w:rPr>
        <w:t>packing list; dan</w:t>
      </w:r>
    </w:p>
    <w:p w14:paraId="102E522E" w14:textId="77777777" w:rsidR="00D32061" w:rsidRDefault="00D32061" w:rsidP="00D32061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711EA23C" w14:textId="77777777" w:rsidR="00D32061" w:rsidRDefault="00D32061" w:rsidP="00D32061">
      <w:pPr>
        <w:pStyle w:val="ListParagraph"/>
        <w:numPr>
          <w:ilvl w:val="0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Direktorat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Bea dan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Cukai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14:paraId="7DC9420B" w14:textId="2C531459" w:rsidR="00D32061" w:rsidRDefault="00D32061" w:rsidP="00D32061">
      <w:pPr>
        <w:pStyle w:val="ListParagraph"/>
        <w:numPr>
          <w:ilvl w:val="0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di Kantor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406557" w14:textId="09D86ACC" w:rsidR="00D32061" w:rsidRDefault="00D32061" w:rsidP="00D320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Pejabat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Pemeriksa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paling lama 14 (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terhitung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06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32061">
        <w:rPr>
          <w:rFonts w:ascii="Times New Roman" w:hAnsi="Times New Roman" w:cs="Times New Roman"/>
          <w:sz w:val="24"/>
          <w:szCs w:val="24"/>
          <w:lang w:val="en-US"/>
        </w:rPr>
        <w:t xml:space="preserve"> PEB.</w:t>
      </w:r>
    </w:p>
    <w:p w14:paraId="4E85D8F8" w14:textId="1A9DDFB6" w:rsidR="00617B1B" w:rsidRDefault="00617B1B" w:rsidP="00D320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Pemuatan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Curah,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Kantor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dilampiri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shipping instruction/shipping order, invoice, dan packing list.</w:t>
      </w:r>
    </w:p>
    <w:p w14:paraId="35BFC8B4" w14:textId="4A85A276" w:rsidR="00617B1B" w:rsidRDefault="00617B1B" w:rsidP="0061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di:</w:t>
      </w:r>
    </w:p>
    <w:p w14:paraId="13A92BA5" w14:textId="77777777" w:rsidR="00617B1B" w:rsidRDefault="00617B1B" w:rsidP="00617B1B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pemuatan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penimbunan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penimbunan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penimbunan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berikat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14:paraId="359C056F" w14:textId="42875F37" w:rsidR="00617B1B" w:rsidRDefault="00617B1B" w:rsidP="00617B1B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B1B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617B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C9340" w14:textId="14BBF058" w:rsidR="00420015" w:rsidRDefault="00420015" w:rsidP="0042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PEB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LHP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9002A73" w14:textId="2778F7C9" w:rsidR="00420015" w:rsidRDefault="00420015" w:rsidP="0042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bea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Pungutan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01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420015">
        <w:rPr>
          <w:rFonts w:ascii="Times New Roman" w:hAnsi="Times New Roman" w:cs="Times New Roman"/>
          <w:sz w:val="24"/>
          <w:szCs w:val="24"/>
          <w:lang w:val="en-US"/>
        </w:rPr>
        <w:t xml:space="preserve"> PEB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229B44" w14:textId="7202C356" w:rsidR="0093354E" w:rsidRDefault="0093354E" w:rsidP="009335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0CB1C0" w14:textId="550C0829" w:rsidR="001A154C" w:rsidRDefault="001A154C" w:rsidP="009335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1FF03" w14:textId="66C0E211" w:rsidR="001A154C" w:rsidRDefault="001A154C" w:rsidP="009335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D8710" w14:textId="6C231EF7" w:rsidR="001A154C" w:rsidRDefault="001A154C" w:rsidP="009335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7E5BD" w14:textId="77777777" w:rsidR="001A154C" w:rsidRDefault="001A154C" w:rsidP="009335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7B547" w14:textId="474660F7" w:rsidR="001A154C" w:rsidRPr="006361DF" w:rsidRDefault="001A154C" w:rsidP="001A15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PERATURAN MENTERI </w:t>
      </w:r>
      <w:r>
        <w:rPr>
          <w:rFonts w:ascii="Times New Roman" w:hAnsi="Times New Roman" w:cs="Times New Roman"/>
          <w:sz w:val="24"/>
          <w:szCs w:val="24"/>
          <w:lang w:val="en-US"/>
        </w:rPr>
        <w:t>PERDAGANGAN</w:t>
      </w:r>
      <w:r w:rsidRPr="006361DF">
        <w:rPr>
          <w:rFonts w:ascii="Times New Roman" w:hAnsi="Times New Roman" w:cs="Times New Roman"/>
          <w:sz w:val="24"/>
          <w:szCs w:val="24"/>
          <w:lang w:val="en-US"/>
        </w:rPr>
        <w:t xml:space="preserve"> REPUBLIK INDONESIA NOMOR </w:t>
      </w:r>
      <w:r>
        <w:rPr>
          <w:rFonts w:ascii="Times New Roman" w:hAnsi="Times New Roman" w:cs="Times New Roman"/>
          <w:sz w:val="24"/>
          <w:szCs w:val="24"/>
          <w:lang w:val="en-US"/>
        </w:rPr>
        <w:t>30 TAHUN 2022 TENTANG KETENTUAN EKSPOR</w:t>
      </w:r>
      <w:r w:rsidRPr="001A154C">
        <w:t xml:space="preserve"> </w:t>
      </w:r>
      <w:r w:rsidRPr="001A154C">
        <w:rPr>
          <w:rFonts w:ascii="Times New Roman" w:hAnsi="Times New Roman" w:cs="Times New Roman"/>
          <w:sz w:val="24"/>
          <w:szCs w:val="24"/>
          <w:lang w:val="en-US"/>
        </w:rPr>
        <w:t>CRUDE PALM OIL (CPO), REFINED, BLEACHED AND DEODORIZED PALM OIL (RBD PALM OIL), REFINED, BLEACHED AND DEODORIZED PALM OLEIN (RBD PALM OLEIN), DAN USED COOKING OIL (UCO)</w:t>
      </w:r>
    </w:p>
    <w:p w14:paraId="6BB2A735" w14:textId="46C7FBE4" w:rsidR="00982282" w:rsidRPr="00882BC6" w:rsidRDefault="00982282" w:rsidP="00882B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Crude Palm Oil (CPO), Refined, Bleached and Deodorized Palm Oil (RBD Palm Oil), Refined, Bleached and Deodorized Palm Olein (RBD Palm Olein), dan Used Cooking Oil (UCO)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PE</w:t>
      </w:r>
      <w:r w:rsidR="00C642E2"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642E2" w:rsidRPr="00882BC6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="00C642E2"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E2" w:rsidRPr="00882BC6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="00C642E2" w:rsidRPr="00882BC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D30CB93" w14:textId="77777777" w:rsidR="00C642E2" w:rsidRDefault="00C642E2" w:rsidP="00882B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C6E8CD7" w14:textId="281DDD76" w:rsidR="00C642E2" w:rsidRDefault="00C642E2" w:rsidP="00C642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negeri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2E2">
        <w:rPr>
          <w:rFonts w:ascii="Times New Roman" w:hAnsi="Times New Roman" w:cs="Times New Roman"/>
          <w:sz w:val="24"/>
          <w:szCs w:val="24"/>
          <w:lang w:val="en-US"/>
        </w:rPr>
        <w:t>(domestic market obligation) Crude Palm Oil (CPO)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negeri (domestic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price obligation)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minyak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goreng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curah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0A9B71F2" w14:textId="77777777" w:rsidR="00136876" w:rsidRDefault="00C642E2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2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642E2">
        <w:rPr>
          <w:rFonts w:ascii="Times New Roman" w:hAnsi="Times New Roman" w:cs="Times New Roman"/>
          <w:sz w:val="24"/>
          <w:szCs w:val="24"/>
          <w:lang w:val="en-US"/>
        </w:rPr>
        <w:t xml:space="preserve"> negeri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(domestic market obligation)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minyak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goreng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curah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negeri (domestic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price obligation)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logistic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eceran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Crude Palm Oil (CPO)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proofErr w:type="gram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negeri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(domestic price obligation)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14:paraId="62819B7D" w14:textId="13753ED0" w:rsidR="00C642E2" w:rsidRDefault="00C642E2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neger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(domestic market obligation)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lain yang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didahului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negeri (domestic market obligation) yang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SINSW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F77EBE" w14:textId="26CDB5A1" w:rsidR="00136876" w:rsidRDefault="00136876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oleh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Menteri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DB436" w14:textId="7DAD38A4" w:rsidR="00136876" w:rsidRDefault="00136876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pabean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62F239" w14:textId="49EE3335" w:rsidR="00136876" w:rsidRDefault="00136876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Menteri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SINSW.</w:t>
      </w:r>
    </w:p>
    <w:p w14:paraId="5F729434" w14:textId="77777777" w:rsidR="00136876" w:rsidRDefault="00136876" w:rsidP="001368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SINSW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pindai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972552" w14:textId="77777777" w:rsidR="00136876" w:rsidRDefault="00136876" w:rsidP="001368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kependudukan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perseorangan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04083" w14:textId="77777777" w:rsidR="00136876" w:rsidRDefault="00136876" w:rsidP="001368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yayasan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570CD1" w14:textId="4C12657E" w:rsidR="00F30B63" w:rsidRDefault="00136876" w:rsidP="00F30B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712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876">
        <w:rPr>
          <w:rFonts w:ascii="Times New Roman" w:hAnsi="Times New Roman" w:cs="Times New Roman"/>
          <w:sz w:val="24"/>
          <w:szCs w:val="24"/>
          <w:lang w:val="en-US"/>
        </w:rPr>
        <w:t xml:space="preserve">dan badan </w:t>
      </w:r>
      <w:proofErr w:type="spellStart"/>
      <w:r w:rsidRPr="0013687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1368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3C3432" w14:textId="2C6D5415" w:rsidR="00EA4391" w:rsidRDefault="00EA4391" w:rsidP="00EA4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881D48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C5D9E9A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pos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/harmonized system; </w:t>
      </w:r>
    </w:p>
    <w:p w14:paraId="1D3FA7B0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A7E7FF9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8CF75BD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8CDE3C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87B029C" w14:textId="77777777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; dan </w:t>
      </w:r>
    </w:p>
    <w:p w14:paraId="78CC6AD0" w14:textId="793F78AD" w:rsidR="00EA4391" w:rsidRDefault="00EA4391" w:rsidP="00EA43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A4391">
        <w:rPr>
          <w:rFonts w:ascii="Times New Roman" w:hAnsi="Times New Roman" w:cs="Times New Roman"/>
          <w:sz w:val="24"/>
          <w:szCs w:val="24"/>
          <w:lang w:val="en-US"/>
        </w:rPr>
        <w:t>anggal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0576E4" w14:textId="63759B8F" w:rsidR="00EA4391" w:rsidRDefault="00882BC6" w:rsidP="00882B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Penerbitan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BC6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882BC6">
        <w:rPr>
          <w:rFonts w:ascii="Times New Roman" w:hAnsi="Times New Roman" w:cs="Times New Roman"/>
          <w:sz w:val="24"/>
          <w:szCs w:val="24"/>
          <w:lang w:val="en-US"/>
        </w:rPr>
        <w:t xml:space="preserve"> 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EA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39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1DD9E95" w14:textId="677BF1BE" w:rsidR="00276819" w:rsidRDefault="00276819" w:rsidP="002768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76819">
        <w:rPr>
          <w:rFonts w:ascii="Times New Roman" w:hAnsi="Times New Roman" w:cs="Times New Roman"/>
          <w:sz w:val="24"/>
          <w:szCs w:val="24"/>
          <w:lang w:val="en-US"/>
        </w:rPr>
        <w:t>umlah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oleh SINSW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kepabeanan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realisasi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</w:p>
    <w:p w14:paraId="18F60734" w14:textId="3CC585E0" w:rsidR="00276819" w:rsidRDefault="00276819" w:rsidP="002768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data pada PE</w:t>
      </w:r>
      <w:r w:rsidRPr="0027681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PE paling lama 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68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terhitung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324433" w14:textId="77777777" w:rsidR="00276819" w:rsidRP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206F1453" w14:textId="7D0C72F3" w:rsidR="00276819" w:rsidRP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pos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/harmonized system; </w:t>
      </w:r>
    </w:p>
    <w:p w14:paraId="606B65AE" w14:textId="57B90BB0" w:rsidR="00276819" w:rsidRP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328A087" w14:textId="18D4A7FA" w:rsidR="00276819" w:rsidRP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8A30621" w14:textId="6388BBE0" w:rsidR="00276819" w:rsidRP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>; dan/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14:paraId="00ADC150" w14:textId="5A026A5E" w:rsidR="00276819" w:rsidRDefault="00276819" w:rsidP="002768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27681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76819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3C60D91" w14:textId="77777777" w:rsidR="00C66CC7" w:rsidRDefault="00C66CC7" w:rsidP="00C66C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Eksportir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PE,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realisasi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terealisasi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terealisasi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6CC7">
        <w:rPr>
          <w:rFonts w:ascii="Times New Roman" w:hAnsi="Times New Roman" w:cs="Times New Roman"/>
          <w:sz w:val="24"/>
          <w:szCs w:val="24"/>
          <w:lang w:val="en-US"/>
        </w:rPr>
        <w:t>Menteri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F7DE3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Barang;</w:t>
      </w:r>
      <w:proofErr w:type="spellEnd"/>
    </w:p>
    <w:p w14:paraId="187A6418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pos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/harmonized system;</w:t>
      </w:r>
    </w:p>
    <w:p w14:paraId="559E77AA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volume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D835B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259299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pelabuhan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muat;</w:t>
      </w:r>
      <w:proofErr w:type="spellEnd"/>
    </w:p>
    <w:p w14:paraId="4E403E2F" w14:textId="77777777" w:rsid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p w14:paraId="48657E97" w14:textId="6CD8A509" w:rsidR="00C66CC7" w:rsidRPr="00C66CC7" w:rsidRDefault="00C66CC7" w:rsidP="00C66CC7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CC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66C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098205" w14:textId="1D81E0BC" w:rsidR="009C26E4" w:rsidRDefault="009C26E4" w:rsidP="009C2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</w:t>
      </w:r>
    </w:p>
    <w:p w14:paraId="1A974146" w14:textId="5EB2282B" w:rsidR="009C26E4" w:rsidRPr="009C26E4" w:rsidRDefault="009C26E4" w:rsidP="009C26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SINSW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Indonesia National Single Window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kepabeanan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kekarantinaan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kepelabuhanan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kebandarudaraan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Ekspor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menjamin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memadukan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internal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26E4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9C2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9889C" w14:textId="77777777" w:rsidR="00F30B63" w:rsidRDefault="00F30B63" w:rsidP="00A93AA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6CA93C" w14:textId="2577A100" w:rsidR="00AA58C4" w:rsidRDefault="00AA58C4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84D53" w14:textId="316B4F35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A6703" w14:textId="7BDED838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9DF8B" w14:textId="0EA1B370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D7E4A" w14:textId="3F92DC56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BA809" w14:textId="400A1E1D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204E5" w14:textId="1CF29C8F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B2939" w14:textId="65393F94" w:rsidR="00893B58" w:rsidRDefault="00893B58" w:rsidP="00A93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93B58" w:rsidSect="009A10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098"/>
    <w:multiLevelType w:val="hybridMultilevel"/>
    <w:tmpl w:val="37F06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B0A"/>
    <w:multiLevelType w:val="hybridMultilevel"/>
    <w:tmpl w:val="34B201E0"/>
    <w:lvl w:ilvl="0" w:tplc="E0D03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75EAC"/>
    <w:multiLevelType w:val="hybridMultilevel"/>
    <w:tmpl w:val="614295F6"/>
    <w:lvl w:ilvl="0" w:tplc="A778464C">
      <w:start w:val="1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45C4"/>
    <w:multiLevelType w:val="hybridMultilevel"/>
    <w:tmpl w:val="389AC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1F92"/>
    <w:multiLevelType w:val="hybridMultilevel"/>
    <w:tmpl w:val="A086C7AA"/>
    <w:lvl w:ilvl="0" w:tplc="A778464C">
      <w:start w:val="13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B66238"/>
    <w:multiLevelType w:val="hybridMultilevel"/>
    <w:tmpl w:val="0F5EE598"/>
    <w:lvl w:ilvl="0" w:tplc="AF2A5B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20666"/>
    <w:multiLevelType w:val="hybridMultilevel"/>
    <w:tmpl w:val="304673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F"/>
    <w:rsid w:val="000E450E"/>
    <w:rsid w:val="000F2EE3"/>
    <w:rsid w:val="001135F4"/>
    <w:rsid w:val="00136876"/>
    <w:rsid w:val="0016233F"/>
    <w:rsid w:val="00196AF1"/>
    <w:rsid w:val="001A154C"/>
    <w:rsid w:val="001A6BA9"/>
    <w:rsid w:val="001D5F8F"/>
    <w:rsid w:val="0020301F"/>
    <w:rsid w:val="002472F6"/>
    <w:rsid w:val="00263CF6"/>
    <w:rsid w:val="00276819"/>
    <w:rsid w:val="0038583E"/>
    <w:rsid w:val="003A62F4"/>
    <w:rsid w:val="003D0B31"/>
    <w:rsid w:val="003F6553"/>
    <w:rsid w:val="004012DA"/>
    <w:rsid w:val="00420015"/>
    <w:rsid w:val="00433E1F"/>
    <w:rsid w:val="00493DFB"/>
    <w:rsid w:val="004A240F"/>
    <w:rsid w:val="00527493"/>
    <w:rsid w:val="00531276"/>
    <w:rsid w:val="005B3205"/>
    <w:rsid w:val="005C4A70"/>
    <w:rsid w:val="00617B1B"/>
    <w:rsid w:val="006361DF"/>
    <w:rsid w:val="00660834"/>
    <w:rsid w:val="007128D6"/>
    <w:rsid w:val="007916C5"/>
    <w:rsid w:val="00832AF3"/>
    <w:rsid w:val="00845509"/>
    <w:rsid w:val="0085374F"/>
    <w:rsid w:val="0088022C"/>
    <w:rsid w:val="00882BC6"/>
    <w:rsid w:val="00893B58"/>
    <w:rsid w:val="008C0651"/>
    <w:rsid w:val="008C52CA"/>
    <w:rsid w:val="0093354E"/>
    <w:rsid w:val="00953EC2"/>
    <w:rsid w:val="00982282"/>
    <w:rsid w:val="009A108C"/>
    <w:rsid w:val="009C26E4"/>
    <w:rsid w:val="00A6756F"/>
    <w:rsid w:val="00A93AA6"/>
    <w:rsid w:val="00AA58C4"/>
    <w:rsid w:val="00B069A9"/>
    <w:rsid w:val="00B16BAE"/>
    <w:rsid w:val="00B17381"/>
    <w:rsid w:val="00BA08AA"/>
    <w:rsid w:val="00C00513"/>
    <w:rsid w:val="00C15703"/>
    <w:rsid w:val="00C6008E"/>
    <w:rsid w:val="00C642E2"/>
    <w:rsid w:val="00C66CC7"/>
    <w:rsid w:val="00C71870"/>
    <w:rsid w:val="00C95E09"/>
    <w:rsid w:val="00CB1EB9"/>
    <w:rsid w:val="00D32061"/>
    <w:rsid w:val="00D50175"/>
    <w:rsid w:val="00DB1EFA"/>
    <w:rsid w:val="00DF6708"/>
    <w:rsid w:val="00E21761"/>
    <w:rsid w:val="00E94608"/>
    <w:rsid w:val="00EA4391"/>
    <w:rsid w:val="00ED1894"/>
    <w:rsid w:val="00EF5277"/>
    <w:rsid w:val="00F30B63"/>
    <w:rsid w:val="00F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9458"/>
  <w15:chartTrackingRefBased/>
  <w15:docId w15:val="{006AF704-0DBC-4D13-A5D4-C598E499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8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pema</dc:creator>
  <cp:keywords/>
  <dc:description/>
  <cp:lastModifiedBy>safira nurdin</cp:lastModifiedBy>
  <cp:revision>55</cp:revision>
  <dcterms:created xsi:type="dcterms:W3CDTF">2024-03-07T02:06:00Z</dcterms:created>
  <dcterms:modified xsi:type="dcterms:W3CDTF">2024-03-12T08:15:00Z</dcterms:modified>
</cp:coreProperties>
</file>