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CO3- AT2 - Design Task -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Advance Wireless Communication Systems /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5G / 6G Communication Systems</w:t>
        <w:tab/>
        <w:tab/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ECA56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CO: 3 -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Design spectrum access strategies, waveform generation methods, and multiple access techniques for efficient wireless transmission systems. </w:t>
      </w:r>
      <w:r w:rsidDel="00000000" w:rsidR="00000000" w:rsidRPr="00000000">
        <w:rPr>
          <w:sz w:val="24"/>
          <w:szCs w:val="24"/>
          <w:rtl w:val="0"/>
        </w:rPr>
        <w:t xml:space="preserve">(BL6)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35%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description about assessment: Students design a system / model based on given requirements to assess creativity and application skills.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Dr.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 1 (1 X 100 = 100)</w:t>
        <w:tab/>
        <w:tab/>
        <w:t xml:space="preserve">Total Marks: 100 Duration: 3hrs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system architecture for Multi-access Edge Computing to reduce latency in smart traffic applications. (BL6)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cloud-edge communication model for wireless healthcare monitoring. (BL6)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functional architecture for real-time edge data processing in industrial automation. (BL6)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cloud-based wireless framework for smart surveillance systems. (BL6)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edge AI workflow for intelligent wireless data filtering. (BL6)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task offloading strategy between edge and cloud in 5G applications. (BL6)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low-latency communication architecture for edge-assisted smart city services. (BL6)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scalable edge-cloud framework for wireless sensor networks. (BL6)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Cloud Radio Access Network model for dense urban deployment. (BL6)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functional split model between centralized and distributed radio units. (BL6)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virtualized wireless access framework for next-generation communication. (BL6)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data flow model for cloud-based radio resource allocation. (BL6)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centralized traffic control model using Cloud RAN principles. (BL6)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network management architecture for cloud-assisted wireless systems. (BL6)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wireless service framework integrating virtual network functions. (BL6)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an optimized fronthaul communication model. (BL6)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satellite-assisted communication model using Low Earth Orbit satellite for remote wireless coverage. (BL6)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comparative architecture for LEO, MEO, and GEO backhaul systems. (BL6)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spectrum sharing model between LTE and 5G users. (BL6)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frequency allocation strategy for mixed wireless services. (BL6)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dynamic spectrum access framework for urban wireless systems. (BL6)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communication architecture combining terrestrial and satellite networks. (BL6)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spectrum efficiency improvement model for dense communication zones. (BL6)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channel reuse plan for multi-user wireless communication. (BL6)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NB-IoT architecture for smart utility monitoring. (BL6)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LTE-M communication workflow for wearable monitoring systems. (BL6)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low-power communication model for battery-operated IoT devices. (BL6)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device communication plan for long-life sensor networks. (BL6)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5G-enabled IoT framework for campus automation. (BL6)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energy-efficient wireless communication strategy for sensor nodes. (BL6)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 IoT communication flow for periodic environmental sensing. (BL6)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scalable wireless architecture for smart connected devices. (BL6)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smart city communication framework for traffic monitoring and surveillance. (BL6)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energy monitoring communication model for public infrastructure. (BL6)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smart factory information flow for predictive maintenance. (BL6)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robotic automation communication framework for industrial control. (BL6)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remote patient monitoring communication architecture. (BL6)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wireless communication workflow for AI-assisted healthcare diagnosis. (BL6)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smart irrigation communication model for crop monitoring. (BL6)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 a livestock tracking communication architecture using wireless sensors. (BL6)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i w:val="1"/>
          <w:iCs w:val="1"/>
          <w:sz w:val="24"/>
          <w:szCs w:val="24"/>
        </w:rPr>
      </w:pPr>
      <w:bookmarkStart w:colFirst="0" w:colLast="0" w:name="_7qr48wckddph" w:id="0"/>
      <w:bookmarkEnd w:id="0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B.NANI GANGA PRASAD(1924212398)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Layout w:type="fixed"/>
        <w:tblLook w:val="0000"/>
      </w:tblPr>
      <w:tblGrid>
        <w:gridCol w:w="1555"/>
        <w:gridCol w:w="1228"/>
        <w:gridCol w:w="1611"/>
        <w:gridCol w:w="1611"/>
        <w:gridCol w:w="1733"/>
        <w:gridCol w:w="1471"/>
        <w:tblGridChange w:id="0">
          <w:tblGrid>
            <w:gridCol w:w="1555"/>
            <w:gridCol w:w="1228"/>
            <w:gridCol w:w="1611"/>
            <w:gridCol w:w="1611"/>
            <w:gridCol w:w="1733"/>
            <w:gridCol w:w="147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Design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ffff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Understanding of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deep understanding of design objectives, constraints, and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understanding; misses key aspects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understanding of the design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Evaluation of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in-depth critique identifying strengths, weaknesses, and design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key issues with reasonable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critique; mostly descriptive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meaningful critique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Supports critique with strong reasoning, evidence, and relevant principles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justification with some supporting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Weak or unclear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justification for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Suggestions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Offers innovative, practical, and well-justified improvement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useful suggestions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Suggestions are limited or partially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constructive suggestions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feedback clearly, professionally, and engages actively in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well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 lacks clarity or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 communication and minimal participation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clc;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clear;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Real-Time Edge Data Processing in Industrial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Number of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N = 5;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Generate sensor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Temperature = [65 72 80 85 90];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Pressure = [40 45 50 55 60];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Vibration = [2.1 2.5 3.0 4.2 5.5];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Edge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Temp_Threshold = 80;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Pressure_Threshold = 55;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Vibration_Threshold = 4;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Process sensor data at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Temp_Alert = Temperature &gt; Temp_Threshold;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Pressure_Alert = Pressure &gt; Pressure_Threshold;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Vibration_Alert = Vibration &gt; Vibration_Threshold;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Display processed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'Industrial Edge Processing Results'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'-----------------------------------'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'Temperature Data:'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disp(Temperature);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'Pressure Data:'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disp(Pressure);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'Vibration Data:'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disp(Vibration);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Display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'Temperature Alerts (1 = Fault):'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disp(Temp_Alert);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'Pressure Alerts (1 = Fault):'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disp(Pressure_Alert);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'Vibration Alerts (1 = Fault):'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disp(Vibration_Alert);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Overall machine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Machine_Fault = Temp_Alert | Pressure_Alert | Vibration_Alert;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'Machine Status (1 = Fault, 0 = Normal):'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disp(Machine_Fault);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-------- Graph 1: Temperature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figure;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subplot(3,1,1);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plot(1:N, Temperature,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'LineWidth'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2);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yline(Temp_Threshold,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'Edge Processing - Temperature'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'Sensor'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'Temperature'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-------- Graph 2: Pressure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subplot(3,1,2);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plot(1:N, Pressure,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'LineWidth'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2);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yline(Pressure_Threshold,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'Edge Processing - Pressure'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'Sensor'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'Pressure'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8013"/>
          <w:sz w:val="20"/>
          <w:szCs w:val="20"/>
          <w:rtl w:val="0"/>
        </w:rPr>
        <w:t xml:space="preserve">% -------- Graph 3: Vibration 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subplot(3,1,3);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plot(1:N, Vibration,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'LineWidth'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, 2);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hold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yline(Vibration_Threshold,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'--'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'Edge Processing - Vibration'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'Sensor'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ylabel(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'Vibration'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left"/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grid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a709f5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730875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