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CA994" w14:textId="55B38507" w:rsidR="001E2B14" w:rsidRPr="001E2B14" w:rsidRDefault="001E2B14" w:rsidP="001E2B14">
      <w:pPr>
        <w:pStyle w:val="Heading2"/>
      </w:pPr>
      <w:r w:rsidRPr="001E2B14">
        <w:t xml:space="preserve">The </w:t>
      </w:r>
      <w:r>
        <w:t>e</w:t>
      </w:r>
      <w:r w:rsidRPr="001E2B14">
        <w:t>lectric</w:t>
      </w:r>
      <w:r>
        <w:t xml:space="preserve"> v</w:t>
      </w:r>
      <w:r w:rsidRPr="001E2B14">
        <w:t xml:space="preserve">ehicle </w:t>
      </w:r>
      <w:r>
        <w:t>p</w:t>
      </w:r>
      <w:r w:rsidRPr="001E2B14">
        <w:t xml:space="preserve">aradox: </w:t>
      </w:r>
      <w:r>
        <w:t>when clean driving turns virtually dirty</w:t>
      </w:r>
    </w:p>
    <w:p w14:paraId="2AD273A6" w14:textId="77777777" w:rsidR="001E2B14" w:rsidRPr="001E2B14" w:rsidRDefault="001E2B14" w:rsidP="001E2B14">
      <w:r w:rsidRPr="001E2B14">
        <w:t xml:space="preserve">Norway’s road-transport transition is widely celebrated as the cleanest in the world. More than 80 % of new cars sold in 2024 were fully electric, and the national electricity mix is almost entirely hydropower. On paper, Norwegian drivers emit close to zero. Yet inside the European market for </w:t>
      </w:r>
      <w:r w:rsidRPr="001E2B14">
        <w:rPr>
          <w:i/>
          <w:iCs/>
        </w:rPr>
        <w:t>Guarantees of Origin</w:t>
      </w:r>
      <w:r w:rsidRPr="001E2B14">
        <w:t xml:space="preserve"> (</w:t>
      </w:r>
      <w:proofErr w:type="gramStart"/>
      <w:r w:rsidRPr="001E2B14">
        <w:t>GOs) —</w:t>
      </w:r>
      <w:proofErr w:type="gramEnd"/>
      <w:r w:rsidRPr="001E2B14">
        <w:t xml:space="preserve"> the electronic certificates that assign renewable attributes to electricity — the same vehicles appear to run on some of Europe’s dirtiest power.</w:t>
      </w:r>
    </w:p>
    <w:p w14:paraId="66AB7BD2" w14:textId="77777777" w:rsidR="001E2B14" w:rsidRPr="001E2B14" w:rsidRDefault="001E2B14" w:rsidP="001E2B14">
      <w:pPr>
        <w:rPr>
          <w:b/>
          <w:bCs/>
        </w:rPr>
      </w:pPr>
      <w:r w:rsidRPr="001E2B14">
        <w:rPr>
          <w:b/>
          <w:bCs/>
        </w:rPr>
        <w:t xml:space="preserve">A split between </w:t>
      </w:r>
      <w:proofErr w:type="gramStart"/>
      <w:r w:rsidRPr="001E2B14">
        <w:rPr>
          <w:b/>
          <w:bCs/>
        </w:rPr>
        <w:t>the physical</w:t>
      </w:r>
      <w:proofErr w:type="gramEnd"/>
      <w:r w:rsidRPr="001E2B14">
        <w:rPr>
          <w:b/>
          <w:bCs/>
        </w:rPr>
        <w:t xml:space="preserve"> and </w:t>
      </w:r>
      <w:proofErr w:type="gramStart"/>
      <w:r w:rsidRPr="001E2B14">
        <w:rPr>
          <w:b/>
          <w:bCs/>
        </w:rPr>
        <w:t>the virtual</w:t>
      </w:r>
      <w:proofErr w:type="gramEnd"/>
    </w:p>
    <w:p w14:paraId="5BBA234B" w14:textId="77777777" w:rsidR="001E2B14" w:rsidRPr="001E2B14" w:rsidRDefault="001E2B14" w:rsidP="001E2B14">
      <w:r w:rsidRPr="001E2B14">
        <w:t xml:space="preserve">Each kilowatt-hour of renewable electricity generated in Norway produces two products: a </w:t>
      </w:r>
      <w:r w:rsidRPr="001E2B14">
        <w:rPr>
          <w:b/>
          <w:bCs/>
        </w:rPr>
        <w:t>physical flow of electrons</w:t>
      </w:r>
      <w:r w:rsidRPr="001E2B14">
        <w:t xml:space="preserve"> and a </w:t>
      </w:r>
      <w:r w:rsidRPr="001E2B14">
        <w:rPr>
          <w:b/>
          <w:bCs/>
        </w:rPr>
        <w:t>virtual certificate</w:t>
      </w:r>
      <w:r w:rsidRPr="001E2B14">
        <w:t xml:space="preserve"> that represents its renewable identity. When GOs are exported to consumers in other countries, the receiving electricity becomes </w:t>
      </w:r>
      <w:r w:rsidRPr="001E2B14">
        <w:rPr>
          <w:i/>
          <w:iCs/>
        </w:rPr>
        <w:t>virtually green</w:t>
      </w:r>
      <w:r w:rsidRPr="001E2B14">
        <w:t xml:space="preserve"> while Norway’s residual electricity mix becomes </w:t>
      </w:r>
      <w:r w:rsidRPr="001E2B14">
        <w:rPr>
          <w:i/>
          <w:iCs/>
        </w:rPr>
        <w:t>virtually grey</w:t>
      </w:r>
      <w:r w:rsidRPr="001E2B14">
        <w:t>. In 2023, more than 90 % of Norwegian GOs were sold abroad. The outcome is a mirror image: the physical system remains clean, but the virtual accounting system shows Norwegian electricity with a carbon intensity above the EU average.</w:t>
      </w:r>
    </w:p>
    <w:p w14:paraId="0EE8E5B1" w14:textId="0CEDC8C3" w:rsidR="001E2B14" w:rsidRPr="001E2B14" w:rsidRDefault="001E2B14" w:rsidP="001E2B14">
      <w:r w:rsidRPr="001E2B14">
        <w:t xml:space="preserve">Because electric-vehicle life-cycle assessments and national climate inventories often rely on territorial or residual emission factors, the exported certificates distort reported performance. </w:t>
      </w:r>
      <w:r w:rsidR="00093524">
        <w:t>Operation of the</w:t>
      </w:r>
      <w:r w:rsidRPr="001E2B14">
        <w:t xml:space="preserve"> same battery-electric car may be counted as nearly zero-carbon in one dataset and high-carbon in another</w:t>
      </w:r>
      <w:r w:rsidR="00093524">
        <w:t>,</w:t>
      </w:r>
      <w:r w:rsidRPr="001E2B14">
        <w:t xml:space="preserve"> not because the car or the power plant changed, but because the environmental identity of the electricity was traded away.</w:t>
      </w:r>
    </w:p>
    <w:p w14:paraId="17C06AEE" w14:textId="77777777" w:rsidR="001E2B14" w:rsidRPr="001E2B14" w:rsidRDefault="001E2B14" w:rsidP="001E2B14">
      <w:pPr>
        <w:rPr>
          <w:b/>
          <w:bCs/>
        </w:rPr>
      </w:pPr>
      <w:r w:rsidRPr="001E2B14">
        <w:rPr>
          <w:b/>
          <w:bCs/>
        </w:rPr>
        <w:t>A policy blind spot</w:t>
      </w:r>
    </w:p>
    <w:p w14:paraId="4BD2E5B5" w14:textId="77777777" w:rsidR="001E2B14" w:rsidRPr="001E2B14" w:rsidRDefault="001E2B14" w:rsidP="001E2B14">
      <w:r w:rsidRPr="001E2B14">
        <w:t xml:space="preserve">The GO system was designed to stimulate renewable investment through consumer choice, not to support national climate metrics. But when certificate trading scales faster than physical decarbonization, a </w:t>
      </w:r>
      <w:r w:rsidRPr="001E2B14">
        <w:rPr>
          <w:i/>
          <w:iCs/>
        </w:rPr>
        <w:t>virtual market</w:t>
      </w:r>
      <w:r w:rsidRPr="001E2B14">
        <w:t xml:space="preserve"> for environmental claims emerges. In this market, the availability of “green identities” becomes finite, creating what can be called a form of </w:t>
      </w:r>
      <w:r w:rsidRPr="001E2B14">
        <w:rPr>
          <w:i/>
          <w:iCs/>
        </w:rPr>
        <w:t>virtual co-production</w:t>
      </w:r>
      <w:r w:rsidRPr="001E2B14">
        <w:t>: every renewable certificate necessarily generates a complementary “grey” by-product. The more renewable identity is exported, the more carbon-intensive the residual mix becomes.</w:t>
      </w:r>
    </w:p>
    <w:p w14:paraId="74C321E6" w14:textId="77777777" w:rsidR="001E2B14" w:rsidRPr="001E2B14" w:rsidRDefault="001E2B14" w:rsidP="001E2B14">
      <w:r w:rsidRPr="001E2B14">
        <w:t>For a small, hydro-based system like Norway’s, this imbalance is stark. Domestic consumers who do not buy certificates are assigned a residual mix that may exceed 600 g CO₂/kWh, while their physical electricity contains almost none. This virtual-physical mismatch affects not only household footprints but also corporate disclosure under the Greenhouse Gas Protocol, public tenders, and the accounting of electric-mobility benefits.</w:t>
      </w:r>
    </w:p>
    <w:p w14:paraId="7CF869E4" w14:textId="77777777" w:rsidR="001E2B14" w:rsidRPr="001E2B14" w:rsidRDefault="001E2B14" w:rsidP="001E2B14">
      <w:pPr>
        <w:rPr>
          <w:b/>
          <w:bCs/>
        </w:rPr>
      </w:pPr>
      <w:r w:rsidRPr="001E2B14">
        <w:rPr>
          <w:b/>
          <w:bCs/>
        </w:rPr>
        <w:lastRenderedPageBreak/>
        <w:t>Consequences for credible decarbonization</w:t>
      </w:r>
    </w:p>
    <w:p w14:paraId="61033B0C" w14:textId="77777777" w:rsidR="001E2B14" w:rsidRPr="001E2B14" w:rsidRDefault="001E2B14" w:rsidP="001E2B14">
      <w:r w:rsidRPr="001E2B14">
        <w:t xml:space="preserve">At first glance, such double accounting appears harmless — a bookkeeping artefact. In practice, it shifts incentives. </w:t>
      </w:r>
      <w:proofErr w:type="gramStart"/>
      <w:r w:rsidRPr="001E2B14">
        <w:t>As long as</w:t>
      </w:r>
      <w:proofErr w:type="gramEnd"/>
      <w:r w:rsidRPr="001E2B14">
        <w:t xml:space="preserve"> renewable attributes can be detached and sold, local actors can claim progress without necessarily changing the physical system. The paradox becomes self-reinforcing: exporting green certificates raises domestic residual emissions, which then </w:t>
      </w:r>
      <w:proofErr w:type="gramStart"/>
      <w:r w:rsidRPr="001E2B14">
        <w:t>make</w:t>
      </w:r>
      <w:proofErr w:type="gramEnd"/>
      <w:r w:rsidRPr="001E2B14">
        <w:t xml:space="preserve"> further electrification appear less effective.</w:t>
      </w:r>
    </w:p>
    <w:p w14:paraId="53FD38DD" w14:textId="73FAAFB5" w:rsidR="001E2B14" w:rsidRPr="001E2B14" w:rsidRDefault="001E2B14" w:rsidP="001E2B14">
      <w:r w:rsidRPr="001E2B14">
        <w:t>This distortion can also spread internationally. When</w:t>
      </w:r>
      <w:r>
        <w:t xml:space="preserve"> organizations across</w:t>
      </w:r>
      <w:r w:rsidRPr="001E2B14">
        <w:t xml:space="preserve"> multiple countries rely on imported GOs to green their statistics, the same hydropower megawatt-hour can appear to decarbonize several systems simultaneously — a case of </w:t>
      </w:r>
      <w:r w:rsidRPr="001E2B14">
        <w:rPr>
          <w:i/>
          <w:iCs/>
        </w:rPr>
        <w:t>virtual double counting</w:t>
      </w:r>
      <w:r w:rsidRPr="001E2B14">
        <w:t xml:space="preserve">. The cumulative effect is a growing gap between what energy systems </w:t>
      </w:r>
      <w:r w:rsidRPr="001E2B14">
        <w:rPr>
          <w:b/>
          <w:bCs/>
        </w:rPr>
        <w:t>are</w:t>
      </w:r>
      <w:r w:rsidRPr="001E2B14">
        <w:t xml:space="preserve"> and what they </w:t>
      </w:r>
      <w:r w:rsidRPr="001E2B14">
        <w:rPr>
          <w:b/>
          <w:bCs/>
        </w:rPr>
        <w:t>claim to be</w:t>
      </w:r>
      <w:r w:rsidRPr="001E2B14">
        <w:t>.</w:t>
      </w:r>
    </w:p>
    <w:p w14:paraId="347B59A4" w14:textId="77777777" w:rsidR="001E2B14" w:rsidRPr="001E2B14" w:rsidRDefault="001E2B14" w:rsidP="001E2B14">
      <w:pPr>
        <w:rPr>
          <w:b/>
          <w:bCs/>
        </w:rPr>
      </w:pPr>
      <w:r w:rsidRPr="001E2B14">
        <w:rPr>
          <w:b/>
          <w:bCs/>
        </w:rPr>
        <w:t>Fixing the informational thermostat</w:t>
      </w:r>
    </w:p>
    <w:p w14:paraId="7B2ABCDF" w14:textId="77777777" w:rsidR="001E2B14" w:rsidRPr="001E2B14" w:rsidRDefault="001E2B14" w:rsidP="001E2B14">
      <w:r w:rsidRPr="001E2B14">
        <w:t xml:space="preserve">The GO market operates as an </w:t>
      </w:r>
      <w:r w:rsidRPr="001E2B14">
        <w:rPr>
          <w:i/>
          <w:iCs/>
        </w:rPr>
        <w:t>administrative thermostat</w:t>
      </w:r>
      <w:r w:rsidRPr="001E2B14">
        <w:t>: regulators adjust the visibility of renewable electricity without directly influencing physical generation. In moderate use, this flexibility aids transparency. In excess, it decouples climate narratives from reality. Several policy responses could restore balance:</w:t>
      </w:r>
    </w:p>
    <w:p w14:paraId="319C9E1D" w14:textId="77777777" w:rsidR="001E2B14" w:rsidRPr="001E2B14" w:rsidRDefault="001E2B14" w:rsidP="001E2B14">
      <w:pPr>
        <w:numPr>
          <w:ilvl w:val="0"/>
          <w:numId w:val="1"/>
        </w:numPr>
      </w:pPr>
      <w:r w:rsidRPr="001E2B14">
        <w:rPr>
          <w:b/>
          <w:bCs/>
        </w:rPr>
        <w:t>Dual reporting.</w:t>
      </w:r>
      <w:r w:rsidRPr="001E2B14">
        <w:t xml:space="preserve"> Require parallel disclosure of both physical and certificate-adjusted emission factors in corporate and policy assessments.</w:t>
      </w:r>
    </w:p>
    <w:p w14:paraId="606A95FA" w14:textId="77777777" w:rsidR="001E2B14" w:rsidRPr="001E2B14" w:rsidRDefault="001E2B14" w:rsidP="001E2B14">
      <w:pPr>
        <w:numPr>
          <w:ilvl w:val="0"/>
          <w:numId w:val="1"/>
        </w:numPr>
      </w:pPr>
      <w:r w:rsidRPr="001E2B14">
        <w:rPr>
          <w:b/>
          <w:bCs/>
        </w:rPr>
        <w:t>Certificate retirement for domestic targets.</w:t>
      </w:r>
      <w:r w:rsidRPr="001E2B14">
        <w:t xml:space="preserve"> Exported GOs should not count toward national decarbonization achievements unless retired within the country.</w:t>
      </w:r>
    </w:p>
    <w:p w14:paraId="740870AF" w14:textId="77777777" w:rsidR="001E2B14" w:rsidRPr="001E2B14" w:rsidRDefault="001E2B14" w:rsidP="001E2B14">
      <w:pPr>
        <w:numPr>
          <w:ilvl w:val="0"/>
          <w:numId w:val="1"/>
        </w:numPr>
      </w:pPr>
      <w:r w:rsidRPr="001E2B14">
        <w:rPr>
          <w:b/>
          <w:bCs/>
        </w:rPr>
        <w:t>Temporal alignment.</w:t>
      </w:r>
      <w:r w:rsidRPr="001E2B14">
        <w:t xml:space="preserve"> Match certificate validity with real-time electricity demand to prevent seasonal or yearly mismatches.</w:t>
      </w:r>
    </w:p>
    <w:p w14:paraId="02D7D3C0" w14:textId="77777777" w:rsidR="001E2B14" w:rsidRPr="001E2B14" w:rsidRDefault="001E2B14" w:rsidP="001E2B14">
      <w:pPr>
        <w:numPr>
          <w:ilvl w:val="0"/>
          <w:numId w:val="1"/>
        </w:numPr>
      </w:pPr>
      <w:r w:rsidRPr="001E2B14">
        <w:rPr>
          <w:b/>
          <w:bCs/>
        </w:rPr>
        <w:t>Extended verification.</w:t>
      </w:r>
      <w:r w:rsidRPr="001E2B14">
        <w:t xml:space="preserve"> Apply similar transparency rules as carbon-offset markets — including registries, provenance checks, and disclosure of residual impacts.</w:t>
      </w:r>
    </w:p>
    <w:p w14:paraId="2CE32F10" w14:textId="77777777" w:rsidR="001E2B14" w:rsidRPr="001E2B14" w:rsidRDefault="001E2B14" w:rsidP="001E2B14">
      <w:r w:rsidRPr="001E2B14">
        <w:t>These measures would not eliminate virtual trading but would make its implications visible and comparable.</w:t>
      </w:r>
    </w:p>
    <w:p w14:paraId="22914924" w14:textId="77777777" w:rsidR="001E2B14" w:rsidRPr="001E2B14" w:rsidRDefault="001E2B14" w:rsidP="001E2B14">
      <w:pPr>
        <w:rPr>
          <w:b/>
          <w:bCs/>
        </w:rPr>
      </w:pPr>
      <w:r w:rsidRPr="001E2B14">
        <w:rPr>
          <w:b/>
          <w:bCs/>
        </w:rPr>
        <w:t>Lessons for future virtual markets</w:t>
      </w:r>
    </w:p>
    <w:p w14:paraId="3AAFA9C5" w14:textId="77777777" w:rsidR="001E2B14" w:rsidRPr="001E2B14" w:rsidRDefault="001E2B14" w:rsidP="001E2B14">
      <w:r w:rsidRPr="001E2B14">
        <w:t>The GO mechanism is no longer unique. Similar “virtual co-production” logics now govern markets for low-carbon hydrogen, sustainable fuels, and carbon-capture certificates. In each case, a physical process produces both a tangible output and a tradable environmental identity. If left unregulated, these systems risk repeating the electric-vehicle paradox on a larger scale.</w:t>
      </w:r>
    </w:p>
    <w:p w14:paraId="0010AD2F" w14:textId="77777777" w:rsidR="001E2B14" w:rsidRPr="001E2B14" w:rsidRDefault="001E2B14" w:rsidP="001E2B14">
      <w:r w:rsidRPr="001E2B14">
        <w:lastRenderedPageBreak/>
        <w:t>Recognizing this pattern early is crucial. Virtual instruments can accelerate decarbonization only if they preserve a traceable connection to the physical transformations they are meant to reward. Otherwise, clean transitions risk occurring mostly on paper.</w:t>
      </w:r>
    </w:p>
    <w:p w14:paraId="1AD0838C" w14:textId="77777777" w:rsidR="001E2B14" w:rsidRPr="001E2B14" w:rsidRDefault="001E2B14" w:rsidP="001E2B14">
      <w:pPr>
        <w:rPr>
          <w:b/>
          <w:bCs/>
        </w:rPr>
      </w:pPr>
      <w:r w:rsidRPr="001E2B14">
        <w:rPr>
          <w:b/>
          <w:bCs/>
        </w:rPr>
        <w:t>Outlook</w:t>
      </w:r>
    </w:p>
    <w:p w14:paraId="4C53506D" w14:textId="77777777" w:rsidR="001E2B14" w:rsidRPr="001E2B14" w:rsidRDefault="001E2B14" w:rsidP="001E2B14">
      <w:r w:rsidRPr="001E2B14">
        <w:t xml:space="preserve">Norway’s experience offers a warning to all countries pursuing electrification through attribute trading. The climate benefit of an electric vehicle depends not only on the grid it charges from but on </w:t>
      </w:r>
      <w:r w:rsidRPr="001E2B14">
        <w:rPr>
          <w:i/>
          <w:iCs/>
        </w:rPr>
        <w:t>how that grid is represented</w:t>
      </w:r>
      <w:r w:rsidRPr="001E2B14">
        <w:t>. Transparent coordination between physical and virtual energy systems is therefore essential to sustain both market confidence and public trust.</w:t>
      </w:r>
    </w:p>
    <w:p w14:paraId="33414069" w14:textId="77777777" w:rsidR="001E2B14" w:rsidRPr="001E2B14" w:rsidRDefault="001E2B14" w:rsidP="001E2B14">
      <w:r w:rsidRPr="001E2B14">
        <w:t>The paradox of clean cars running on “dirty” virtual power may seem technical, but it cuts to the heart of contemporary climate governance: when environmental performance is defined as much by accounting as by engineering, credibility itself becomes a scarce resource.</w:t>
      </w:r>
    </w:p>
    <w:p w14:paraId="7B97676C" w14:textId="77777777" w:rsidR="00D7443A" w:rsidRDefault="00D7443A"/>
    <w:sectPr w:rsidR="00D744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77D96"/>
    <w:multiLevelType w:val="multilevel"/>
    <w:tmpl w:val="6B482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0831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B14"/>
    <w:rsid w:val="00093524"/>
    <w:rsid w:val="000D2E85"/>
    <w:rsid w:val="001E2B14"/>
    <w:rsid w:val="0026727C"/>
    <w:rsid w:val="006B032D"/>
    <w:rsid w:val="009E37AB"/>
    <w:rsid w:val="00D74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6EFDD"/>
  <w15:chartTrackingRefBased/>
  <w15:docId w15:val="{FD14D5C5-B654-4F59-A1DD-4D690670D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B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2B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B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B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B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B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2B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B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B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B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B14"/>
    <w:rPr>
      <w:rFonts w:eastAsiaTheme="majorEastAsia" w:cstheme="majorBidi"/>
      <w:color w:val="272727" w:themeColor="text1" w:themeTint="D8"/>
    </w:rPr>
  </w:style>
  <w:style w:type="paragraph" w:styleId="Title">
    <w:name w:val="Title"/>
    <w:basedOn w:val="Normal"/>
    <w:next w:val="Normal"/>
    <w:link w:val="TitleChar"/>
    <w:uiPriority w:val="10"/>
    <w:qFormat/>
    <w:rsid w:val="001E2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B14"/>
    <w:pPr>
      <w:spacing w:before="160"/>
      <w:jc w:val="center"/>
    </w:pPr>
    <w:rPr>
      <w:i/>
      <w:iCs/>
      <w:color w:val="404040" w:themeColor="text1" w:themeTint="BF"/>
    </w:rPr>
  </w:style>
  <w:style w:type="character" w:customStyle="1" w:styleId="QuoteChar">
    <w:name w:val="Quote Char"/>
    <w:basedOn w:val="DefaultParagraphFont"/>
    <w:link w:val="Quote"/>
    <w:uiPriority w:val="29"/>
    <w:rsid w:val="001E2B14"/>
    <w:rPr>
      <w:i/>
      <w:iCs/>
      <w:color w:val="404040" w:themeColor="text1" w:themeTint="BF"/>
    </w:rPr>
  </w:style>
  <w:style w:type="paragraph" w:styleId="ListParagraph">
    <w:name w:val="List Paragraph"/>
    <w:basedOn w:val="Normal"/>
    <w:uiPriority w:val="34"/>
    <w:qFormat/>
    <w:rsid w:val="001E2B14"/>
    <w:pPr>
      <w:ind w:left="720"/>
      <w:contextualSpacing/>
    </w:pPr>
  </w:style>
  <w:style w:type="character" w:styleId="IntenseEmphasis">
    <w:name w:val="Intense Emphasis"/>
    <w:basedOn w:val="DefaultParagraphFont"/>
    <w:uiPriority w:val="21"/>
    <w:qFormat/>
    <w:rsid w:val="001E2B14"/>
    <w:rPr>
      <w:i/>
      <w:iCs/>
      <w:color w:val="0F4761" w:themeColor="accent1" w:themeShade="BF"/>
    </w:rPr>
  </w:style>
  <w:style w:type="paragraph" w:styleId="IntenseQuote">
    <w:name w:val="Intense Quote"/>
    <w:basedOn w:val="Normal"/>
    <w:next w:val="Normal"/>
    <w:link w:val="IntenseQuoteChar"/>
    <w:uiPriority w:val="30"/>
    <w:qFormat/>
    <w:rsid w:val="001E2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B14"/>
    <w:rPr>
      <w:i/>
      <w:iCs/>
      <w:color w:val="0F4761" w:themeColor="accent1" w:themeShade="BF"/>
    </w:rPr>
  </w:style>
  <w:style w:type="character" w:styleId="IntenseReference">
    <w:name w:val="Intense Reference"/>
    <w:basedOn w:val="DefaultParagraphFont"/>
    <w:uiPriority w:val="32"/>
    <w:qFormat/>
    <w:rsid w:val="001E2B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236548">
      <w:bodyDiv w:val="1"/>
      <w:marLeft w:val="0"/>
      <w:marRight w:val="0"/>
      <w:marTop w:val="0"/>
      <w:marBottom w:val="0"/>
      <w:divBdr>
        <w:top w:val="none" w:sz="0" w:space="0" w:color="auto"/>
        <w:left w:val="none" w:sz="0" w:space="0" w:color="auto"/>
        <w:bottom w:val="none" w:sz="0" w:space="0" w:color="auto"/>
        <w:right w:val="none" w:sz="0" w:space="0" w:color="auto"/>
      </w:divBdr>
    </w:div>
    <w:div w:id="1713846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868</Words>
  <Characters>4953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Sandstad Næss</dc:creator>
  <cp:keywords/>
  <dc:description/>
  <cp:lastModifiedBy>Jan Sandstad Næss</cp:lastModifiedBy>
  <cp:revision>1</cp:revision>
  <dcterms:created xsi:type="dcterms:W3CDTF">2025-11-10T13:28:00Z</dcterms:created>
  <dcterms:modified xsi:type="dcterms:W3CDTF">2025-11-13T22:13:00Z</dcterms:modified>
</cp:coreProperties>
</file>