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before="0"/>
      </w:pPr>
      <w:r>
        <w:rPr>
          <w:rFonts w:ascii="Calibri" w:hAnsi="Calibri"/>
          <w:b/>
          <w:color w:val="1F3864"/>
          <w:sz w:val="32"/>
        </w:rPr>
        <w:t>Supplementary Table S1 Search Strategy for the Bibliometric Corpus</w:t>
      </w:r>
    </w:p>
    <w:p>
      <w:pPr>
        <w:spacing w:after="240"/>
      </w:pPr>
      <w:r>
        <w:rPr>
          <w:rFonts w:ascii="Calibri" w:hAnsi="Calibri"/>
          <w:b w:val="0"/>
          <w:color w:val="000000"/>
          <w:sz w:val="21"/>
        </w:rPr>
        <w:t>Purpose: This supplementary documents the search strategy used to build the bibliometric corpus of gut microbiota research in cancer therapy resistance from the Web of Science Core Collection (WoSCC) and Scopus, together with the rationale for the revised strategy. The search was limited to English-language articles and reviews published between 2016 and 2025 (retrieved on [insert retrieval date]).</w:t>
      </w:r>
    </w:p>
    <w:p>
      <w:pPr>
        <w:spacing w:before="240" w:after="120"/>
      </w:pPr>
      <w:r>
        <w:rPr>
          <w:rFonts w:ascii="Calibri" w:hAnsi="Calibri"/>
          <w:b/>
          <w:color w:val="1F3864"/>
          <w:sz w:val="25"/>
        </w:rPr>
        <w:t>1. Database Search Strategies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rPr>
          <w:tblHeader w:val="true"/>
        </w:trPr>
        <w:tc>
          <w:tcPr>
            <w:tcW w:type="dxa" w:w="1800"/>
            <w:shd w:val="clear" w:color="auto" w:fill="1F3864"/>
            <w:tcMar>
              <w:top w:w="80" w:type="dxa"/>
              <w:start w:w="110" w:type="dxa"/>
              <w:bottom w:w="80" w:type="dxa"/>
              <w:end w:w="110" w:type="dxa"/>
            </w:tcMar>
            <w:vAlign w:val="center"/>
          </w:tcPr>
          <w:p>
            <w:pPr>
              <w:jc w:val="center"/>
            </w:pPr>
            <w:r>
              <w:rPr>
                <w:rFonts w:ascii="Calibri" w:hAnsi="Calibri"/>
                <w:b/>
                <w:color w:val="FFFFFF"/>
                <w:sz w:val="21"/>
              </w:rPr>
              <w:t>Database</w:t>
            </w:r>
          </w:p>
        </w:tc>
        <w:tc>
          <w:tcPr>
            <w:tcW w:type="dxa" w:w="7992"/>
            <w:shd w:val="clear" w:color="auto" w:fill="1F3864"/>
            <w:tcMar>
              <w:top w:w="80" w:type="dxa"/>
              <w:start w:w="110" w:type="dxa"/>
              <w:bottom w:w="80" w:type="dxa"/>
              <w:end w:w="110" w:type="dxa"/>
            </w:tcMar>
            <w:vAlign w:val="center"/>
          </w:tcPr>
          <w:p>
            <w:pPr>
              <w:jc w:val="center"/>
            </w:pPr>
            <w:r>
              <w:rPr>
                <w:rFonts w:ascii="Calibri" w:hAnsi="Calibri"/>
                <w:b/>
                <w:color w:val="FFFFFF"/>
                <w:sz w:val="21"/>
              </w:rPr>
              <w:t>Search strategy</w:t>
            </w:r>
          </w:p>
        </w:tc>
      </w:tr>
      <w:tr>
        <w:tc>
          <w:tcPr>
            <w:tcW w:type="dxa" w:w="1800"/>
            <w:shd w:val="clear" w:color="auto" w:fill="FFFFFF"/>
            <w:tcMar>
              <w:top w:w="80" w:type="dxa"/>
              <w:start w:w="110" w:type="dxa"/>
              <w:bottom w:w="80" w:type="dxa"/>
              <w:end w:w="110" w:type="dxa"/>
            </w:tcMar>
            <w:vAlign w:val="top"/>
          </w:tcPr>
          <w:p>
            <w:pPr>
              <w:spacing w:line="240" w:lineRule="auto"/>
              <w:jc w:val="left"/>
            </w:pPr>
            <w:r>
              <w:rPr>
                <w:rFonts w:ascii="Calibri" w:hAnsi="Calibri"/>
                <w:b w:val="0"/>
                <w:color w:val="000000"/>
                <w:sz w:val="20"/>
              </w:rPr>
              <w:t>Web of Science Core Collection (WoSCC)</w:t>
            </w:r>
          </w:p>
        </w:tc>
        <w:tc>
          <w:tcPr>
            <w:tcW w:type="dxa" w:w="7992"/>
            <w:shd w:val="clear" w:color="auto" w:fill="FFFFFF"/>
            <w:tcMar>
              <w:top w:w="80" w:type="dxa"/>
              <w:start w:w="110" w:type="dxa"/>
              <w:bottom w:w="80" w:type="dxa"/>
              <w:end w:w="110" w:type="dxa"/>
            </w:tcMar>
            <w:vAlign w:val="top"/>
          </w:tcPr>
          <w:p>
            <w:pPr>
              <w:spacing w:line="240" w:lineRule="auto"/>
              <w:jc w:val="left"/>
            </w:pPr>
            <w:r>
              <w:rPr>
                <w:rFonts w:ascii="Consolas" w:hAnsi="Consolas"/>
                <w:b w:val="0"/>
                <w:color w:val="000000"/>
                <w:sz w:val="16"/>
              </w:rPr>
              <w:t>TS=("gut microbiota" OR "gut microbiome" OR "intestinal microbiota" OR "intestinal microbiome" OR "fecal microbiota" OR "faecal microbiota" OR "fecal microbiome" OR "faecal microbiome" OR "gut microorganism*" OR "intestinal microorganism*" OR "gut microbe*" OR "intestinal microbe*" OR "gut flora" OR "intestinal flora" OR "gut dysbiosis" OR "intestinal dysbiosis" OR "gut microflora" OR "intestinal microflora" OR "gut virome" OR "gut mycobiome" OR microbiota OR microbiome OR dysbiosis) AND TS=(cancer* OR neoplasm* OR carcinoma* OR tumor* OR tumour* OR malignan* OR oncology OR melanoma OR leukemia* OR leukaemia* OR lymphoma* OR myeloma* OR "immune checkpoint" OR "checkpoint inhibitor*" OR immunotherap*) AND TS=("drug resistance" OR "therapy resistance" OR "treatment resistance" OR "chemotherapy resistance" OR "chemoresistance" OR "targeted therapy resistance" OR "radiotherapy resistance" OR "radioresistance" OR "immunotherapy resistance" OR "immune resistance" OR "checkpoint inhibitor resistance" OR "PD-1 resistance" OR "PD-L1 resistance" OR "acquired resistance" OR "primary resistance" OR "multidrug resistance" OR MDR OR refractory OR "treatment failure" OR "non-response" OR "nonresponse") NOT TS=("antimicrobial resistance" OR "antibiotic resistance" OR AMR OR "anti-microbial resistance")</w:t>
            </w:r>
          </w:p>
        </w:tc>
      </w:tr>
      <w:tr>
        <w:tc>
          <w:tcPr>
            <w:tcW w:type="dxa" w:w="1800"/>
            <w:shd w:val="clear" w:color="auto" w:fill="DDEBF7"/>
            <w:tcMar>
              <w:top w:w="80" w:type="dxa"/>
              <w:start w:w="110" w:type="dxa"/>
              <w:bottom w:w="80" w:type="dxa"/>
              <w:end w:w="110" w:type="dxa"/>
            </w:tcMar>
            <w:vAlign w:val="top"/>
          </w:tcPr>
          <w:p>
            <w:pPr>
              <w:spacing w:line="240" w:lineRule="auto"/>
              <w:jc w:val="left"/>
            </w:pPr>
            <w:r>
              <w:rPr>
                <w:rFonts w:ascii="Calibri" w:hAnsi="Calibri"/>
                <w:b w:val="0"/>
                <w:color w:val="000000"/>
                <w:sz w:val="20"/>
              </w:rPr>
              <w:t>Scopus</w:t>
            </w:r>
          </w:p>
        </w:tc>
        <w:tc>
          <w:tcPr>
            <w:tcW w:type="dxa" w:w="7992"/>
            <w:shd w:val="clear" w:color="auto" w:fill="DDEBF7"/>
            <w:tcMar>
              <w:top w:w="80" w:type="dxa"/>
              <w:start w:w="110" w:type="dxa"/>
              <w:bottom w:w="80" w:type="dxa"/>
              <w:end w:w="110" w:type="dxa"/>
            </w:tcMar>
            <w:vAlign w:val="top"/>
          </w:tcPr>
          <w:p>
            <w:pPr>
              <w:spacing w:line="240" w:lineRule="auto"/>
              <w:jc w:val="left"/>
            </w:pPr>
            <w:r>
              <w:rPr>
                <w:rFonts w:ascii="Consolas" w:hAnsi="Consolas"/>
                <w:b w:val="0"/>
                <w:color w:val="000000"/>
                <w:sz w:val="16"/>
              </w:rPr>
              <w:t>TITLE-ABS-KEY("gut microbiota" OR "gut microbiome" OR "intestinal microbiota" OR "intestinal microbiome" OR "fecal microbiota" OR "faecal microbiota" OR "fecal microbiome" OR "faecal microbiome" OR "gut microorganism*" OR "intestinal microorganism*" OR "gut microbe*" OR "intestinal microbe*" OR "gut flora" OR "intestinal flora" OR "gut dysbiosis" OR "intestinal dysbiosis" OR "gut microflora" OR "intestinal microflora" OR "gut virome" OR "gut mycobiome" OR microbiota OR microbiome OR dysbiosis) AND TITLE-ABS-KEY(cancer* OR neoplasm* OR carcinoma* OR tumor* OR tumour* OR malignan* OR oncology OR melanoma OR leukemia* OR leukaemia* OR lymphoma* OR myeloma* OR "immune checkpoint" OR "checkpoint inhibitor*" OR immunotherap*) AND TITLE-ABS-KEY("drug resistance" OR "therapy resistance" OR "treatment resistance" OR "chemotherapy resistance" OR "chemoresistance" OR "targeted therapy resistance" OR "radiotherapy resistance" OR "radioresistance" OR "immunotherapy resistance" OR "immune resistance" OR "checkpoint inhibitor resistance" OR "PD-1 resistance" OR "PD-L1 resistance" OR "acquired resistance" OR "primary resistance" OR "multidrug resistance" OR MDR OR refractory OR "treatment failure" OR "non-response" OR "nonresponse") AND NOT TITLE-ABS-KEY("antimicrobial resistance" OR "antibiotic resistance" OR AMR OR "anti-microbial resistance")</w:t>
            </w:r>
          </w:p>
        </w:tc>
      </w:tr>
    </w:tbl>
    <w:p>
      <w:pPr>
        <w:spacing w:before="120" w:after="200"/>
      </w:pPr>
      <w:r>
        <w:rPr>
          <w:rFonts w:ascii="Calibri" w:hAnsi="Calibri"/>
          <w:b w:val="0"/>
          <w:color w:val="000000"/>
          <w:sz w:val="19"/>
        </w:rPr>
        <w:t>Note: In WoSCC the TS (Topic) field searches title, abstract, author keywords, and Keywords Plus; in Scopus the TITLE-ABS-KEY field searches title, abstract, and keywords. Asterisks are truncation wildcards.</w:t>
      </w:r>
    </w:p>
    <w:p>
      <w:pPr>
        <w:spacing w:before="240" w:after="120"/>
      </w:pPr>
      <w:r>
        <w:rPr>
          <w:rFonts w:ascii="Calibri" w:hAnsi="Calibri"/>
          <w:b/>
          <w:color w:val="1F3864"/>
          <w:sz w:val="25"/>
        </w:rPr>
        <w:t>2. Notes on the Search Structure</w:t>
      </w:r>
    </w:p>
    <w:p>
      <w:pPr>
        <w:spacing w:after="120"/>
      </w:pPr>
      <w:r>
        <w:rPr>
          <w:rFonts w:ascii="Calibri" w:hAnsi="Calibri"/>
          <w:b w:val="0"/>
          <w:color w:val="000000"/>
          <w:sz w:val="21"/>
        </w:rPr>
        <w:t>The corpus was built by combining three concept blocks with the AND operator: (1) gut microbiota, (2) cancer, and (3) therapy resistance. Records concerning antimicrobial resistance were excluded with a NOT clause. The search was restricted to English-language articles and reviews published between 2016 and 2025. The revised strategy removes the unqualified term "resistance" from the resistance block, narrows the exclusion to antimicrobial resistance only, and adds further cancer-type and immunotherapy terms so that the corpus reflects the stated therapy-resistance focus.</w:t>
      </w:r>
    </w:p>
    <w:p>
      <w:pPr>
        <w:spacing w:after="240"/>
      </w:pPr>
      <w:r>
        <w:rPr>
          <w:rFonts w:ascii="Microsoft YaHei" w:hAnsi="Microsoft YaHei"/>
          <w:b w:val="0"/>
          <w:color w:val="000000"/>
          <w:sz w:val="21"/>
        </w:rPr>
        <w:t>语料通过三个概念组以 AND 组合构建：(1) 肠道菌群、(2) 癌症、(3) 治疗耐药；并用 NOT 子句排除抗菌药物耐药相关记录。检索限定为 2016–2025 年、英文、Article 与 Review。修订版删除了耐药块中的裸词 “resistance”，将排除范围收窄为仅抗菌药物耐药，并补充了更多癌种与免疫治疗相关词，使语料符合“治疗耐药”这一研究切入点。</w:t>
      </w:r>
    </w:p>
    <w:p>
      <w:pPr>
        <w:spacing w:before="240" w:after="120"/>
      </w:pPr>
      <w:r>
        <w:rPr>
          <w:rFonts w:ascii="Calibri" w:hAnsi="Calibri"/>
          <w:b/>
          <w:color w:val="1F3864"/>
          <w:sz w:val="25"/>
        </w:rPr>
        <w:t>3. Rationale for the Revised Strategy (Modification and Reviewer Concern)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rPr>
          <w:tblHeader w:val="true"/>
        </w:trPr>
        <w:tc>
          <w:tcPr>
            <w:tcW w:type="dxa" w:w="2736"/>
            <w:shd w:val="clear" w:color="auto" w:fill="1F3864"/>
            <w:tcMar>
              <w:top w:w="80" w:type="dxa"/>
              <w:start w:w="110" w:type="dxa"/>
              <w:bottom w:w="80" w:type="dxa"/>
              <w:end w:w="110" w:type="dxa"/>
            </w:tcMar>
            <w:vAlign w:val="center"/>
          </w:tcPr>
          <w:p>
            <w:pPr>
              <w:jc w:val="left"/>
            </w:pPr>
            <w:r>
              <w:rPr>
                <w:rFonts w:ascii="Calibri" w:hAnsi="Calibri"/>
                <w:b/>
                <w:color w:val="FFFFFF"/>
                <w:sz w:val="20"/>
              </w:rPr>
              <w:t>Modification</w:t>
            </w:r>
          </w:p>
        </w:tc>
        <w:tc>
          <w:tcPr>
            <w:tcW w:type="dxa" w:w="3600"/>
            <w:shd w:val="clear" w:color="auto" w:fill="1F3864"/>
            <w:tcMar>
              <w:top w:w="80" w:type="dxa"/>
              <w:start w:w="110" w:type="dxa"/>
              <w:bottom w:w="80" w:type="dxa"/>
              <w:end w:w="110" w:type="dxa"/>
            </w:tcMar>
            <w:vAlign w:val="center"/>
          </w:tcPr>
          <w:p>
            <w:pPr>
              <w:jc w:val="left"/>
            </w:pPr>
            <w:r>
              <w:rPr>
                <w:rFonts w:ascii="Calibri" w:hAnsi="Calibri"/>
                <w:b/>
                <w:color w:val="FFFFFF"/>
                <w:sz w:val="20"/>
              </w:rPr>
              <w:t>Reviewer / editor concern addressed</w:t>
            </w:r>
          </w:p>
        </w:tc>
        <w:tc>
          <w:tcPr>
            <w:tcW w:type="dxa" w:w="3456"/>
            <w:shd w:val="clear" w:color="auto" w:fill="1F3864"/>
            <w:tcMar>
              <w:top w:w="80" w:type="dxa"/>
              <w:start w:w="110" w:type="dxa"/>
              <w:bottom w:w="80" w:type="dxa"/>
              <w:end w:w="110" w:type="dxa"/>
            </w:tcMar>
            <w:vAlign w:val="center"/>
          </w:tcPr>
          <w:p>
            <w:pPr>
              <w:jc w:val="left"/>
            </w:pPr>
            <w:r>
              <w:rPr>
                <w:rFonts w:ascii="Calibri" w:hAnsi="Calibri"/>
                <w:b/>
                <w:color w:val="FFFFFF"/>
                <w:sz w:val="20"/>
              </w:rPr>
              <w:t>修改说明</w:t>
            </w:r>
          </w:p>
        </w:tc>
      </w:tr>
      <w:tr>
        <w:tc>
          <w:tcPr>
            <w:tcW w:type="dxa" w:w="2736"/>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Removed the unqualified term "resistance" from the resistance block</w:t>
            </w:r>
          </w:p>
        </w:tc>
        <w:tc>
          <w:tcPr>
            <w:tcW w:type="dxa" w:w="3600"/>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Reviewer 1 (Comments 1-2), Reviewer 3 (Comment 3), Editor (Revisions E.1): the bare term captured off-target records (insulin resistance, metabolic syndrome, NAFLD, HIV, aquaculture) and is the main driver of corpus contamination.</w:t>
            </w:r>
          </w:p>
        </w:tc>
        <w:tc>
          <w:tcPr>
            <w:tcW w:type="dxa" w:w="3456"/>
            <w:shd w:val="clear" w:color="auto" w:fill="FFFFFF"/>
            <w:tcMar>
              <w:top w:w="80" w:type="dxa"/>
              <w:start w:w="110" w:type="dxa"/>
              <w:bottom w:w="80" w:type="dxa"/>
              <w:end w:w="110" w:type="dxa"/>
            </w:tcMar>
            <w:vAlign w:val="top"/>
          </w:tcPr>
          <w:p>
            <w:pPr>
              <w:spacing w:line="252" w:lineRule="auto"/>
              <w:jc w:val="left"/>
            </w:pPr>
            <w:r>
              <w:rPr>
                <w:rFonts w:ascii="Microsoft YaHei" w:hAnsi="Microsoft YaHei"/>
                <w:b w:val="0"/>
                <w:color w:val="000000"/>
                <w:sz w:val="19"/>
              </w:rPr>
              <w:t>删除耐药块裸词 “resistance”，避免胰岛素抵抗、代谢综合征、NAFLD、HIV、水产养殖等脱靶记录进入；这是语料污染的主要来源。</w:t>
            </w:r>
          </w:p>
        </w:tc>
      </w:tr>
      <w:tr>
        <w:tc>
          <w:tcPr>
            <w:tcW w:type="dxa" w:w="2736"/>
            <w:shd w:val="clear" w:color="auto" w:fill="DDEBF7"/>
            <w:tcMar>
              <w:top w:w="80" w:type="dxa"/>
              <w:start w:w="110" w:type="dxa"/>
              <w:bottom w:w="80" w:type="dxa"/>
              <w:end w:w="110" w:type="dxa"/>
            </w:tcMar>
            <w:vAlign w:val="top"/>
          </w:tcPr>
          <w:p>
            <w:pPr>
              <w:spacing w:line="252" w:lineRule="auto"/>
              <w:jc w:val="left"/>
            </w:pPr>
            <w:r>
              <w:rPr>
                <w:rFonts w:ascii="Calibri" w:hAnsi="Calibri"/>
                <w:b w:val="0"/>
                <w:color w:val="000000"/>
                <w:sz w:val="19"/>
              </w:rPr>
              <w:t>Narrowed the NOT clause to antimicrobial resistance only (removed antibiotic*, antimicrobial, antibiotic therapy/treatment)</w:t>
            </w:r>
          </w:p>
        </w:tc>
        <w:tc>
          <w:tcPr>
            <w:tcW w:type="dxa" w:w="3600"/>
            <w:shd w:val="clear" w:color="auto" w:fill="DDEBF7"/>
            <w:tcMar>
              <w:top w:w="80" w:type="dxa"/>
              <w:start w:w="110" w:type="dxa"/>
              <w:bottom w:w="80" w:type="dxa"/>
              <w:end w:w="110" w:type="dxa"/>
            </w:tcMar>
            <w:vAlign w:val="top"/>
          </w:tcPr>
          <w:p>
            <w:pPr>
              <w:spacing w:line="252" w:lineRule="auto"/>
              <w:jc w:val="left"/>
            </w:pPr>
            <w:r>
              <w:rPr>
                <w:rFonts w:ascii="Calibri" w:hAnsi="Calibri"/>
                <w:b w:val="0"/>
                <w:color w:val="000000"/>
                <w:sz w:val="19"/>
              </w:rPr>
              <w:t>Reviewer 1 (Comment 1), Editor (Revisions E.1): the previous clause excluded every antibiotic-related record, including relevant studies on antibiotic exposure and immunotherapy resistance.</w:t>
            </w:r>
          </w:p>
        </w:tc>
        <w:tc>
          <w:tcPr>
            <w:tcW w:type="dxa" w:w="3456"/>
            <w:shd w:val="clear" w:color="auto" w:fill="DDEBF7"/>
            <w:tcMar>
              <w:top w:w="80" w:type="dxa"/>
              <w:start w:w="110" w:type="dxa"/>
              <w:bottom w:w="80" w:type="dxa"/>
              <w:end w:w="110" w:type="dxa"/>
            </w:tcMar>
            <w:vAlign w:val="top"/>
          </w:tcPr>
          <w:p>
            <w:pPr>
              <w:spacing w:line="252" w:lineRule="auto"/>
              <w:jc w:val="left"/>
            </w:pPr>
            <w:r>
              <w:rPr>
                <w:rFonts w:ascii="Microsoft YaHei" w:hAnsi="Microsoft YaHei"/>
                <w:b w:val="0"/>
                <w:color w:val="000000"/>
                <w:sz w:val="19"/>
              </w:rPr>
              <w:t>收窄 NOT 为仅排除“抗菌药物耐药”，避免误删“抗生素暴露 × 免疫治疗耐药”这一核心主题研究。</w:t>
            </w:r>
          </w:p>
        </w:tc>
      </w:tr>
      <w:tr>
        <w:tc>
          <w:tcPr>
            <w:tcW w:type="dxa" w:w="2736"/>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Added cancer-type and therapy terms (melanoma, leukemia, lymphoma, myeloma, immune checkpoint, checkpoint inhibitor, immunotherapy)</w:t>
            </w:r>
          </w:p>
        </w:tc>
        <w:tc>
          <w:tcPr>
            <w:tcW w:type="dxa" w:w="3600"/>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Scope coverage: avoids missing single-tumor-type and immune-checkpoint-inhibitor studies.</w:t>
            </w:r>
          </w:p>
        </w:tc>
        <w:tc>
          <w:tcPr>
            <w:tcW w:type="dxa" w:w="3456"/>
            <w:shd w:val="clear" w:color="auto" w:fill="FFFFFF"/>
            <w:tcMar>
              <w:top w:w="80" w:type="dxa"/>
              <w:start w:w="110" w:type="dxa"/>
              <w:bottom w:w="80" w:type="dxa"/>
              <w:end w:w="110" w:type="dxa"/>
            </w:tcMar>
            <w:vAlign w:val="top"/>
          </w:tcPr>
          <w:p>
            <w:pPr>
              <w:spacing w:line="252" w:lineRule="auto"/>
              <w:jc w:val="left"/>
            </w:pPr>
            <w:r>
              <w:rPr>
                <w:rFonts w:ascii="Microsoft YaHei" w:hAnsi="Microsoft YaHei"/>
                <w:b w:val="0"/>
                <w:color w:val="000000"/>
                <w:sz w:val="19"/>
              </w:rPr>
              <w:t>补充癌种与免疫/检查点抑制剂相关词，避免单癌种与 ICI 文献漏检。</w:t>
            </w:r>
          </w:p>
        </w:tc>
      </w:tr>
      <w:tr>
        <w:tc>
          <w:tcPr>
            <w:tcW w:type="dxa" w:w="2736"/>
            <w:shd w:val="clear" w:color="auto" w:fill="DDEBF7"/>
            <w:tcMar>
              <w:top w:w="80" w:type="dxa"/>
              <w:start w:w="110" w:type="dxa"/>
              <w:bottom w:w="80" w:type="dxa"/>
              <w:end w:w="110" w:type="dxa"/>
            </w:tcMar>
            <w:vAlign w:val="top"/>
          </w:tcPr>
          <w:p>
            <w:pPr>
              <w:spacing w:line="252" w:lineRule="auto"/>
              <w:jc w:val="left"/>
            </w:pPr>
            <w:r>
              <w:rPr>
                <w:rFonts w:ascii="Calibri" w:hAnsi="Calibri"/>
                <w:b w:val="0"/>
                <w:color w:val="000000"/>
                <w:sz w:val="19"/>
              </w:rPr>
              <w:t>Retained the general microbiota, microbiome, and dysbiosis terms together with gut-specific phrases</w:t>
            </w:r>
          </w:p>
        </w:tc>
        <w:tc>
          <w:tcPr>
            <w:tcW w:type="dxa" w:w="3600"/>
            <w:shd w:val="clear" w:color="auto" w:fill="DDEBF7"/>
            <w:tcMar>
              <w:top w:w="80" w:type="dxa"/>
              <w:start w:w="110" w:type="dxa"/>
              <w:bottom w:w="80" w:type="dxa"/>
              <w:end w:w="110" w:type="dxa"/>
            </w:tcMar>
            <w:vAlign w:val="top"/>
          </w:tcPr>
          <w:p>
            <w:pPr>
              <w:spacing w:line="252" w:lineRule="auto"/>
              <w:jc w:val="left"/>
            </w:pPr>
            <w:r>
              <w:rPr>
                <w:rFonts w:ascii="Calibri" w:hAnsi="Calibri"/>
                <w:b w:val="0"/>
                <w:color w:val="000000"/>
                <w:sz w:val="19"/>
              </w:rPr>
              <w:t>Recall: many relevant records use only microbiome or microbiota without a gut- prefix; about 29% of relevant records depend on these general terms.</w:t>
            </w:r>
          </w:p>
        </w:tc>
        <w:tc>
          <w:tcPr>
            <w:tcW w:type="dxa" w:w="3456"/>
            <w:shd w:val="clear" w:color="auto" w:fill="DDEBF7"/>
            <w:tcMar>
              <w:top w:w="80" w:type="dxa"/>
              <w:start w:w="110" w:type="dxa"/>
              <w:bottom w:w="80" w:type="dxa"/>
              <w:end w:w="110" w:type="dxa"/>
            </w:tcMar>
            <w:vAlign w:val="top"/>
          </w:tcPr>
          <w:p>
            <w:pPr>
              <w:spacing w:line="252" w:lineRule="auto"/>
              <w:jc w:val="left"/>
            </w:pPr>
            <w:r>
              <w:rPr>
                <w:rFonts w:ascii="Microsoft YaHei" w:hAnsi="Microsoft YaHei"/>
                <w:b w:val="0"/>
                <w:color w:val="000000"/>
                <w:sz w:val="19"/>
              </w:rPr>
              <w:t>保留 microbiota / microbiome / dysbiosis 裸词，避免漏检未加 “gut-” 前缀的相关文献（约占相关记录的 29%）。</w:t>
            </w:r>
          </w:p>
        </w:tc>
      </w:tr>
      <w:tr>
        <w:tc>
          <w:tcPr>
            <w:tcW w:type="dxa" w:w="2736"/>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Kept qualified therapy-resistance terms (MDR, refractory, treatment failure, non-response)</w:t>
            </w:r>
          </w:p>
        </w:tc>
        <w:tc>
          <w:tcPr>
            <w:tcW w:type="dxa" w:w="3600"/>
            <w:shd w:val="clear" w:color="auto" w:fill="FFFFFF"/>
            <w:tcMar>
              <w:top w:w="80" w:type="dxa"/>
              <w:start w:w="110" w:type="dxa"/>
              <w:bottom w:w="80" w:type="dxa"/>
              <w:end w:w="110" w:type="dxa"/>
            </w:tcMar>
            <w:vAlign w:val="top"/>
          </w:tcPr>
          <w:p>
            <w:pPr>
              <w:spacing w:line="252" w:lineRule="auto"/>
              <w:jc w:val="left"/>
            </w:pPr>
            <w:r>
              <w:rPr>
                <w:rFonts w:ascii="Calibri" w:hAnsi="Calibri"/>
                <w:b w:val="0"/>
                <w:color w:val="000000"/>
                <w:sz w:val="19"/>
              </w:rPr>
              <w:t>Ensures the corpus reflects the stated therapy-resistance scope.</w:t>
            </w:r>
          </w:p>
        </w:tc>
        <w:tc>
          <w:tcPr>
            <w:tcW w:type="dxa" w:w="3456"/>
            <w:shd w:val="clear" w:color="auto" w:fill="FFFFFF"/>
            <w:tcMar>
              <w:top w:w="80" w:type="dxa"/>
              <w:start w:w="110" w:type="dxa"/>
              <w:bottom w:w="80" w:type="dxa"/>
              <w:end w:w="110" w:type="dxa"/>
            </w:tcMar>
            <w:vAlign w:val="top"/>
          </w:tcPr>
          <w:p>
            <w:pPr>
              <w:spacing w:line="252" w:lineRule="auto"/>
              <w:jc w:val="left"/>
            </w:pPr>
            <w:r>
              <w:rPr>
                <w:rFonts w:ascii="Microsoft YaHei" w:hAnsi="Microsoft YaHei"/>
                <w:b w:val="0"/>
                <w:color w:val="000000"/>
                <w:sz w:val="19"/>
              </w:rPr>
              <w:t>保留明确的治疗耐药词，确保语料忠实于“治疗耐药”切入点。</w:t>
            </w:r>
          </w:p>
        </w:tc>
      </w:tr>
    </w:tbl>
    <w:p>
      <w:pPr>
        <w:spacing w:before="200"/>
      </w:pPr>
      <w:r>
        <w:rPr>
          <w:rFonts w:ascii="Calibri" w:hAnsi="Calibri"/>
          <w:b w:val="0"/>
          <w:color w:val="000000"/>
          <w:sz w:val="19"/>
        </w:rPr>
        <w:t>The same search strategy was applied to both databases and deduplicated before topic modeling. A complete record of the deduplication rules, processing scripts, and software versions is provided in the reproducibility package.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