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Supplementary Table 14. Framework for quality and topical-relevance assessment</w:t>
      </w:r>
    </w:p>
    <w:p>
      <w:r>
        <w:rPr>
          <w:i/>
          <w:sz w:val="18"/>
        </w:rPr>
        <w:t>The rubric was finalised in pilot rounds on 50 records held before the main assessment. Three reviewers then rated the records independently; borderline records were marked as pending and adjudicated by consensus discussion.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Dimension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Level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Operational criteria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Methodological Quality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A (High)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Large or multi-cohort studies, randomized controlled trials, studies with a complete mechanistic chain (animal plus cellular plus human validation), or systematic reviews/guidelines in authoritative journals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Methodological Quality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B (Moderate)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Single-cohort clinical studies, standard animal or in vitro experiments, or narrative reviews in mid-tier journals with sound methodology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Methodological Quality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C (Low)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Case reports, conference abstracts, editorials or opinion pieces, and studies in low-tier journals with insufficient methodological description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Topical Relevance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Relevant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Directly addresses the gut microbiota–cancer–treatment resistance nexus (microbiota and cancer, or tumor treatment response/resistance)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Topical Relevance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Partially relevant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none" w:sz="6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Touches only one axis (e.g., microbiota in non-cancer diseases, tumor immunology without microbiota or resistance) or cancer-adjacent topics (precancerous lesions, cancer risk epidemiology)</w:t>
            </w:r>
          </w:p>
        </w:tc>
      </w:tr>
      <w:tr>
        <w:tc>
          <w:tcPr>
            <w:tcW w:type="dxa" w:w="2041"/>
            <w:tcBorders>
              <w:left w:val="none"/>
              <w:right w:val="none"/>
              <w:insideH w:val="none"/>
              <w:insideV w:val="none"/>
              <w:top w:val="none" w:sz="12"/>
              <w:bottom w:val="single" w:sz="12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Topical Relevance</w:t>
            </w:r>
          </w:p>
        </w:tc>
        <w:tc>
          <w:tcPr>
            <w:tcW w:type="dxa" w:w="1701"/>
            <w:tcBorders>
              <w:left w:val="none"/>
              <w:right w:val="none"/>
              <w:insideH w:val="none"/>
              <w:insideV w:val="none"/>
              <w:top w:val="none" w:sz="12"/>
              <w:bottom w:val="single" w:sz="12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Irrelevant</w:t>
            </w:r>
          </w:p>
        </w:tc>
        <w:tc>
          <w:tcPr>
            <w:tcW w:type="dxa" w:w="6180"/>
            <w:tcBorders>
              <w:left w:val="none"/>
              <w:right w:val="none"/>
              <w:insideH w:val="none"/>
              <w:insideV w:val="none"/>
              <w:top w:val="none" w:sz="12"/>
              <w:bottom w:val="single" w:sz="12"/>
            </w:tcBorders>
          </w:tcPr>
          <w:p>
            <w:r/>
            <w:r>
              <w:rPr>
                <w:rFonts w:ascii="Times New Roman" w:hAnsi="Times New Roman"/>
                <w:sz w:val="17"/>
              </w:rPr>
              <w:t>Clearly off-topic records introduced by search-term noise (e.g., obesity, aquaculture, dermatology, metabolic disorders)</w:t>
            </w:r>
          </w:p>
        </w:tc>
      </w:tr>
    </w:tbl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