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after="240" w:before="0"/>
        <w:jc w:val="center"/>
      </w:pPr>
      <w:r>
        <w:rPr>
          <w:rFonts w:ascii="Times New Roman" w:hAnsi="Times New Roman" w:eastAsia="Times New Roman"/>
          <w:b/>
          <w:i w:val="0"/>
          <w:sz w:val="30"/>
        </w:rPr>
        <w:t>Supplementary methods for the BERTopic analysis of the corpus</w:t>
      </w:r>
    </w:p>
    <w:p>
      <w:pPr>
        <w:keepNext w:val="0"/>
        <w:keepLines w:val="0"/>
        <w:spacing w:after="240" w:before="0"/>
        <w:jc w:val="both"/>
      </w:pPr>
      <w:r>
        <w:rPr>
          <w:rFonts w:ascii="Times New Roman" w:hAnsi="Times New Roman"/>
          <w:b w:val="0"/>
          <w:i w:val="0"/>
          <w:sz w:val="21"/>
        </w:rPr>
        <w:t>The topic model underlying Figure 9 was fitted to the final corpus of 1532 deduplicated records published between 2016 and 2025. This supplement reports the model configuration, the topic inventory with its labels, the sensitivity of the solution to the main settings, and the treatment of the outlier topic. Tables continue the numbering of the D³TEM supplement, which contains Tables S1 to S4.</w:t>
      </w:r>
    </w:p>
    <w:p>
      <w:pPr>
        <w:keepNext w:val="0"/>
        <w:keepLines w:val="0"/>
        <w:spacing w:after="120" w:before="120"/>
        <w:jc w:val="both"/>
      </w:pPr>
      <w:r>
        <w:rPr>
          <w:rFonts w:ascii="Times New Roman" w:hAnsi="Times New Roman" w:eastAsia="Times New Roman"/>
          <w:b/>
          <w:i w:val="0"/>
          <w:sz w:val="24"/>
        </w:rPr>
        <w:t>1 Text preparation</w:t>
      </w:r>
    </w:p>
    <w:p>
      <w:pPr>
        <w:keepNext w:val="0"/>
        <w:keepLines w:val="0"/>
        <w:spacing w:after="160" w:before="0"/>
        <w:jc w:val="both"/>
      </w:pPr>
      <w:r>
        <w:rPr>
          <w:rFonts w:ascii="Times New Roman" w:hAnsi="Times New Roman" w:eastAsia="Times New Roman"/>
          <w:b w:val="0"/>
          <w:i w:val="0"/>
          <w:sz w:val="21"/>
        </w:rPr>
        <w:t>For each record the title, the abstract, the author keywords and the keywords plus field were concatenated, converted to lower case, stripped of non-alphabetic characters and normalised for whitespace. Records shorter than 30 characters or without a publication year were removed. Author keywords were present for 1,282 records and keywords plus for 1,474 records, so the input text differs slightly in field coverage between sources, which is a property of the databases rather than of the analysis.</w:t>
      </w:r>
    </w:p>
    <w:p>
      <w:pPr>
        <w:keepNext w:val="0"/>
        <w:keepLines w:val="0"/>
        <w:spacing w:after="120" w:before="120"/>
        <w:jc w:val="both"/>
      </w:pPr>
      <w:r>
        <w:rPr>
          <w:rFonts w:ascii="Times New Roman" w:hAnsi="Times New Roman" w:eastAsia="Times New Roman"/>
          <w:b/>
          <w:i w:val="0"/>
          <w:sz w:val="24"/>
        </w:rPr>
        <w:t>2 Model configuration</w:t>
      </w:r>
    </w:p>
    <w:p>
      <w:pPr>
        <w:keepNext w:val="0"/>
        <w:keepLines w:val="0"/>
        <w:spacing w:after="120" w:before="0"/>
        <w:jc w:val="both"/>
      </w:pPr>
      <w:r>
        <w:rPr>
          <w:rFonts w:ascii="Times New Roman" w:hAnsi="Times New Roman" w:eastAsia="Times New Roman"/>
          <w:b w:val="0"/>
          <w:i w:val="0"/>
          <w:sz w:val="21"/>
        </w:rPr>
        <w:t>Document embeddings were produced with a multilingual sentence transformer, reduced with UMAP, clustered with HDBSCAN and represented with class-based TF-IDF weights. Table S5 lists the values. The random seed is fixed so that the solution is reproducible.</w:t>
      </w:r>
    </w:p>
    <w:p>
      <w:pPr>
        <w:keepNext/>
        <w:keepLines w:val="0"/>
        <w:spacing w:after="120" w:before="120"/>
        <w:jc w:val="left"/>
      </w:pPr>
      <w:r>
        <w:rPr>
          <w:rFonts w:ascii="Times New Roman" w:hAnsi="Times New Roman" w:eastAsia="Times New Roman"/>
          <w:b/>
          <w:i w:val="0"/>
          <w:sz w:val="22"/>
        </w:rPr>
        <w:t>Table S5. BERTopic configuration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24"/>
        <w:gridCol w:w="3324"/>
        <w:gridCol w:w="3324"/>
      </w:tblGrid>
      <w:tr>
        <w:trPr>
          <w:trHeight w:val="255" w:hRule="atLeast"/>
          <w:tblHeader/>
          <w:cantSplit/>
        </w:trPr>
        <w:tc>
          <w:tcPr>
            <w:tcW w:type="dxa" w:w="24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Setting</w:t>
            </w:r>
          </w:p>
        </w:tc>
        <w:tc>
          <w:tcPr>
            <w:tcW w:type="dxa" w:w="3628"/>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Value</w:t>
            </w:r>
          </w:p>
        </w:tc>
        <w:tc>
          <w:tcPr>
            <w:tcW w:type="dxa" w:w="3402"/>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Note</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Embedding model</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paraphrase-multilingual-MiniLM-L12-v2</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384-dimensional document vectors</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UMAP neighbours</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n_neighbors = 15</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Local structure preserved</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UMAP components</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n_components = 5</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Reduced space used for clustering</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UMAP minimum distance</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min_dist = 0.05</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Tight cluster packing</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UMAP metric</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cosine</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Suited to normalised embeddings</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Cluster size</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min_cluster_size = 25</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HDBSCAN parameter</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Cluster samples</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min_samples = 10</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HDBSCAN parameter</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Cluster selection</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excess of mass</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HDBSCAN default method</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Vectoriser</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stop words English, n-grams 1 to 2, min_df = 2</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Class-based TF-IDF</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Temporal units</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annual bins 2016 to 2025</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Ten time points</w:t>
            </w:r>
          </w:p>
        </w:tc>
      </w:tr>
      <w:tr>
        <w:trPr>
          <w:trHeight w:val="255" w:hRule="atLeast"/>
          <w:cantSplit/>
        </w:trPr>
        <w:tc>
          <w:tcPr>
            <w:tcW w:type="dxa" w:w="2494"/>
            <w:tcBorders>
              <w:top w:val="nil"/>
              <w:left w:val="nil"/>
              <w:bottom w:val="nil"/>
              <w:right w:val="nil"/>
            </w:tcBorders>
          </w:tcPr>
          <w:p>
            <w:pPr>
              <w:spacing w:before="30" w:after="30"/>
              <w:jc w:val="left"/>
            </w:pPr>
            <w:r/>
            <w:r>
              <w:rPr>
                <w:rFonts w:ascii="Times New Roman" w:hAnsi="Times New Roman" w:eastAsia="Times New Roman"/>
                <w:b w:val="0"/>
                <w:i w:val="0"/>
                <w:sz w:val="19"/>
              </w:rPr>
              <w:t>Trend model</w:t>
            </w:r>
          </w:p>
        </w:tc>
        <w:tc>
          <w:tcPr>
            <w:tcW w:type="dxa" w:w="3628"/>
            <w:tcBorders>
              <w:top w:val="nil"/>
              <w:left w:val="nil"/>
              <w:bottom w:val="nil"/>
              <w:right w:val="nil"/>
            </w:tcBorders>
          </w:tcPr>
          <w:p>
            <w:pPr>
              <w:spacing w:before="30" w:after="30"/>
              <w:jc w:val="left"/>
            </w:pPr>
            <w:r/>
            <w:r>
              <w:rPr>
                <w:rFonts w:ascii="Times New Roman" w:hAnsi="Times New Roman" w:eastAsia="Times New Roman"/>
                <w:b w:val="0"/>
                <w:i w:val="0"/>
                <w:sz w:val="19"/>
              </w:rPr>
              <w:t>linear regression of annual frequency</w:t>
            </w:r>
          </w:p>
        </w:tc>
        <w:tc>
          <w:tcPr>
            <w:tcW w:type="dxa" w:w="3402"/>
            <w:tcBorders>
              <w:top w:val="nil"/>
              <w:left w:val="nil"/>
              <w:bottom w:val="nil"/>
              <w:right w:val="nil"/>
            </w:tcBorders>
          </w:tcPr>
          <w:p>
            <w:pPr>
              <w:spacing w:before="30" w:after="30"/>
              <w:jc w:val="left"/>
            </w:pPr>
            <w:r/>
            <w:r>
              <w:rPr>
                <w:rFonts w:ascii="Times New Roman" w:hAnsi="Times New Roman" w:eastAsia="Times New Roman"/>
                <w:b w:val="0"/>
                <w:i w:val="0"/>
                <w:sz w:val="19"/>
              </w:rPr>
              <w:t>Topics with fewer than five time points excluded</w:t>
            </w:r>
          </w:p>
        </w:tc>
      </w:tr>
      <w:tr>
        <w:trPr>
          <w:trHeight w:val="255" w:hRule="atLeast"/>
          <w:cantSplit/>
        </w:trPr>
        <w:tc>
          <w:tcPr>
            <w:tcW w:type="dxa" w:w="2494"/>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Random seed</w:t>
            </w:r>
          </w:p>
        </w:tc>
        <w:tc>
          <w:tcPr>
            <w:tcW w:type="dxa" w:w="3628"/>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42</w:t>
            </w:r>
          </w:p>
        </w:tc>
        <w:tc>
          <w:tcPr>
            <w:tcW w:type="dxa" w:w="3402"/>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Fixed for UMAP and the visualisation reducer</w:t>
            </w:r>
          </w:p>
        </w:tc>
      </w:tr>
    </w:tbl>
    <w:p>
      <w:pPr>
        <w:keepNext w:val="0"/>
        <w:keepLines w:val="0"/>
        <w:spacing w:after="120" w:before="160"/>
        <w:jc w:val="both"/>
      </w:pPr>
      <w:r>
        <w:rPr>
          <w:rFonts w:ascii="Times New Roman" w:hAnsi="Times New Roman" w:eastAsia="Times New Roman"/>
          <w:b/>
          <w:i w:val="0"/>
          <w:sz w:val="24"/>
        </w:rPr>
        <w:t>3 Topic inventory and labelling</w:t>
      </w:r>
    </w:p>
    <w:p>
      <w:pPr>
        <w:keepNext w:val="0"/>
        <w:keepLines w:val="0"/>
        <w:spacing w:after="120" w:before="0"/>
        <w:jc w:val="both"/>
      </w:pPr>
      <w:r>
        <w:rPr>
          <w:rFonts w:ascii="Times New Roman" w:hAnsi="Times New Roman"/>
          <w:b w:val="0"/>
          <w:i w:val="0"/>
          <w:sz w:val="21"/>
        </w:rPr>
        <w:t>The model returned 12 topics including the outlier topic, of which 11 were retained. Topic labels were derived from the ten highest-weighted terms and three representative documents of each topic with the assistance of a large language model and were reviewed and finalized by the authors; the labels in Table S6 are those used for the figures. Table S6 lists the topic sizes, the ten highest-weighted terms and the label of each topic.</w:t>
      </w:r>
    </w:p>
    <w:p>
      <w:pPr>
        <w:keepNext/>
        <w:keepLines w:val="0"/>
        <w:spacing w:after="120" w:before="120"/>
        <w:jc w:val="left"/>
      </w:pPr>
      <w:r>
        <w:rPr>
          <w:rFonts w:ascii="Times New Roman" w:hAnsi="Times New Roman" w:eastAsia="Times New Roman"/>
          <w:b/>
          <w:i w:val="0"/>
          <w:sz w:val="22"/>
        </w:rPr>
        <w:t>Table S6. Topic inventory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93"/>
        <w:gridCol w:w="2493"/>
        <w:gridCol w:w="2493"/>
        <w:gridCol w:w="2493"/>
      </w:tblGrid>
      <w:tr>
        <w:trPr>
          <w:trHeight w:val="255" w:hRule="atLeast"/>
          <w:tblHeader/>
          <w:cantSplit/>
        </w:trPr>
        <w:tc>
          <w:tcPr>
            <w:tcW w:type="dxa" w:w="737"/>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Topic</w:t>
            </w:r>
          </w:p>
        </w:tc>
        <w:tc>
          <w:tcPr>
            <w:tcW w:type="dxa" w:w="1077"/>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Documents</w:t>
            </w:r>
          </w:p>
        </w:tc>
        <w:tc>
          <w:tcPr>
            <w:tcW w:type="dxa" w:w="306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Provisional label</w:t>
            </w:r>
          </w:p>
        </w:tc>
        <w:tc>
          <w:tcPr>
            <w:tcW w:type="dxa" w:w="4649"/>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Ten highest-weighted terms</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T0</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285</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Gut microbiota and cancer immunotherapy</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microbiota, gut, cancer, microbiome, immune, immunotherapy, gut microbiota, tumor, patients, treatment</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T1</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239</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Colorectal cancer, Fusobacterium nucleatum and treatment resistance</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crc, colorectal, cancer, colorectal cancer, nucleatum, tumor, cells, microbiota, cell, resistance</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T2</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212</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Immune checkpoint inhibitors and drug resistance</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cancer, tumor, immune, cell, resistance, pd, immunotherapy, checkpoint, drug, immune checkpoint</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T3</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85</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Pancreatic ductal adenocarcinoma and gemcitabine resistance</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pancreatic, pancreatic cancer, pdac, cancer, ductal, adenocarcinoma, tumor, gemcitabine, pancreatic ductal, resistance</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T4</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75</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Bacterial infection, phage therapy and antimicrobial resistance</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infection, infections, drug, resistant, aeruginosa, bacterial, phage, tb, mdr, animal</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T5</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68</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Faecal microbiota transplantation for Clostridioides difficile infection</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fmt, difficile, transplantation, fecal, cdi, microbiota transplantation, fecal microbiota, microbiota, treatment, infection</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T6</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60</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Bile acid metabolism and hepatic drug transporters</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liver, bile, acid, protein, transporter, drug, bile acid, metabolism, transporters, ba</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T7</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53</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Inflammatory bowel disease and intestinal inflammation</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ibd, disease, inflammatory, bowel, inflammatory bowel, bowel disease, colitis, crohn, crohn disease, intestinal</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T8</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52</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Ulcerative colitis and pouchitis</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colitis, ulcerative, ulcerative colitis, uc, disease, treatment, inflammatory, patients, pouch, therapy</w:t>
            </w:r>
          </w:p>
        </w:tc>
      </w:tr>
      <w:tr>
        <w:trPr>
          <w:trHeight w:val="255" w:hRule="atLeast"/>
          <w:cantSplit/>
        </w:trPr>
        <w:tc>
          <w:tcPr>
            <w:tcW w:type="dxa" w:w="737"/>
            <w:tcBorders>
              <w:top w:val="nil"/>
              <w:left w:val="nil"/>
              <w:bottom w:val="nil"/>
              <w:right w:val="nil"/>
            </w:tcBorders>
          </w:tcPr>
          <w:p>
            <w:pPr>
              <w:spacing w:before="30" w:after="30"/>
              <w:jc w:val="left"/>
            </w:pPr>
            <w:r/>
            <w:r>
              <w:rPr>
                <w:rFonts w:ascii="Times New Roman" w:hAnsi="Times New Roman" w:eastAsia="Times New Roman"/>
                <w:b w:val="0"/>
                <w:i w:val="0"/>
                <w:sz w:val="17"/>
              </w:rPr>
              <w:t>T9</w:t>
            </w:r>
          </w:p>
        </w:tc>
        <w:tc>
          <w:tcPr>
            <w:tcW w:type="dxa" w:w="1077"/>
            <w:tcBorders>
              <w:top w:val="nil"/>
              <w:left w:val="nil"/>
              <w:bottom w:val="nil"/>
              <w:right w:val="nil"/>
            </w:tcBorders>
          </w:tcPr>
          <w:p>
            <w:pPr>
              <w:spacing w:before="30" w:after="30"/>
              <w:jc w:val="left"/>
            </w:pPr>
            <w:r/>
            <w:r>
              <w:rPr>
                <w:rFonts w:ascii="Times New Roman" w:hAnsi="Times New Roman" w:eastAsia="Times New Roman"/>
                <w:b w:val="0"/>
                <w:i w:val="0"/>
                <w:sz w:val="17"/>
              </w:rPr>
              <w:t>31</w:t>
            </w:r>
          </w:p>
        </w:tc>
        <w:tc>
          <w:tcPr>
            <w:tcW w:type="dxa" w:w="3061"/>
            <w:tcBorders>
              <w:top w:val="nil"/>
              <w:left w:val="nil"/>
              <w:bottom w:val="nil"/>
              <w:right w:val="nil"/>
            </w:tcBorders>
          </w:tcPr>
          <w:p>
            <w:pPr>
              <w:spacing w:before="30" w:after="30"/>
              <w:jc w:val="left"/>
            </w:pPr>
            <w:r/>
            <w:r>
              <w:rPr>
                <w:rFonts w:ascii="Times New Roman" w:hAnsi="Times New Roman" w:eastAsia="Times New Roman"/>
                <w:b w:val="0"/>
                <w:i w:val="0"/>
                <w:sz w:val="17"/>
              </w:rPr>
              <w:t>Hepatocellular carcinoma and sorafenib resistance</w:t>
            </w:r>
          </w:p>
        </w:tc>
        <w:tc>
          <w:tcPr>
            <w:tcW w:type="dxa" w:w="4649"/>
            <w:tcBorders>
              <w:top w:val="nil"/>
              <w:left w:val="nil"/>
              <w:bottom w:val="nil"/>
              <w:right w:val="nil"/>
            </w:tcBorders>
          </w:tcPr>
          <w:p>
            <w:pPr>
              <w:spacing w:before="30" w:after="30"/>
              <w:jc w:val="left"/>
            </w:pPr>
            <w:r/>
            <w:r>
              <w:rPr>
                <w:rFonts w:ascii="Times New Roman" w:hAnsi="Times New Roman" w:eastAsia="Times New Roman"/>
                <w:b w:val="0"/>
                <w:i w:val="0"/>
                <w:sz w:val="17"/>
              </w:rPr>
              <w:t>hcc, liver, hepatocellular, carcinoma, hepatocellular carcinoma, tumor, immune, sorafenib, resistance, immunotherapy</w:t>
            </w:r>
          </w:p>
        </w:tc>
      </w:tr>
      <w:tr>
        <w:trPr>
          <w:trHeight w:val="255" w:hRule="atLeast"/>
          <w:cantSplit/>
        </w:trPr>
        <w:tc>
          <w:tcPr>
            <w:tcW w:type="dxa" w:w="737"/>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7"/>
              </w:rPr>
              <w:t>T10</w:t>
            </w:r>
          </w:p>
        </w:tc>
        <w:tc>
          <w:tcPr>
            <w:tcW w:type="dxa" w:w="1077"/>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7"/>
              </w:rPr>
              <w:t>31</w:t>
            </w:r>
          </w:p>
        </w:tc>
        <w:tc>
          <w:tcPr>
            <w:tcW w:type="dxa" w:w="3061"/>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7"/>
              </w:rPr>
              <w:t>Graft-versus-host disease after haematopoietic stem cell transplantation</w:t>
            </w:r>
          </w:p>
        </w:tc>
        <w:tc>
          <w:tcPr>
            <w:tcW w:type="dxa" w:w="4649"/>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7"/>
              </w:rPr>
              <w:t>transplantation, gvhd, graft, graft versus, versus, versus host, acute, cell transplantation, host disease, agvhd</w:t>
            </w:r>
          </w:p>
        </w:tc>
      </w:tr>
    </w:tbl>
    <w:p>
      <w:pPr>
        <w:keepNext w:val="0"/>
        <w:keepLines/>
        <w:spacing w:after="240" w:before="120"/>
        <w:jc w:val="both"/>
      </w:pPr>
      <w:r>
        <w:rPr>
          <w:rFonts w:ascii="Times New Roman" w:hAnsi="Times New Roman"/>
          <w:b w:val="0"/>
          <w:i/>
          <w:sz w:val="18"/>
        </w:rPr>
        <w:t>The topic inventory, the terms and representative documents used for labelling, and the labelling record are provided in the reproducibility package.</w:t>
      </w:r>
    </w:p>
    <w:p>
      <w:r>
        <w:br w:type="page"/>
      </w:r>
    </w:p>
    <w:p>
      <w:pPr>
        <w:keepNext w:val="0"/>
        <w:keepLines w:val="0"/>
        <w:spacing w:after="120" w:before="0"/>
        <w:jc w:val="both"/>
      </w:pPr>
      <w:r>
        <w:rPr>
          <w:rFonts w:ascii="Times New Roman" w:hAnsi="Times New Roman" w:eastAsia="Times New Roman"/>
          <w:b/>
          <w:i w:val="0"/>
          <w:sz w:val="24"/>
        </w:rPr>
        <w:t>4 The outlier topic</w:t>
      </w:r>
    </w:p>
    <w:p>
      <w:pPr>
        <w:keepNext w:val="0"/>
        <w:keepLines w:val="0"/>
        <w:spacing w:after="120" w:before="0"/>
        <w:jc w:val="both"/>
      </w:pPr>
      <w:r>
        <w:rPr>
          <w:rFonts w:ascii="Times New Roman" w:hAnsi="Times New Roman" w:eastAsia="Times New Roman"/>
          <w:b w:val="0"/>
          <w:i w:val="0"/>
          <w:sz w:val="21"/>
        </w:rPr>
        <w:t>HDBSCAN assigns documents that belong to no dense cluster to the outlier topic. In this corpus the outlier topic contains 341 documents, that is 22.3 per cent of the corpus, and its most frequent terms are generic words such as cancer, cell, treatment and patients, which carry no joint topical signal. The outlier topic is excluded from every topic-level analysis, so all reported frequencies are conditional on the remaining 1,191 documents. Table S7 reports a reallocation experiment in which the outliers are reassigned to the most similar topic by class-based TF-IDF similarity; the share of unassigned documents falls to zero, and the change in each topic size indicates how much of the outlier mass each theme would absorb.</w:t>
      </w:r>
    </w:p>
    <w:p>
      <w:pPr>
        <w:keepNext/>
        <w:keepLines w:val="0"/>
        <w:spacing w:after="120" w:before="120"/>
        <w:jc w:val="left"/>
      </w:pPr>
      <w:r>
        <w:rPr>
          <w:rFonts w:ascii="Times New Roman" w:hAnsi="Times New Roman" w:eastAsia="Times New Roman"/>
          <w:b/>
          <w:i w:val="0"/>
          <w:sz w:val="22"/>
        </w:rPr>
        <w:t>Table S7. Reallocation of the outlier documents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24"/>
        <w:gridCol w:w="3324"/>
        <w:gridCol w:w="3324"/>
      </w:tblGrid>
      <w:tr>
        <w:trPr>
          <w:trHeight w:val="255" w:hRule="atLeast"/>
          <w:tblHeader/>
          <w:cantSplit/>
        </w:trPr>
        <w:tc>
          <w:tcPr>
            <w:tcW w:type="dxa" w:w="170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Topic</w:t>
            </w:r>
          </w:p>
        </w:tc>
        <w:tc>
          <w:tcPr>
            <w:tcW w:type="dxa" w:w="2835"/>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Documents before</w:t>
            </w:r>
          </w:p>
        </w:tc>
        <w:tc>
          <w:tcPr>
            <w:tcW w:type="dxa" w:w="3402"/>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Documents after reassignment</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Topic -1</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341</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0</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T0</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285</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379</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T1</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239</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266</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T2</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212</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296</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T3</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85</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86</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T4</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75</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112</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T5</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68</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82</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T6</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60</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88</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T7</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53</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84</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T8</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52</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61</w:t>
            </w:r>
          </w:p>
        </w:tc>
      </w:tr>
      <w:tr>
        <w:trPr>
          <w:trHeight w:val="255" w:hRule="atLeast"/>
          <w:cantSplit/>
        </w:trPr>
        <w:tc>
          <w:tcPr>
            <w:tcW w:type="dxa" w:w="1701"/>
            <w:tcBorders>
              <w:top w:val="nil"/>
              <w:left w:val="nil"/>
              <w:bottom w:val="nil"/>
              <w:right w:val="nil"/>
            </w:tcBorders>
          </w:tcPr>
          <w:p>
            <w:pPr>
              <w:spacing w:before="30" w:after="30"/>
              <w:jc w:val="center"/>
            </w:pPr>
            <w:r/>
            <w:r>
              <w:rPr>
                <w:rFonts w:ascii="Times New Roman" w:hAnsi="Times New Roman" w:eastAsia="Times New Roman"/>
                <w:b w:val="0"/>
                <w:i w:val="0"/>
                <w:sz w:val="19"/>
              </w:rPr>
              <w:t>T9</w:t>
            </w:r>
          </w:p>
        </w:tc>
        <w:tc>
          <w:tcPr>
            <w:tcW w:type="dxa" w:w="2835"/>
            <w:tcBorders>
              <w:top w:val="nil"/>
              <w:left w:val="nil"/>
              <w:bottom w:val="nil"/>
              <w:right w:val="nil"/>
            </w:tcBorders>
          </w:tcPr>
          <w:p>
            <w:pPr>
              <w:spacing w:before="30" w:after="30"/>
              <w:jc w:val="center"/>
            </w:pPr>
            <w:r/>
            <w:r>
              <w:rPr>
                <w:rFonts w:ascii="Times New Roman" w:hAnsi="Times New Roman" w:eastAsia="Times New Roman"/>
                <w:b w:val="0"/>
                <w:i w:val="0"/>
                <w:sz w:val="19"/>
              </w:rPr>
              <w:t>31</w:t>
            </w:r>
          </w:p>
        </w:tc>
        <w:tc>
          <w:tcPr>
            <w:tcW w:type="dxa" w:w="3402"/>
            <w:tcBorders>
              <w:top w:val="nil"/>
              <w:left w:val="nil"/>
              <w:bottom w:val="nil"/>
              <w:right w:val="nil"/>
            </w:tcBorders>
          </w:tcPr>
          <w:p>
            <w:pPr>
              <w:spacing w:before="30" w:after="30"/>
              <w:jc w:val="center"/>
            </w:pPr>
            <w:r/>
            <w:r>
              <w:rPr>
                <w:rFonts w:ascii="Times New Roman" w:hAnsi="Times New Roman" w:eastAsia="Times New Roman"/>
                <w:b w:val="0"/>
                <w:i w:val="0"/>
                <w:sz w:val="19"/>
              </w:rPr>
              <w:t>40</w:t>
            </w:r>
          </w:p>
        </w:tc>
      </w:tr>
      <w:tr>
        <w:trPr>
          <w:trHeight w:val="255" w:hRule="atLeast"/>
          <w:cantSplit/>
        </w:trPr>
        <w:tc>
          <w:tcPr>
            <w:tcW w:type="dxa" w:w="1701"/>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9"/>
              </w:rPr>
              <w:t>T10</w:t>
            </w:r>
          </w:p>
        </w:tc>
        <w:tc>
          <w:tcPr>
            <w:tcW w:type="dxa" w:w="2835"/>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9"/>
              </w:rPr>
              <w:t>31</w:t>
            </w:r>
          </w:p>
        </w:tc>
        <w:tc>
          <w:tcPr>
            <w:tcW w:type="dxa" w:w="3402"/>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9"/>
              </w:rPr>
              <w:t>38</w:t>
            </w:r>
          </w:p>
        </w:tc>
      </w:tr>
    </w:tbl>
    <w:p>
      <w:pPr>
        <w:keepNext w:val="0"/>
        <w:keepLines/>
        <w:spacing w:after="280" w:before="120"/>
        <w:jc w:val="both"/>
      </w:pPr>
      <w:r>
        <w:rPr>
          <w:rFonts w:ascii="Times New Roman" w:hAnsi="Times New Roman" w:eastAsia="Times New Roman"/>
          <w:b w:val="0"/>
          <w:i/>
          <w:sz w:val="18"/>
        </w:rPr>
        <w:t>Reassignment is a diagnostic for information loss rather than a replacement for the primary analysis, because it imposes a topic on documents that the clustering model declined to group.</w:t>
      </w:r>
    </w:p>
    <w:p>
      <w:pPr>
        <w:keepNext w:val="0"/>
        <w:keepLines w:val="0"/>
        <w:spacing w:after="120" w:before="120"/>
        <w:jc w:val="both"/>
      </w:pPr>
      <w:r>
        <w:rPr>
          <w:rFonts w:ascii="Times New Roman" w:hAnsi="Times New Roman" w:eastAsia="Times New Roman"/>
          <w:b/>
          <w:i w:val="0"/>
          <w:sz w:val="24"/>
        </w:rPr>
        <w:t>5 Sensitivity of the topic solution</w:t>
      </w:r>
    </w:p>
    <w:p>
      <w:pPr>
        <w:keepNext w:val="0"/>
        <w:keepLines w:val="0"/>
        <w:spacing w:after="120" w:before="0"/>
        <w:jc w:val="both"/>
      </w:pPr>
      <w:r>
        <w:rPr>
          <w:rFonts w:ascii="Times New Roman" w:hAnsi="Times New Roman" w:eastAsia="Times New Roman"/>
          <w:b w:val="0"/>
          <w:i w:val="0"/>
          <w:sz w:val="21"/>
        </w:rPr>
        <w:t>The stability of the solution was tested by varying the two clustering settings that govern the number and granularity of topics, the vectoriser threshold and the number of neighbours used by UMAP. Each configuration was scored by the number of topics it returned, the share of documents left unassigned, and the fraction of the baseline topics that could be matched in it at a term-overlap Jaccard value of at least 0.5.</w:t>
      </w:r>
    </w:p>
    <w:p>
      <w:pPr>
        <w:keepNext/>
        <w:keepLines w:val="0"/>
        <w:spacing w:after="120" w:before="120"/>
        <w:jc w:val="left"/>
      </w:pPr>
      <w:r>
        <w:rPr>
          <w:rFonts w:ascii="Times New Roman" w:hAnsi="Times New Roman" w:eastAsia="Times New Roman"/>
          <w:b/>
          <w:i w:val="0"/>
          <w:sz w:val="22"/>
        </w:rPr>
        <w:t>Table S8. Sensitivity of the topic solution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62"/>
        <w:gridCol w:w="1662"/>
        <w:gridCol w:w="1662"/>
        <w:gridCol w:w="1662"/>
        <w:gridCol w:w="1662"/>
        <w:gridCol w:w="1662"/>
      </w:tblGrid>
      <w:tr>
        <w:trPr>
          <w:trHeight w:val="255" w:hRule="atLeast"/>
          <w:tblHeader/>
          <w:cantSplit/>
        </w:trPr>
        <w:tc>
          <w:tcPr>
            <w:tcW w:type="dxa" w:w="4195"/>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Configuration</w:t>
            </w:r>
          </w:p>
        </w:tc>
        <w:tc>
          <w:tcPr>
            <w:tcW w:type="dxa" w:w="85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Topics</w:t>
            </w:r>
          </w:p>
        </w:tc>
        <w:tc>
          <w:tcPr>
            <w:tcW w:type="dxa" w:w="102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Valid topics</w:t>
            </w:r>
          </w:p>
        </w:tc>
        <w:tc>
          <w:tcPr>
            <w:tcW w:type="dxa" w:w="119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Unassigned (%)</w:t>
            </w:r>
          </w:p>
        </w:tc>
        <w:tc>
          <w:tcPr>
            <w:tcW w:type="dxa" w:w="136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Baseline topics matched</w:t>
            </w:r>
          </w:p>
        </w:tc>
        <w:tc>
          <w:tcPr>
            <w:tcW w:type="dxa" w:w="113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7"/>
              </w:rPr>
              <w:t>Matched fraction</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25,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22.3</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1.00</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10, min_cluster_size = 25,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8</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14.4</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8</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0.73</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30, min_cluster_size = 25,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10</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23.0</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0.82</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15,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0.0</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0.09</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40,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8</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7</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20.2</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6</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0.55</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25, min_samples = 5,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13</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12</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14.6</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1.00</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25, min_samples = 20,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10</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28.0</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0.82</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25, min_samples = 10, min_df = 1</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22.3</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1.00</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15, min_cluster_size = 25, min_samples = 10, min_df = 5</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12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22.3</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1.00</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10, min_cluster_size = 15,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0.0</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0.09</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10, min_cluster_size = 40,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9</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8</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14.4</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8</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0.73</w:t>
            </w:r>
          </w:p>
        </w:tc>
      </w:tr>
      <w:tr>
        <w:trPr>
          <w:trHeight w:val="255" w:hRule="atLeast"/>
          <w:cantSplit/>
        </w:trPr>
        <w:tc>
          <w:tcPr>
            <w:tcW w:type="dxa" w:w="4195"/>
            <w:tcBorders>
              <w:top w:val="nil"/>
              <w:left w:val="nil"/>
              <w:bottom w:val="nil"/>
              <w:right w:val="nil"/>
            </w:tcBorders>
          </w:tcPr>
          <w:p>
            <w:pPr>
              <w:spacing w:before="30" w:after="30"/>
              <w:jc w:val="left"/>
            </w:pPr>
            <w:r/>
            <w:r>
              <w:rPr>
                <w:rFonts w:ascii="Times New Roman" w:hAnsi="Times New Roman" w:eastAsia="Times New Roman"/>
                <w:b w:val="0"/>
                <w:i w:val="0"/>
                <w:sz w:val="17"/>
              </w:rPr>
              <w:t>n_neighbors = 30, min_cluster_size = 15, min_samples = 10, min_df = 2</w:t>
            </w:r>
          </w:p>
        </w:tc>
        <w:tc>
          <w:tcPr>
            <w:tcW w:type="dxa" w:w="85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020"/>
            <w:tcBorders>
              <w:top w:val="nil"/>
              <w:left w:val="nil"/>
              <w:bottom w:val="nil"/>
              <w:right w:val="nil"/>
            </w:tcBorders>
          </w:tcPr>
          <w:p>
            <w:pPr>
              <w:spacing w:before="30" w:after="30"/>
              <w:jc w:val="center"/>
            </w:pPr>
            <w:r/>
            <w:r>
              <w:rPr>
                <w:rFonts w:ascii="Times New Roman" w:hAnsi="Times New Roman" w:eastAsia="Times New Roman"/>
                <w:b w:val="0"/>
                <w:i w:val="0"/>
                <w:sz w:val="17"/>
              </w:rPr>
              <w:t>2</w:t>
            </w:r>
          </w:p>
        </w:tc>
        <w:tc>
          <w:tcPr>
            <w:tcW w:type="dxa" w:w="1191"/>
            <w:tcBorders>
              <w:top w:val="nil"/>
              <w:left w:val="nil"/>
              <w:bottom w:val="nil"/>
              <w:right w:val="nil"/>
            </w:tcBorders>
          </w:tcPr>
          <w:p>
            <w:pPr>
              <w:spacing w:before="30" w:after="30"/>
              <w:jc w:val="center"/>
            </w:pPr>
            <w:r/>
            <w:r>
              <w:rPr>
                <w:rFonts w:ascii="Times New Roman" w:hAnsi="Times New Roman" w:eastAsia="Times New Roman"/>
                <w:b w:val="0"/>
                <w:i w:val="0"/>
                <w:sz w:val="17"/>
              </w:rPr>
              <w:t>0.0</w:t>
            </w:r>
          </w:p>
        </w:tc>
        <w:tc>
          <w:tcPr>
            <w:tcW w:type="dxa" w:w="1361"/>
            <w:tcBorders>
              <w:top w:val="nil"/>
              <w:left w:val="nil"/>
              <w:bottom w:val="nil"/>
              <w:right w:val="nil"/>
            </w:tcBorders>
          </w:tcPr>
          <w:p>
            <w:pPr>
              <w:spacing w:before="30" w:after="30"/>
              <w:jc w:val="center"/>
            </w:pPr>
            <w:r/>
            <w:r>
              <w:rPr>
                <w:rFonts w:ascii="Times New Roman" w:hAnsi="Times New Roman" w:eastAsia="Times New Roman"/>
                <w:b w:val="0"/>
                <w:i w:val="0"/>
                <w:sz w:val="17"/>
              </w:rPr>
              <w:t>1</w:t>
            </w:r>
          </w:p>
        </w:tc>
        <w:tc>
          <w:tcPr>
            <w:tcW w:type="dxa" w:w="1134"/>
            <w:tcBorders>
              <w:top w:val="nil"/>
              <w:left w:val="nil"/>
              <w:bottom w:val="nil"/>
              <w:right w:val="nil"/>
            </w:tcBorders>
          </w:tcPr>
          <w:p>
            <w:pPr>
              <w:spacing w:before="30" w:after="30"/>
              <w:jc w:val="center"/>
            </w:pPr>
            <w:r/>
            <w:r>
              <w:rPr>
                <w:rFonts w:ascii="Times New Roman" w:hAnsi="Times New Roman" w:eastAsia="Times New Roman"/>
                <w:b w:val="0"/>
                <w:i w:val="0"/>
                <w:sz w:val="17"/>
              </w:rPr>
              <w:t>0.09</w:t>
            </w:r>
          </w:p>
        </w:tc>
      </w:tr>
      <w:tr>
        <w:trPr>
          <w:trHeight w:val="255" w:hRule="atLeast"/>
          <w:cantSplit/>
        </w:trPr>
        <w:tc>
          <w:tcPr>
            <w:tcW w:type="dxa" w:w="4195"/>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7"/>
              </w:rPr>
              <w:t>n_neighbors = 30, min_cluster_size = 40, min_samples = 10, min_df = 2</w:t>
            </w:r>
          </w:p>
        </w:tc>
        <w:tc>
          <w:tcPr>
            <w:tcW w:type="dxa" w:w="850"/>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7"/>
              </w:rPr>
              <w:t>8</w:t>
            </w:r>
          </w:p>
        </w:tc>
        <w:tc>
          <w:tcPr>
            <w:tcW w:type="dxa" w:w="1020"/>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7"/>
              </w:rPr>
              <w:t>7</w:t>
            </w:r>
          </w:p>
        </w:tc>
        <w:tc>
          <w:tcPr>
            <w:tcW w:type="dxa" w:w="1191"/>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7"/>
              </w:rPr>
              <w:t>22.2</w:t>
            </w:r>
          </w:p>
        </w:tc>
        <w:tc>
          <w:tcPr>
            <w:tcW w:type="dxa" w:w="1361"/>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7"/>
              </w:rPr>
              <w:t>7</w:t>
            </w:r>
          </w:p>
        </w:tc>
        <w:tc>
          <w:tcPr>
            <w:tcW w:type="dxa" w:w="1134"/>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7"/>
              </w:rPr>
              <w:t>0.64</w:t>
            </w:r>
          </w:p>
        </w:tc>
      </w:tr>
    </w:tbl>
    <w:p>
      <w:pPr>
        <w:keepNext w:val="0"/>
        <w:keepLines/>
        <w:spacing w:after="240" w:before="120"/>
        <w:jc w:val="both"/>
      </w:pPr>
      <w:r>
        <w:rPr>
          <w:rFonts w:ascii="Times New Roman" w:hAnsi="Times New Roman" w:eastAsia="Times New Roman"/>
          <w:b w:val="0"/>
          <w:i/>
          <w:sz w:val="18"/>
        </w:rPr>
        <w:t>The solution is insensitive to the vectoriser threshold and to the number of samples per cluster, changes moderately with the number of UMAP neighbours, and is driven mainly by the minimum cluster size: a value of 15 collapses the model to two topics at this corpus size, and a value of 40 returns fewer and coarser topics. The settings used in the manuscript sit between those extremes.</w:t>
      </w:r>
    </w:p>
    <w:p>
      <w:pPr>
        <w:keepNext w:val="0"/>
        <w:keepLines w:val="0"/>
        <w:spacing w:after="120" w:before="120"/>
        <w:jc w:val="both"/>
      </w:pPr>
      <w:r>
        <w:rPr>
          <w:rFonts w:ascii="Times New Roman" w:hAnsi="Times New Roman" w:eastAsia="Times New Roman"/>
          <w:b/>
          <w:i w:val="0"/>
          <w:sz w:val="24"/>
        </w:rPr>
        <w:t>6 Software</w:t>
      </w:r>
    </w:p>
    <w:p>
      <w:pPr>
        <w:keepNext w:val="0"/>
        <w:keepLines w:val="0"/>
        <w:spacing w:after="120" w:before="0"/>
        <w:jc w:val="both"/>
      </w:pPr>
      <w:r>
        <w:rPr>
          <w:rFonts w:ascii="Times New Roman" w:hAnsi="Times New Roman" w:eastAsia="Times New Roman"/>
          <w:b w:val="0"/>
          <w:i w:val="0"/>
          <w:sz w:val="21"/>
        </w:rPr>
        <w:t>All analyses were performed in Python 3.12 with BERTopic 0.17.4, sentence-transformers 6.0.1, transformers 5.17.0, UMAP-learn 0.5.12, HDBSCAN 0.8.44 and scikit-learn 1.9.1.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