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after="240" w:before="0"/>
        <w:jc w:val="center"/>
      </w:pPr>
      <w:r>
        <w:rPr>
          <w:rFonts w:ascii="Times New Roman" w:hAnsi="Times New Roman" w:eastAsia="Times New Roman"/>
          <w:b/>
          <w:i w:val="0"/>
          <w:sz w:val="30"/>
        </w:rPr>
        <w:t>Supplementary methods for the D³TEM analysis of topic structure dynamics</w:t>
      </w:r>
    </w:p>
    <w:p>
      <w:pPr>
        <w:keepNext w:val="0"/>
        <w:keepLines w:val="0"/>
        <w:spacing w:after="240" w:before="0"/>
        <w:jc w:val="both"/>
      </w:pPr>
      <w:r>
        <w:rPr>
          <w:rFonts w:ascii="Times New Roman" w:hAnsi="Times New Roman" w:eastAsia="Times New Roman"/>
          <w:b w:val="0"/>
          <w:i w:val="0"/>
          <w:sz w:val="21"/>
        </w:rPr>
        <w:t>This supplement documents the Dynamic Three-dimensional Topic Evolution Model (D³TEM) applied to the final corpus of 1,532 deduplicated records published between 2016 and 2025. It states the formulas, the parameter values and the sensitivity analyses, so that the drift index and the lifecycle results reported in Figure 10 can be reproduced and audited. All analyses were performed in Python 3.12 with BERTopic 0.17.4, SciPy 1.18.1, POT 0.9.7 and statsmodels 0.15.0.</w:t>
      </w:r>
    </w:p>
    <w:p>
      <w:pPr>
        <w:keepNext w:val="0"/>
        <w:keepLines w:val="0"/>
        <w:spacing w:after="120" w:before="120"/>
        <w:jc w:val="both"/>
      </w:pPr>
      <w:r>
        <w:rPr>
          <w:rFonts w:ascii="Times New Roman" w:hAnsi="Times New Roman" w:eastAsia="Times New Roman"/>
          <w:b/>
          <w:i w:val="0"/>
          <w:sz w:val="24"/>
        </w:rPr>
        <w:t>1 Input from topic modelling</w:t>
      </w:r>
    </w:p>
    <w:p>
      <w:pPr>
        <w:keepNext w:val="0"/>
        <w:keepLines w:val="0"/>
        <w:spacing w:after="160" w:before="0"/>
        <w:jc w:val="both"/>
      </w:pPr>
      <w:r>
        <w:rPr>
          <w:rFonts w:ascii="Times New Roman" w:hAnsi="Times New Roman" w:eastAsia="Times New Roman"/>
          <w:b w:val="0"/>
          <w:i w:val="0"/>
          <w:sz w:val="21"/>
        </w:rPr>
        <w:t>Stage 1 reuses the BERTopic solution described in the main Methods. Each topic is represented by its class-based TF-IDF vector over the full vocabulary, and the 11 valid topics are used as the units of all later stages. The outlier topic, which contains 341 documents (22.3 per cent of the corpus), is excluded because it carries no shared topical signal. Let uᵢ denote the c-TF-IDF vector of topic i.</w:t>
      </w:r>
    </w:p>
    <w:p>
      <w:pPr>
        <w:keepNext w:val="0"/>
        <w:keepLines w:val="0"/>
        <w:spacing w:after="120" w:before="120"/>
        <w:jc w:val="both"/>
      </w:pPr>
      <w:r>
        <w:rPr>
          <w:rFonts w:ascii="Times New Roman" w:hAnsi="Times New Roman" w:eastAsia="Times New Roman"/>
          <w:b/>
          <w:i w:val="0"/>
          <w:sz w:val="24"/>
        </w:rPr>
        <w:t>2 Ward meta-clustering of topics</w:t>
      </w:r>
    </w:p>
    <w:p>
      <w:pPr>
        <w:keepNext w:val="0"/>
        <w:keepLines w:val="0"/>
        <w:spacing w:after="80" w:before="0"/>
        <w:jc w:val="both"/>
      </w:pPr>
      <w:r>
        <w:rPr>
          <w:rFonts w:ascii="Times New Roman" w:hAnsi="Times New Roman" w:eastAsia="Times New Roman"/>
          <w:b w:val="0"/>
          <w:i w:val="0"/>
          <w:sz w:val="21"/>
        </w:rPr>
        <w:t>Topics are clustered with Ward linkage on Euclidean distances, which merges the pair of clusters whose merge increases the within-cluster sum of squares the least:</w:t>
      </w:r>
    </w:p>
    <w:p>
      <w:pPr>
        <w:spacing w:before="120" w:after="120"/>
        <w:jc w:val="center"/>
      </w:pPr>
      <m:oMath>
        <m:r>
          <m:t xml:space="preserve">Δ(A,B) = </m:t>
        </m:r>
        <m:f>
          <m:num>
            <m:r>
              <m:t xml:space="preserve">|A| |B|</m:t>
            </m:r>
          </m:num>
          <m:den>
            <m:r>
              <m:t xml:space="preserve">|A| + |B|</m:t>
            </m:r>
          </m:den>
        </m:f>
        <m:r>
          <m:t xml:space="preserve"> ‖</m:t>
        </m:r>
        <m:sSub>
          <m:e>
            <m:r>
              <m:t xml:space="preserve">c</m:t>
            </m:r>
          </m:e>
          <m:sub>
            <m:r>
              <m:t xml:space="preserve">A</m:t>
            </m:r>
          </m:sub>
        </m:sSub>
        <m:r>
          <m:t xml:space="preserve"> −</m:t>
        </m:r>
        <m:sSub>
          <m:e>
            <m:r>
              <m:t xml:space="preserve">c</m:t>
            </m:r>
          </m:e>
          <m:sub>
            <m:r>
              <m:t xml:space="preserve">B</m:t>
            </m:r>
          </m:sub>
        </m:sSub>
        <m:r>
          <m:t xml:space="preserve">‖</m:t>
        </m:r>
        <m:r>
          <m:t xml:space="preserve">²</m:t>
        </m:r>
      </m:oMath>
      <w:r>
        <w:rPr>
          <w:rFonts w:ascii="Times New Roman" w:hAnsi="Times New Roman"/>
          <w:sz w:val="21"/>
        </w:rPr>
        <w:t xml:space="preserve">   (1)</w:t>
      </w:r>
    </w:p>
    <w:p>
      <w:pPr>
        <w:keepNext w:val="0"/>
        <w:keepLines w:val="0"/>
        <w:spacing w:after="160" w:before="0"/>
        <w:jc w:val="both"/>
      </w:pPr>
      <w:r>
        <w:rPr>
          <w:rFonts w:ascii="Times New Roman" w:hAnsi="Times New Roman"/>
          <w:b w:val="0"/>
          <w:i w:val="0"/>
          <w:sz w:val="21"/>
        </w:rPr>
        <w:t>where |A| and |B| are cluster sizes and the centroids are the cluster means. The number of meta-clusters was set to k = 6. Because the drift index defined below acts on the topic distribution rather than on the clustering, k affects only the description of the knowledge architecture and not the drift trajectory, which is confirmed in Table S12.</w:t>
      </w:r>
    </w:p>
    <w:p>
      <w:pPr>
        <w:keepNext w:val="0"/>
        <w:keepLines w:val="0"/>
        <w:spacing w:after="120" w:before="120"/>
        <w:jc w:val="both"/>
      </w:pPr>
      <w:r>
        <w:rPr>
          <w:rFonts w:ascii="Times New Roman" w:hAnsi="Times New Roman"/>
          <w:b/>
          <w:i w:val="0"/>
          <w:sz w:val="24"/>
        </w:rPr>
        <w:t>3 Calendar-year time bins</w:t>
      </w:r>
    </w:p>
    <w:p>
      <w:pPr>
        <w:keepNext w:val="0"/>
        <w:keepLines w:val="0"/>
        <w:spacing w:after="160" w:before="0"/>
        <w:jc w:val="both"/>
      </w:pPr>
      <w:r>
        <w:rPr>
          <w:rFonts w:ascii="Times New Roman" w:hAnsi="Times New Roman"/>
          <w:b w:val="0"/>
          <w:i w:val="0"/>
          <w:sz w:val="21"/>
        </w:rPr>
        <w:t>The corpus is sorted by publication year and divided into B = 10 bins, one for each publication year from 2016 to 2025, so that every bin covers the same calendar interval. The bins contain between 27 documents (2016) and 302 documents (2025), because the annual output grows steeply across the decade. The midpoint of a bin is the mean publication year of the documents it contains. An equal-frequency scheme, in which every bin holds the same number of documents, is retained as an alternative and is reported in Table S12; the two schemes give the same qualitative trajectory but place its minimum at different positions.</w:t>
      </w:r>
    </w:p>
    <w:p>
      <w:pPr>
        <w:keepNext w:val="0"/>
        <w:keepLines w:val="0"/>
        <w:spacing w:after="120" w:before="120"/>
        <w:jc w:val="both"/>
      </w:pPr>
      <w:r>
        <w:rPr>
          <w:rFonts w:ascii="Times New Roman" w:hAnsi="Times New Roman" w:eastAsia="Times New Roman"/>
          <w:b/>
          <w:i w:val="0"/>
          <w:sz w:val="24"/>
        </w:rPr>
        <w:t>4 Entropic optimal transport between adjacent bins</w:t>
      </w:r>
    </w:p>
    <w:p>
      <w:pPr>
        <w:keepNext w:val="0"/>
        <w:keepLines w:val="0"/>
        <w:spacing w:after="80" w:before="0"/>
        <w:jc w:val="both"/>
      </w:pPr>
      <w:r>
        <w:rPr>
          <w:rFonts w:ascii="Times New Roman" w:hAnsi="Times New Roman" w:eastAsia="Times New Roman"/>
          <w:b w:val="0"/>
          <w:i w:val="0"/>
          <w:sz w:val="21"/>
        </w:rPr>
        <w:t>Both marginals are smoothed with a Laplace term before transport, which prevents zero probabilities from making the transport plan degenerate:</w:t>
      </w:r>
    </w:p>
    <w:p>
      <w:pPr>
        <w:spacing w:before="120" w:after="120"/>
        <w:jc w:val="center"/>
      </w:pPr>
      <m:oMath>
        <m:sSub>
          <m:e>
            <m:r>
              <m:t xml:space="preserve">ã</m:t>
            </m:r>
          </m:e>
          <m:sub>
            <m:r>
              <m:t xml:space="preserve">i</m:t>
            </m:r>
          </m:sub>
        </m:sSub>
        <m:r>
          <m:t xml:space="preserve"> = </m:t>
        </m:r>
        <m:f>
          <m:num>
            <m:sSub>
              <m:e>
                <m:r>
                  <m:t xml:space="preserve">a</m:t>
                </m:r>
              </m:e>
              <m:sub>
                <m:r>
                  <m:t xml:space="preserve">i</m:t>
                </m:r>
              </m:sub>
            </m:sSub>
            <m:r>
              <m:t xml:space="preserve"> + ε</m:t>
            </m:r>
          </m:num>
          <m:den>
            <m:r>
              <m:t xml:space="preserve">Σ</m:t>
            </m:r>
            <m:sSub>
              <m:e>
                <m:r>
                  <m:t xml:space="preserve">a</m:t>
                </m:r>
              </m:e>
              <m:sub>
                <m:r>
                  <m:t xml:space="preserve">j</m:t>
                </m:r>
              </m:sub>
            </m:sSub>
            <m:r>
              <m:t xml:space="preserve"> + ε</m:t>
            </m:r>
          </m:den>
        </m:f>
      </m:oMath>
      <w:r>
        <w:rPr>
          <w:rFonts w:ascii="Times New Roman" w:hAnsi="Times New Roman"/>
          <w:sz w:val="21"/>
        </w:rPr>
        <w:t xml:space="preserve">   (2)</w:t>
      </w:r>
    </w:p>
    <w:p>
      <w:pPr>
        <w:keepNext w:val="0"/>
        <w:keepLines w:val="0"/>
        <w:spacing w:after="80" w:before="0"/>
        <w:jc w:val="both"/>
      </w:pPr>
      <w:r>
        <w:rPr>
          <w:rFonts w:ascii="Times New Roman" w:hAnsi="Times New Roman" w:eastAsia="Times New Roman"/>
          <w:b w:val="0"/>
          <w:i w:val="0"/>
          <w:sz w:val="21"/>
        </w:rPr>
        <w:t>with ε = 1 × 10⁻⁴. The transport plan is the solution of the entropically regularised problem</w:t>
      </w:r>
    </w:p>
    <w:p>
      <w:pPr>
        <w:spacing w:before="120" w:after="120"/>
        <w:jc w:val="center"/>
      </w:pPr>
      <m:oMath>
        <m:sSub>
          <m:e>
            <m:r>
              <m:t xml:space="preserve">π</m:t>
            </m:r>
          </m:e>
          <m:sub>
            <m:r>
              <m:t xml:space="preserve">*</m:t>
            </m:r>
          </m:sub>
        </m:sSub>
        <m:r>
          <m:t xml:space="preserve"> = arg min </m:t>
        </m:r>
        <m:sSub>
          <m:e>
            <m:r>
              <m:t xml:space="preserve">π</m:t>
            </m:r>
          </m:e>
          <m:sub>
            <m:r>
              <m:t xml:space="preserve"/>
            </m:r>
          </m:sub>
        </m:sSub>
        <m:r>
          <m:t xml:space="preserve"> ⟨π, C⟩ + λ Σ</m:t>
        </m:r>
        <m:sSub>
          <m:e>
            <m:r>
              <m:t xml:space="preserve">π</m:t>
            </m:r>
          </m:e>
          <m:sub>
            <m:r>
              <m:t xml:space="preserve">ij</m:t>
            </m:r>
          </m:sub>
        </m:sSub>
        <m:r>
          <m:t xml:space="preserve"> (ln </m:t>
        </m:r>
        <m:sSub>
          <m:e>
            <m:r>
              <m:t xml:space="preserve">π</m:t>
            </m:r>
          </m:e>
          <m:sub>
            <m:r>
              <m:t xml:space="preserve">ij</m:t>
            </m:r>
          </m:sub>
        </m:sSub>
        <m:r>
          <m:t xml:space="preserve"> − 1)</m:t>
        </m:r>
      </m:oMath>
      <w:r>
        <w:rPr>
          <w:rFonts w:ascii="Times New Roman" w:hAnsi="Times New Roman"/>
          <w:sz w:val="21"/>
        </w:rPr>
        <w:t xml:space="preserve">   (3)</w:t>
      </w:r>
    </w:p>
    <w:p>
      <w:pPr>
        <w:keepNext w:val="0"/>
        <w:keepLines w:val="0"/>
        <w:spacing w:after="80" w:before="0"/>
        <w:jc w:val="both"/>
      </w:pPr>
      <w:r>
        <w:rPr>
          <w:rFonts w:ascii="Times New Roman" w:hAnsi="Times New Roman" w:eastAsia="Times New Roman"/>
          <w:b w:val="0"/>
          <w:i w:val="0"/>
          <w:sz w:val="21"/>
        </w:rPr>
        <w:t>π is constrained to the set of matrices with row sums ã and column sums b̃. The problem is solved with the log-stabilised Sinkhorn algorithm (ot.sinkhorn in POT) at regularisation λ = 0.05. Two cost matrices are reported. The first reproduces the submitted formulation, in which every cross-topic transfer costs the same:</w:t>
      </w:r>
    </w:p>
    <w:p>
      <w:pPr>
        <w:spacing w:before="120" w:after="120"/>
        <w:jc w:val="center"/>
      </w:pPr>
      <m:oMath>
        <m:sSub>
          <m:e>
            <m:r>
              <m:t xml:space="preserve">C</m:t>
            </m:r>
          </m:e>
          <m:sub>
            <m:r>
              <m:t xml:space="preserve">ij</m:t>
            </m:r>
          </m:sub>
        </m:sSub>
        <m:r>
          <m:t xml:space="preserve"> = 0.5 if i = j, and 1.0 if i ≠ j</m:t>
        </m:r>
      </m:oMath>
      <w:r>
        <w:rPr>
          <w:rFonts w:ascii="Times New Roman" w:hAnsi="Times New Roman"/>
          <w:sz w:val="21"/>
        </w:rPr>
        <w:t xml:space="preserve">   (4)</w:t>
      </w:r>
    </w:p>
    <w:p>
      <w:pPr>
        <w:keepNext w:val="0"/>
        <w:keepLines w:val="0"/>
        <w:spacing w:after="80" w:before="0"/>
        <w:jc w:val="both"/>
      </w:pPr>
      <w:r>
        <w:rPr>
          <w:rFonts w:ascii="Times New Roman" w:hAnsi="Times New Roman" w:eastAsia="Times New Roman"/>
          <w:b w:val="0"/>
          <w:i w:val="0"/>
          <w:sz w:val="21"/>
        </w:rPr>
        <w:t>Because that matrix is uniform off the diagonal, the resulting index can only reflect a change in topic proportions, not semantic movement between topics. A second, semantic cost matrix is therefore reported alongside it, in which the cost of transferring mass between two topics follows their cosine similarity in the c-TF-IDF space:</w:t>
      </w:r>
    </w:p>
    <w:p>
      <w:pPr>
        <w:spacing w:before="120" w:after="120"/>
        <w:jc w:val="center"/>
      </w:pPr>
      <m:oMath>
        <m:sSub>
          <m:e>
            <m:r>
              <m:t xml:space="preserve">C</m:t>
            </m:r>
          </m:e>
          <m:sub>
            <m:r>
              <m:t xml:space="preserve">ij</m:t>
            </m:r>
          </m:sub>
        </m:sSub>
        <m:r>
          <m:t xml:space="preserve"> = 1 − 0.5 cos(</m:t>
        </m:r>
        <m:sSub>
          <m:e>
            <m:r>
              <m:t xml:space="preserve">u</m:t>
            </m:r>
          </m:e>
          <m:sub>
            <m:r>
              <m:t xml:space="preserve">i</m:t>
            </m:r>
          </m:sub>
        </m:sSub>
        <m:r>
          <m:t xml:space="preserve">, </m:t>
        </m:r>
        <m:sSub>
          <m:e>
            <m:r>
              <m:t xml:space="preserve">u</m:t>
            </m:r>
          </m:e>
          <m:sub>
            <m:r>
              <m:t xml:space="preserve">j</m:t>
            </m:r>
          </m:sub>
        </m:sSub>
        <m:r>
          <m:t xml:space="preserve">)</m:t>
        </m:r>
      </m:oMath>
      <w:r>
        <w:rPr>
          <w:rFonts w:ascii="Times New Roman" w:hAnsi="Times New Roman"/>
          <w:sz w:val="21"/>
        </w:rPr>
        <w:t xml:space="preserve">   (5)</w:t>
      </w:r>
    </w:p>
    <w:p>
      <w:pPr>
        <w:keepNext w:val="0"/>
        <w:keepLines w:val="0"/>
        <w:spacing w:after="120" w:before="120"/>
        <w:jc w:val="both"/>
      </w:pPr>
      <w:r>
        <w:rPr>
          <w:rFonts w:ascii="Times New Roman" w:hAnsi="Times New Roman" w:eastAsia="Times New Roman"/>
          <w:b/>
          <w:i w:val="0"/>
          <w:sz w:val="24"/>
        </w:rPr>
        <w:t>5 Drift index</w:t>
      </w:r>
    </w:p>
    <w:p>
      <w:pPr>
        <w:keepNext w:val="0"/>
        <w:keepLines w:val="0"/>
        <w:spacing w:after="80" w:before="0"/>
        <w:jc w:val="both"/>
      </w:pPr>
      <w:r>
        <w:rPr>
          <w:rFonts w:ascii="Times New Roman" w:hAnsi="Times New Roman" w:eastAsia="Times New Roman"/>
          <w:b w:val="0"/>
          <w:i w:val="0"/>
          <w:sz w:val="21"/>
        </w:rPr>
        <w:t>The drift index summarises how much topic mass fails to remain in place between two adjacent bins:</w:t>
      </w:r>
    </w:p>
    <w:p>
      <w:pPr>
        <w:spacing w:before="120" w:after="120"/>
        <w:jc w:val="center"/>
      </w:pPr>
      <m:oMath>
        <m:r>
          <m:t xml:space="preserve">d = </m:t>
        </m:r>
        <m:f>
          <m:num>
            <m:r>
              <m:t xml:space="preserve">1 − tr(π)</m:t>
            </m:r>
          </m:num>
          <m:den>
            <m:r>
              <m:t xml:space="preserve">1 − 1 / n</m:t>
            </m:r>
          </m:den>
        </m:f>
      </m:oMath>
      <w:r>
        <w:rPr>
          <w:rFonts w:ascii="Times New Roman" w:hAnsi="Times New Roman"/>
          <w:sz w:val="21"/>
        </w:rPr>
        <w:t xml:space="preserve">   (6)</w:t>
      </w:r>
    </w:p>
    <w:p>
      <w:pPr>
        <w:keepNext w:val="0"/>
        <w:keepLines w:val="0"/>
        <w:spacing w:after="160" w:before="0"/>
        <w:jc w:val="both"/>
      </w:pPr>
      <w:r>
        <w:rPr>
          <w:rFonts w:ascii="Times New Roman" w:hAnsi="Times New Roman" w:eastAsia="Times New Roman"/>
          <w:b w:val="0"/>
          <w:i w:val="0"/>
          <w:sz w:val="21"/>
        </w:rPr>
        <w:t>where tr(π) is the mass transported along the diagonal and n = 11 is the number of valid topics. The index equals 0 when the topic distribution is unchanged and approaches n / (n − 1) = 1.100 when the distribution is completely reorganised. Under the published uniform cost the index measures proportional reorganisation of topic mass; under the semantic cost it additionally penalises movement between semantically distant topics.</w:t>
      </w:r>
    </w:p>
    <w:p>
      <w:pPr>
        <w:keepNext w:val="0"/>
        <w:keepLines w:val="0"/>
        <w:spacing w:after="120" w:before="120"/>
        <w:jc w:val="both"/>
      </w:pPr>
      <w:r>
        <w:rPr>
          <w:rFonts w:ascii="Times New Roman" w:hAnsi="Times New Roman" w:eastAsia="Times New Roman"/>
          <w:b/>
          <w:i w:val="0"/>
          <w:sz w:val="24"/>
        </w:rPr>
        <w:t>6 Topic birth and death</w:t>
      </w:r>
    </w:p>
    <w:p>
      <w:pPr>
        <w:keepNext w:val="0"/>
        <w:keepLines w:val="0"/>
        <w:spacing w:after="80" w:before="0"/>
        <w:jc w:val="both"/>
      </w:pPr>
      <w:r>
        <w:rPr>
          <w:rFonts w:ascii="Times New Roman" w:hAnsi="Times New Roman" w:eastAsia="Times New Roman"/>
          <w:b w:val="0"/>
          <w:i w:val="0"/>
          <w:sz w:val="21"/>
        </w:rPr>
        <w:t>A topic is recorded as born or dead in a bin transition when its relative frequency changes beyond a fixed threshold:</w:t>
      </w:r>
    </w:p>
    <w:p>
      <w:pPr>
        <w:spacing w:before="120" w:after="120"/>
        <w:jc w:val="center"/>
      </w:pPr>
      <m:oMath>
        <m:sSub>
          <m:e>
            <m:r>
              <m:t xml:space="preserve">Δ</m:t>
            </m:r>
          </m:e>
          <m:sub>
            <m:r>
              <m:t xml:space="preserve">i</m:t>
            </m:r>
          </m:sub>
        </m:sSub>
        <m:r>
          <m:t xml:space="preserve"> = </m:t>
        </m:r>
        <m:f>
          <m:num>
            <m:sSub>
              <m:e>
                <m:r>
                  <m:t xml:space="preserve">b</m:t>
                </m:r>
              </m:e>
              <m:sub>
                <m:r>
                  <m:t xml:space="preserve">i</m:t>
                </m:r>
              </m:sub>
            </m:sSub>
            <m:r>
              <m:t xml:space="preserve"> − </m:t>
            </m:r>
            <m:sSub>
              <m:e>
                <m:r>
                  <m:t xml:space="preserve">a</m:t>
                </m:r>
              </m:e>
              <m:sub>
                <m:r>
                  <m:t xml:space="preserve">i</m:t>
                </m:r>
              </m:sub>
            </m:sSub>
          </m:num>
          <m:den>
            <m:sSub>
              <m:e>
                <m:r>
                  <m:t xml:space="preserve">a</m:t>
                </m:r>
              </m:e>
              <m:sub>
                <m:r>
                  <m:t xml:space="preserve">i</m:t>
                </m:r>
              </m:sub>
            </m:sSub>
          </m:den>
        </m:f>
      </m:oMath>
      <w:r>
        <w:rPr>
          <w:rFonts w:ascii="Times New Roman" w:hAnsi="Times New Roman"/>
          <w:sz w:val="21"/>
        </w:rPr>
        <w:t xml:space="preserve">   (7)</w:t>
      </w:r>
    </w:p>
    <w:p>
      <w:pPr>
        <w:keepNext w:val="0"/>
        <w:keepLines w:val="0"/>
        <w:spacing w:after="160" w:before="0"/>
        <w:jc w:val="both"/>
      </w:pPr>
      <w:r>
        <w:rPr>
          <w:rFonts w:ascii="Times New Roman" w:hAnsi="Times New Roman"/>
          <w:b w:val="0"/>
          <w:i w:val="0"/>
          <w:sz w:val="21"/>
        </w:rPr>
        <w:t>with birth when Δᵢ ≥ θ and death when Δᵢ ≤ −θ, where θ = 0.50. The threshold is a reporting convention rather than a fitted parameter, and Table S12 shows how the event count responds to θ = 0.40 and θ = 0.60.</w:t>
      </w:r>
    </w:p>
    <w:p>
      <w:pPr>
        <w:keepNext w:val="0"/>
        <w:keepLines w:val="0"/>
        <w:spacing w:after="120" w:before="120"/>
        <w:jc w:val="both"/>
      </w:pPr>
      <w:r>
        <w:rPr>
          <w:rFonts w:ascii="Times New Roman" w:hAnsi="Times New Roman" w:eastAsia="Times New Roman"/>
          <w:b/>
          <w:i w:val="0"/>
          <w:sz w:val="24"/>
        </w:rPr>
        <w:t>7 Structural breakpoint tests</w:t>
      </w:r>
    </w:p>
    <w:p>
      <w:pPr>
        <w:keepNext w:val="0"/>
        <w:keepLines w:val="0"/>
        <w:spacing w:after="80" w:before="0"/>
        <w:jc w:val="both"/>
      </w:pPr>
      <w:r>
        <w:rPr>
          <w:rFonts w:ascii="Times New Roman" w:hAnsi="Times New Roman" w:eastAsia="Times New Roman"/>
          <w:b w:val="0"/>
          <w:i w:val="0"/>
          <w:sz w:val="21"/>
        </w:rPr>
        <w:t>Three tests are applied to the frequency series of the five topics with the largest number of documents. The Chow test compares a pooled regression with two segment regressions at a candidate break,</w:t>
      </w:r>
    </w:p>
    <w:p>
      <w:pPr>
        <w:spacing w:before="120" w:after="120"/>
        <w:jc w:val="center"/>
      </w:pPr>
      <m:oMath>
        <m:r>
          <m:t xml:space="preserve">F = </m:t>
        </m:r>
        <m:f>
          <m:num>
            <m:r>
              <m:t xml:space="preserve">[</m:t>
            </m:r>
            <m:sSub>
              <m:e>
                <m:r>
                  <m:t xml:space="preserve">RSS</m:t>
                </m:r>
              </m:e>
              <m:sub>
                <m:r>
                  <m:t xml:space="preserve">p</m:t>
                </m:r>
              </m:sub>
            </m:sSub>
            <m:r>
              <m:t xml:space="preserve"> − (</m:t>
            </m:r>
            <m:sSub>
              <m:e>
                <m:r>
                  <m:t xml:space="preserve">RSS</m:t>
                </m:r>
              </m:e>
              <m:sub>
                <m:r>
                  <m:t xml:space="preserve">1</m:t>
                </m:r>
              </m:sub>
            </m:sSub>
            <m:r>
              <m:t xml:space="preserve"> + </m:t>
            </m:r>
            <m:sSub>
              <m:e>
                <m:r>
                  <m:t xml:space="preserve">RSS</m:t>
                </m:r>
              </m:e>
              <m:sub>
                <m:r>
                  <m:t xml:space="preserve">2</m:t>
                </m:r>
              </m:sub>
            </m:sSub>
            <m:r>
              <m:t xml:space="preserve">)] / k</m:t>
            </m:r>
          </m:num>
          <m:den>
            <m:r>
              <m:t xml:space="preserve">(</m:t>
            </m:r>
            <m:sSub>
              <m:e>
                <m:r>
                  <m:t xml:space="preserve">RSS</m:t>
                </m:r>
              </m:e>
              <m:sub>
                <m:r>
                  <m:t xml:space="preserve">1</m:t>
                </m:r>
              </m:sub>
            </m:sSub>
            <m:r>
              <m:t xml:space="preserve"> + </m:t>
            </m:r>
            <m:sSub>
              <m:e>
                <m:r>
                  <m:t xml:space="preserve">RSS</m:t>
                </m:r>
              </m:e>
              <m:sub>
                <m:r>
                  <m:t xml:space="preserve">2</m:t>
                </m:r>
              </m:sub>
            </m:sSub>
            <m:r>
              <m:t xml:space="preserve">) / (n − 2k)</m:t>
            </m:r>
          </m:den>
        </m:f>
      </m:oMath>
      <w:r>
        <w:rPr>
          <w:rFonts w:ascii="Times New Roman" w:hAnsi="Times New Roman"/>
          <w:sz w:val="21"/>
        </w:rPr>
        <w:t xml:space="preserve">   (8)</w:t>
      </w:r>
    </w:p>
    <w:p>
      <w:pPr>
        <w:keepNext w:val="0"/>
        <w:keepLines w:val="0"/>
        <w:spacing w:after="80" w:before="0"/>
        <w:jc w:val="both"/>
      </w:pPr>
      <w:r>
        <w:rPr>
          <w:rFonts w:ascii="Times New Roman" w:hAnsi="Times New Roman" w:eastAsia="Times New Roman"/>
          <w:b w:val="0"/>
          <w:i w:val="0"/>
          <w:sz w:val="21"/>
        </w:rPr>
        <w:t>where k is the number of parameters per segment. The Bai-Perron style search selects the single breakpoint that minimises</w:t>
      </w:r>
    </w:p>
    <w:p>
      <w:pPr>
        <w:spacing w:before="120" w:after="120"/>
        <w:jc w:val="center"/>
      </w:pPr>
      <m:oMath>
        <m:r>
          <m:t xml:space="preserve">BIC(m) = n ln(</m:t>
        </m:r>
        <m:sSub>
          <m:e>
            <m:r>
              <m:t xml:space="preserve">RSS</m:t>
            </m:r>
          </m:e>
          <m:sub>
            <m:r>
              <m:t xml:space="preserve">m</m:t>
            </m:r>
          </m:sub>
        </m:sSub>
        <m:r>
          <m:t xml:space="preserve"> / n) + p ln n</m:t>
        </m:r>
      </m:oMath>
      <w:r>
        <w:rPr>
          <w:rFonts w:ascii="Times New Roman" w:hAnsi="Times New Roman"/>
          <w:sz w:val="21"/>
        </w:rPr>
        <w:t xml:space="preserve">   (9)</w:t>
      </w:r>
    </w:p>
    <w:p>
      <w:pPr>
        <w:keepNext w:val="0"/>
        <w:keepLines w:val="0"/>
        <w:spacing w:after="200" w:before="0"/>
        <w:jc w:val="both"/>
      </w:pPr>
      <w:r>
        <w:rPr>
          <w:rFonts w:ascii="Times New Roman" w:hAnsi="Times New Roman" w:eastAsia="Times New Roman"/>
          <w:b w:val="0"/>
          <w:i w:val="0"/>
          <w:sz w:val="21"/>
        </w:rPr>
        <w:t>and the CUSUM test is applied to the OLS recursive residuals with 5 per cent significance bounds (breaks_cusumolsresid in statsmodels). All three tests were implemented in statsmodels 0.15.0. Their outcomes are reported as they stand, including the non-significant results, and no phase boundary is declared on the basis of the drift trajectory alone.</w:t>
      </w:r>
    </w:p>
    <w:p>
      <w:pPr>
        <w:keepNext/>
        <w:keepLines w:val="0"/>
        <w:spacing w:after="120" w:before="240"/>
        <w:jc w:val="left"/>
      </w:pPr>
      <w:r>
        <w:rPr>
          <w:rFonts w:ascii="Times New Roman" w:hAnsi="Times New Roman"/>
          <w:b/>
          <w:i w:val="0"/>
          <w:sz w:val="22"/>
        </w:rPr>
        <w:t>Table S9. D³TEM parameter definitions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493"/>
        <w:gridCol w:w="2493"/>
        <w:gridCol w:w="2493"/>
        <w:gridCol w:w="2493"/>
      </w:tblGrid>
      <w:tr>
        <w:trPr>
          <w:trHeight w:val="283" w:hRule="atLeast"/>
          <w:tblHeader/>
          <w:cantSplit/>
        </w:trPr>
        <w:tc>
          <w:tcPr>
            <w:tcW w:type="dxa" w:w="2608"/>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Parameter</w:t>
            </w:r>
          </w:p>
        </w:tc>
        <w:tc>
          <w:tcPr>
            <w:tcW w:type="dxa" w:w="907"/>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Symbol</w:t>
            </w:r>
          </w:p>
        </w:tc>
        <w:tc>
          <w:tcPr>
            <w:tcW w:type="dxa" w:w="2608"/>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Value</w:t>
            </w:r>
          </w:p>
        </w:tc>
        <w:tc>
          <w:tcPr>
            <w:tcW w:type="dxa" w:w="3515"/>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Basis</w:t>
            </w:r>
          </w:p>
        </w:tc>
      </w:tr>
      <w:tr>
        <w:trPr>
          <w:trHeight w:val="283" w:hRule="atLeast"/>
          <w:cantSplit/>
        </w:trPr>
        <w:tc>
          <w:tcPr>
            <w:tcW w:type="dxa" w:w="2608"/>
            <w:tcBorders>
              <w:top w:val="nil"/>
              <w:left w:val="nil"/>
              <w:bottom w:val="nil"/>
              <w:right w:val="nil"/>
            </w:tcBorders>
          </w:tcPr>
          <w:p>
            <w:pPr>
              <w:jc w:val="left"/>
            </w:pPr>
            <w:r>
              <w:rPr>
                <w:rFonts w:ascii="Times New Roman" w:hAnsi="Times New Roman"/>
                <w:sz w:val="18"/>
              </w:rPr>
              <w:t>Number of time bins</w:t>
            </w:r>
          </w:p>
        </w:tc>
        <w:tc>
          <w:tcPr>
            <w:tcW w:type="dxa" w:w="907"/>
            <w:tcBorders>
              <w:top w:val="nil"/>
              <w:left w:val="nil"/>
              <w:bottom w:val="nil"/>
              <w:right w:val="nil"/>
            </w:tcBorders>
          </w:tcPr>
          <w:p>
            <w:pPr>
              <w:jc w:val="center"/>
            </w:pPr>
            <w:r>
              <w:rPr>
                <w:rFonts w:ascii="Times New Roman" w:hAnsi="Times New Roman"/>
                <w:sz w:val="18"/>
              </w:rPr>
              <w:t>B</w:t>
            </w:r>
          </w:p>
        </w:tc>
        <w:tc>
          <w:tcPr>
            <w:tcW w:type="dxa" w:w="2608"/>
            <w:tcBorders>
              <w:top w:val="nil"/>
              <w:left w:val="nil"/>
              <w:bottom w:val="nil"/>
              <w:right w:val="nil"/>
            </w:tcBorders>
          </w:tcPr>
          <w:p>
            <w:pPr>
              <w:jc w:val="center"/>
            </w:pPr>
            <w:r>
              <w:rPr>
                <w:rFonts w:ascii="Times New Roman" w:hAnsi="Times New Roman"/>
                <w:sz w:val="18"/>
              </w:rPr>
              <w:t>10</w:t>
            </w:r>
          </w:p>
        </w:tc>
        <w:tc>
          <w:tcPr>
            <w:tcW w:type="dxa" w:w="3515"/>
            <w:tcBorders>
              <w:top w:val="nil"/>
              <w:left w:val="nil"/>
              <w:bottom w:val="nil"/>
              <w:right w:val="nil"/>
            </w:tcBorders>
          </w:tcPr>
          <w:p>
            <w:pPr>
              <w:jc w:val="left"/>
            </w:pPr>
            <w:r>
              <w:rPr>
                <w:rFonts w:ascii="Times New Roman" w:hAnsi="Times New Roman"/>
                <w:sz w:val="18"/>
              </w:rPr>
              <w:t>One bin per publication year</w:t>
            </w:r>
          </w:p>
        </w:tc>
      </w:tr>
      <w:tr>
        <w:trPr>
          <w:trHeight w:val="283" w:hRule="atLeast"/>
          <w:cantSplit/>
        </w:trPr>
        <w:tc>
          <w:tcPr>
            <w:tcW w:type="dxa" w:w="2608"/>
            <w:tcBorders>
              <w:top w:val="nil"/>
              <w:left w:val="nil"/>
              <w:bottom w:val="nil"/>
              <w:right w:val="nil"/>
            </w:tcBorders>
          </w:tcPr>
          <w:p>
            <w:pPr>
              <w:jc w:val="left"/>
            </w:pPr>
            <w:r>
              <w:rPr>
                <w:rFonts w:ascii="Times New Roman" w:hAnsi="Times New Roman"/>
                <w:sz w:val="18"/>
              </w:rPr>
              <w:t>Binning scheme</w:t>
            </w:r>
          </w:p>
        </w:tc>
        <w:tc>
          <w:tcPr>
            <w:tcW w:type="dxa" w:w="907"/>
            <w:tcBorders>
              <w:top w:val="nil"/>
              <w:left w:val="nil"/>
              <w:bottom w:val="nil"/>
              <w:right w:val="nil"/>
            </w:tcBorders>
          </w:tcPr>
          <w:p>
            <w:pPr>
              <w:jc w:val="center"/>
            </w:pPr>
            <w:r>
              <w:rPr>
                <w:rFonts w:ascii="Times New Roman" w:hAnsi="Times New Roman"/>
                <w:sz w:val="18"/>
              </w:rPr>
              <w:t>–</w:t>
            </w:r>
          </w:p>
        </w:tc>
        <w:tc>
          <w:tcPr>
            <w:tcW w:type="dxa" w:w="2608"/>
            <w:tcBorders>
              <w:top w:val="nil"/>
              <w:left w:val="nil"/>
              <w:bottom w:val="nil"/>
              <w:right w:val="nil"/>
            </w:tcBorders>
          </w:tcPr>
          <w:p>
            <w:pPr>
              <w:jc w:val="center"/>
            </w:pPr>
            <w:r>
              <w:rPr>
                <w:rFonts w:ascii="Times New Roman" w:hAnsi="Times New Roman"/>
                <w:sz w:val="18"/>
              </w:rPr>
              <w:t>calendar year</w:t>
            </w:r>
          </w:p>
        </w:tc>
        <w:tc>
          <w:tcPr>
            <w:tcW w:type="dxa" w:w="3515"/>
            <w:tcBorders>
              <w:top w:val="nil"/>
              <w:left w:val="nil"/>
              <w:bottom w:val="nil"/>
              <w:right w:val="nil"/>
            </w:tcBorders>
          </w:tcPr>
          <w:p>
            <w:pPr>
              <w:jc w:val="left"/>
            </w:pPr>
            <w:r>
              <w:rPr>
                <w:rFonts w:ascii="Times New Roman" w:hAnsi="Times New Roman"/>
                <w:sz w:val="18"/>
              </w:rPr>
              <w:t>Equal calendar width; equal-frequency variant in Table S12</w:t>
            </w:r>
          </w:p>
        </w:tc>
      </w:tr>
      <w:tr>
        <w:trPr>
          <w:trHeight w:val="283" w:hRule="atLeast"/>
          <w:cantSplit/>
        </w:trPr>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Number of meta-clusters</w:t>
            </w:r>
          </w:p>
        </w:tc>
        <w:tc>
          <w:tcPr>
            <w:tcW w:type="dxa" w:w="907"/>
            <w:tcBorders>
              <w:top w:val="nil"/>
              <w:left w:val="nil"/>
              <w:bottom w:val="nil"/>
              <w:right w:val="nil"/>
            </w:tcBorders>
          </w:tcPr>
          <w:p>
            <w:pPr>
              <w:spacing w:before="30" w:after="30"/>
              <w:jc w:val="center"/>
            </w:pPr>
            <w:r/>
            <w:r>
              <w:rPr>
                <w:rFonts w:ascii="Times New Roman" w:hAnsi="Times New Roman" w:eastAsia="Times New Roman"/>
                <w:b w:val="0"/>
                <w:i w:val="0"/>
                <w:sz w:val="19"/>
              </w:rPr>
              <w:t>k</w:t>
            </w:r>
          </w:p>
        </w:tc>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6</w:t>
            </w:r>
          </w:p>
        </w:tc>
        <w:tc>
          <w:tcPr>
            <w:tcW w:type="dxa" w:w="3515"/>
            <w:tcBorders>
              <w:top w:val="nil"/>
              <w:left w:val="nil"/>
              <w:bottom w:val="nil"/>
              <w:right w:val="nil"/>
            </w:tcBorders>
          </w:tcPr>
          <w:p>
            <w:pPr>
              <w:spacing w:before="30" w:after="30"/>
              <w:jc w:val="left"/>
            </w:pPr>
            <w:r/>
            <w:r>
              <w:rPr>
                <w:rFonts w:ascii="Times New Roman" w:hAnsi="Times New Roman" w:eastAsia="Times New Roman"/>
                <w:b w:val="0"/>
                <w:i w:val="0"/>
                <w:sz w:val="19"/>
              </w:rPr>
              <w:t>Reported in the submitted formulation</w:t>
            </w:r>
          </w:p>
        </w:tc>
      </w:tr>
      <w:tr>
        <w:trPr>
          <w:trHeight w:val="283" w:hRule="atLeast"/>
          <w:cantSplit/>
        </w:trPr>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Laplace smoothing</w:t>
            </w:r>
          </w:p>
        </w:tc>
        <w:tc>
          <w:tcPr>
            <w:tcW w:type="dxa" w:w="907"/>
            <w:tcBorders>
              <w:top w:val="nil"/>
              <w:left w:val="nil"/>
              <w:bottom w:val="nil"/>
              <w:right w:val="nil"/>
            </w:tcBorders>
          </w:tcPr>
          <w:p>
            <w:pPr>
              <w:spacing w:before="30" w:after="30"/>
              <w:jc w:val="center"/>
            </w:pPr>
            <w:r/>
            <w:r>
              <w:rPr>
                <w:rFonts w:ascii="Times New Roman" w:hAnsi="Times New Roman" w:eastAsia="Times New Roman"/>
                <w:b w:val="0"/>
                <w:i w:val="0"/>
                <w:sz w:val="19"/>
              </w:rPr>
              <w:t>ε</w:t>
            </w:r>
          </w:p>
        </w:tc>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1 × 10⁻⁴</w:t>
            </w:r>
          </w:p>
        </w:tc>
        <w:tc>
          <w:tcPr>
            <w:tcW w:type="dxa" w:w="3515"/>
            <w:tcBorders>
              <w:top w:val="nil"/>
              <w:left w:val="nil"/>
              <w:bottom w:val="nil"/>
              <w:right w:val="nil"/>
            </w:tcBorders>
          </w:tcPr>
          <w:p>
            <w:pPr>
              <w:spacing w:before="30" w:after="30"/>
              <w:jc w:val="left"/>
            </w:pPr>
            <w:r/>
            <w:r>
              <w:rPr>
                <w:rFonts w:ascii="Times New Roman" w:hAnsi="Times New Roman" w:eastAsia="Times New Roman"/>
                <w:b w:val="0"/>
                <w:i w:val="0"/>
                <w:sz w:val="19"/>
              </w:rPr>
              <w:t>Numerical stability of the marginals</w:t>
            </w:r>
          </w:p>
        </w:tc>
      </w:tr>
      <w:tr>
        <w:trPr>
          <w:trHeight w:val="283" w:hRule="atLeast"/>
          <w:cantSplit/>
        </w:trPr>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Sinkhorn regularisation</w:t>
            </w:r>
          </w:p>
        </w:tc>
        <w:tc>
          <w:tcPr>
            <w:tcW w:type="dxa" w:w="907"/>
            <w:tcBorders>
              <w:top w:val="nil"/>
              <w:left w:val="nil"/>
              <w:bottom w:val="nil"/>
              <w:right w:val="nil"/>
            </w:tcBorders>
          </w:tcPr>
          <w:p>
            <w:pPr>
              <w:spacing w:before="30" w:after="30"/>
              <w:jc w:val="center"/>
            </w:pPr>
            <w:r/>
            <w:r>
              <w:rPr>
                <w:rFonts w:ascii="Times New Roman" w:hAnsi="Times New Roman" w:eastAsia="Times New Roman"/>
                <w:b w:val="0"/>
                <w:i w:val="0"/>
                <w:sz w:val="19"/>
              </w:rPr>
              <w:t>λ</w:t>
            </w:r>
          </w:p>
        </w:tc>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0.05</w:t>
            </w:r>
          </w:p>
        </w:tc>
        <w:tc>
          <w:tcPr>
            <w:tcW w:type="dxa" w:w="3515"/>
            <w:tcBorders>
              <w:top w:val="nil"/>
              <w:left w:val="nil"/>
              <w:bottom w:val="nil"/>
              <w:right w:val="nil"/>
            </w:tcBorders>
          </w:tcPr>
          <w:p>
            <w:pPr>
              <w:spacing w:before="30" w:after="30"/>
              <w:jc w:val="left"/>
            </w:pPr>
            <w:r>
              <w:rPr/>
              <w:t>Submitted value, justified in Table S12</w:t>
            </w:r>
          </w:p>
        </w:tc>
      </w:tr>
      <w:tr>
        <w:trPr>
          <w:trHeight w:val="283" w:hRule="atLeast"/>
          <w:cantSplit/>
        </w:trPr>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Uniform transport cost</w:t>
            </w:r>
          </w:p>
        </w:tc>
        <w:tc>
          <w:tcPr>
            <w:tcW w:type="dxa" w:w="907"/>
            <w:tcBorders>
              <w:top w:val="nil"/>
              <w:left w:val="nil"/>
              <w:bottom w:val="nil"/>
              <w:right w:val="nil"/>
            </w:tcBorders>
          </w:tcPr>
          <w:p>
            <w:pPr>
              <w:spacing w:before="30" w:after="30"/>
              <w:jc w:val="center"/>
            </w:pPr>
            <w:r/>
            <w:r>
              <w:rPr>
                <w:rFonts w:ascii="Times New Roman" w:hAnsi="Times New Roman" w:eastAsia="Times New Roman"/>
                <w:b w:val="0"/>
                <w:i w:val="0"/>
                <w:sz w:val="19"/>
              </w:rPr>
              <w:t>C</w:t>
            </w:r>
          </w:p>
        </w:tc>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0.5 diagonal, 1.0 off diagonal</w:t>
            </w:r>
          </w:p>
        </w:tc>
        <w:tc>
          <w:tcPr>
            <w:tcW w:type="dxa" w:w="3515"/>
            <w:tcBorders>
              <w:top w:val="nil"/>
              <w:left w:val="nil"/>
              <w:bottom w:val="nil"/>
              <w:right w:val="nil"/>
            </w:tcBorders>
          </w:tcPr>
          <w:p>
            <w:pPr>
              <w:spacing w:before="30" w:after="30"/>
              <w:jc w:val="left"/>
            </w:pPr>
            <w:r/>
            <w:r>
              <w:rPr>
                <w:rFonts w:ascii="Times New Roman" w:hAnsi="Times New Roman" w:eastAsia="Times New Roman"/>
                <w:b w:val="0"/>
                <w:i w:val="0"/>
                <w:sz w:val="19"/>
              </w:rPr>
              <w:t>Submitted formulation, retained for comparability</w:t>
            </w:r>
          </w:p>
        </w:tc>
      </w:tr>
      <w:tr>
        <w:trPr>
          <w:trHeight w:val="283" w:hRule="atLeast"/>
          <w:cantSplit/>
        </w:trPr>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Semantic transport cost</w:t>
            </w:r>
          </w:p>
        </w:tc>
        <w:tc>
          <w:tcPr>
            <w:tcW w:type="dxa" w:w="907"/>
            <w:tcBorders>
              <w:top w:val="nil"/>
              <w:left w:val="nil"/>
              <w:bottom w:val="nil"/>
              <w:right w:val="nil"/>
            </w:tcBorders>
          </w:tcPr>
          <w:p>
            <w:pPr>
              <w:spacing w:before="30" w:after="30"/>
              <w:jc w:val="center"/>
            </w:pPr>
            <w:r/>
            <w:r>
              <w:rPr>
                <w:rFonts w:ascii="Times New Roman" w:hAnsi="Times New Roman" w:eastAsia="Times New Roman"/>
                <w:b w:val="0"/>
                <w:i w:val="0"/>
                <w:sz w:val="19"/>
              </w:rPr>
              <w:t>C</w:t>
            </w:r>
          </w:p>
        </w:tc>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1 − 0.5 × topic similarity</w:t>
            </w:r>
          </w:p>
        </w:tc>
        <w:tc>
          <w:tcPr>
            <w:tcW w:type="dxa" w:w="3515"/>
            <w:tcBorders>
              <w:top w:val="nil"/>
              <w:left w:val="nil"/>
              <w:bottom w:val="nil"/>
              <w:right w:val="nil"/>
            </w:tcBorders>
          </w:tcPr>
          <w:p>
            <w:pPr>
              <w:spacing w:before="30" w:after="30"/>
              <w:jc w:val="left"/>
            </w:pPr>
            <w:r/>
            <w:r>
              <w:rPr>
                <w:rFonts w:ascii="Times New Roman" w:hAnsi="Times New Roman" w:eastAsia="Times New Roman"/>
                <w:b w:val="0"/>
                <w:i w:val="0"/>
                <w:sz w:val="19"/>
              </w:rPr>
              <w:t>Added to test semantic reorganisation, equation 5</w:t>
            </w:r>
          </w:p>
        </w:tc>
      </w:tr>
      <w:tr>
        <w:trPr>
          <w:trHeight w:val="283" w:hRule="atLeast"/>
          <w:cantSplit/>
        </w:trPr>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Birth and death threshold</w:t>
            </w:r>
          </w:p>
        </w:tc>
        <w:tc>
          <w:tcPr>
            <w:tcW w:type="dxa" w:w="907"/>
            <w:tcBorders>
              <w:top w:val="nil"/>
              <w:left w:val="nil"/>
              <w:bottom w:val="nil"/>
              <w:right w:val="nil"/>
            </w:tcBorders>
          </w:tcPr>
          <w:p>
            <w:pPr>
              <w:spacing w:before="30" w:after="30"/>
              <w:jc w:val="center"/>
            </w:pPr>
            <w:r/>
            <w:r>
              <w:rPr>
                <w:rFonts w:ascii="Times New Roman" w:hAnsi="Times New Roman" w:eastAsia="Times New Roman"/>
                <w:b w:val="0"/>
                <w:i w:val="0"/>
                <w:sz w:val="19"/>
              </w:rPr>
              <w:t>θ</w:t>
            </w:r>
          </w:p>
        </w:tc>
        <w:tc>
          <w:tcPr>
            <w:tcW w:type="dxa" w:w="2608"/>
            <w:tcBorders>
              <w:top w:val="nil"/>
              <w:left w:val="nil"/>
              <w:bottom w:val="nil"/>
              <w:right w:val="nil"/>
            </w:tcBorders>
          </w:tcPr>
          <w:p>
            <w:pPr>
              <w:spacing w:before="30" w:after="30"/>
              <w:jc w:val="left"/>
            </w:pPr>
            <w:r/>
            <w:r>
              <w:rPr>
                <w:rFonts w:ascii="Times New Roman" w:hAnsi="Times New Roman" w:eastAsia="Times New Roman"/>
                <w:b w:val="0"/>
                <w:i w:val="0"/>
                <w:sz w:val="19"/>
              </w:rPr>
              <w:t>0.5</w:t>
            </w:r>
          </w:p>
        </w:tc>
        <w:tc>
          <w:tcPr>
            <w:tcW w:type="dxa" w:w="3515"/>
            <w:tcBorders>
              <w:top w:val="nil"/>
              <w:left w:val="nil"/>
              <w:bottom w:val="nil"/>
              <w:right w:val="nil"/>
            </w:tcBorders>
          </w:tcPr>
          <w:p>
            <w:pPr>
              <w:spacing w:before="30" w:after="30"/>
              <w:jc w:val="left"/>
            </w:pPr>
            <w:r>
              <w:rPr/>
              <w:t>Submitted value, tested in Table S12</w:t>
            </w:r>
          </w:p>
        </w:tc>
      </w:tr>
      <w:tr>
        <w:trPr>
          <w:trHeight w:val="283" w:hRule="atLeast"/>
          <w:cantSplit/>
        </w:trPr>
        <w:tc>
          <w:tcPr>
            <w:tcW w:type="dxa" w:w="2608"/>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9"/>
              </w:rPr>
              <w:t>Valid topics</w:t>
            </w:r>
          </w:p>
        </w:tc>
        <w:tc>
          <w:tcPr>
            <w:tcW w:type="dxa" w:w="907"/>
            <w:tcBorders>
              <w:top w:val="nil"/>
              <w:left w:val="nil"/>
              <w:bottom w:val="single" w:sz="12" w:space="0" w:color="000000"/>
              <w:right w:val="nil"/>
            </w:tcBorders>
          </w:tcPr>
          <w:p>
            <w:pPr>
              <w:spacing w:before="30" w:after="30"/>
              <w:jc w:val="center"/>
            </w:pPr>
            <w:r/>
            <w:r>
              <w:rPr>
                <w:rFonts w:ascii="Times New Roman" w:hAnsi="Times New Roman" w:eastAsia="Times New Roman"/>
                <w:b w:val="0"/>
                <w:i w:val="0"/>
                <w:sz w:val="19"/>
              </w:rPr>
              <w:t>n</w:t>
            </w:r>
          </w:p>
        </w:tc>
        <w:tc>
          <w:tcPr>
            <w:tcW w:type="dxa" w:w="2608"/>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9"/>
              </w:rPr>
              <w:t>11</w:t>
            </w:r>
          </w:p>
        </w:tc>
        <w:tc>
          <w:tcPr>
            <w:tcW w:type="dxa" w:w="3515"/>
            <w:tcBorders>
              <w:top w:val="nil"/>
              <w:left w:val="nil"/>
              <w:bottom w:val="single" w:sz="12" w:space="0" w:color="000000"/>
              <w:right w:val="nil"/>
            </w:tcBorders>
          </w:tcPr>
          <w:p>
            <w:pPr>
              <w:spacing w:before="30" w:after="30"/>
              <w:jc w:val="left"/>
            </w:pPr>
            <w:r/>
            <w:r>
              <w:rPr>
                <w:rFonts w:ascii="Times New Roman" w:hAnsi="Times New Roman" w:eastAsia="Times New Roman"/>
                <w:b w:val="0"/>
                <w:i w:val="0"/>
                <w:sz w:val="19"/>
              </w:rPr>
              <w:t>Topics retained after removing the outlier topic</w:t>
            </w:r>
          </w:p>
        </w:tc>
      </w:tr>
    </w:tbl>
    <w:p>
      <w:pPr>
        <w:keepNext w:val="0"/>
        <w:keepLines/>
        <w:spacing w:after="320" w:before="120"/>
        <w:jc w:val="both"/>
      </w:pPr>
      <w:r>
        <w:rPr>
          <w:rFonts w:ascii="Times New Roman" w:hAnsi="Times New Roman" w:eastAsia="Times New Roman"/>
          <w:b w:val="0"/>
          <w:i/>
          <w:sz w:val="18"/>
        </w:rPr>
        <w:t>The outlier topic is excluded from every stage, so all frequencies are conditional on the 1,191 documents assigned to a valid topic.</w:t>
      </w:r>
    </w:p>
    <w:p>
      <w:pPr>
        <w:keepNext/>
        <w:keepLines w:val="0"/>
        <w:spacing w:after="120" w:before="240"/>
        <w:jc w:val="left"/>
      </w:pPr>
      <w:r>
        <w:rPr>
          <w:rFonts w:ascii="Times New Roman" w:hAnsi="Times New Roman"/>
          <w:b/>
          <w:i w:val="0"/>
          <w:sz w:val="22"/>
        </w:rPr>
        <w:t>Table S10. Drift index for each bin transition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62"/>
        <w:gridCol w:w="1662"/>
        <w:gridCol w:w="1662"/>
        <w:gridCol w:w="1662"/>
        <w:gridCol w:w="1662"/>
        <w:gridCol w:w="1662"/>
      </w:tblGrid>
      <w:tr>
        <w:trPr>
          <w:trHeight w:val="283" w:hRule="atLeast"/>
          <w:tblHeader/>
          <w:cantSplit/>
        </w:trPr>
        <w:tc>
          <w:tcPr>
            <w:tcW w:type="dxa" w:w="794"/>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Step</w:t>
            </w:r>
          </w:p>
        </w:tc>
        <w:tc>
          <w:tcPr>
            <w:tcW w:type="dxa" w:w="2608"/>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Time bins</w:t>
            </w:r>
          </w:p>
        </w:tc>
        <w:tc>
          <w:tcPr>
            <w:tcW w:type="dxa" w:w="1531"/>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d, uniform cost</w:t>
            </w:r>
          </w:p>
        </w:tc>
        <w:tc>
          <w:tcPr>
            <w:tcW w:type="dxa" w:w="1531"/>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tr(π), uniform</w:t>
            </w:r>
          </w:p>
        </w:tc>
        <w:tc>
          <w:tcPr>
            <w:tcW w:type="dxa" w:w="1531"/>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d, semantic cost</w:t>
            </w:r>
          </w:p>
        </w:tc>
        <w:tc>
          <w:tcPr>
            <w:tcW w:type="dxa" w:w="1531"/>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tr(π), semantic</w:t>
            </w:r>
          </w:p>
        </w:tc>
      </w:tr>
      <w:tr>
        <w:trPr>
          <w:trHeight w:val="283" w:hRule="atLeast"/>
          <w:cantSplit/>
        </w:trPr>
        <w:tc>
          <w:tcPr>
            <w:tcW w:type="dxa" w:w="794"/>
            <w:tcBorders>
              <w:top w:val="nil"/>
              <w:left w:val="nil"/>
              <w:bottom w:val="nil"/>
              <w:right w:val="nil"/>
            </w:tcBorders>
          </w:tcPr>
          <w:p>
            <w:pPr>
              <w:jc w:val="center"/>
            </w:pPr>
            <w:r>
              <w:rPr>
                <w:rFonts w:ascii="Times New Roman" w:hAnsi="Times New Roman"/>
                <w:sz w:val="18"/>
              </w:rPr>
              <w:t>1</w:t>
            </w:r>
          </w:p>
        </w:tc>
        <w:tc>
          <w:tcPr>
            <w:tcW w:type="dxa" w:w="2608"/>
            <w:tcBorders>
              <w:top w:val="nil"/>
              <w:left w:val="nil"/>
              <w:bottom w:val="nil"/>
              <w:right w:val="nil"/>
            </w:tcBorders>
          </w:tcPr>
          <w:p>
            <w:pPr>
              <w:jc w:val="left"/>
            </w:pPr>
            <w:r>
              <w:rPr>
                <w:rFonts w:ascii="Times New Roman" w:hAnsi="Times New Roman"/>
                <w:sz w:val="18"/>
              </w:rPr>
              <w:t>2016 to 2017</w:t>
            </w:r>
          </w:p>
        </w:tc>
        <w:tc>
          <w:tcPr>
            <w:tcW w:type="dxa" w:w="1531"/>
            <w:tcBorders>
              <w:top w:val="nil"/>
              <w:left w:val="nil"/>
              <w:bottom w:val="nil"/>
              <w:right w:val="nil"/>
            </w:tcBorders>
          </w:tcPr>
          <w:p>
            <w:pPr>
              <w:jc w:val="center"/>
            </w:pPr>
            <w:r>
              <w:rPr>
                <w:rFonts w:ascii="Times New Roman" w:hAnsi="Times New Roman"/>
                <w:sz w:val="18"/>
              </w:rPr>
              <w:t>0.3223</w:t>
            </w:r>
          </w:p>
        </w:tc>
        <w:tc>
          <w:tcPr>
            <w:tcW w:type="dxa" w:w="1531"/>
            <w:tcBorders>
              <w:top w:val="nil"/>
              <w:left w:val="nil"/>
              <w:bottom w:val="nil"/>
              <w:right w:val="nil"/>
            </w:tcBorders>
          </w:tcPr>
          <w:p>
            <w:pPr>
              <w:jc w:val="center"/>
            </w:pPr>
            <w:r>
              <w:rPr>
                <w:rFonts w:ascii="Times New Roman" w:hAnsi="Times New Roman"/>
                <w:sz w:val="18"/>
              </w:rPr>
              <w:t>0.7070</w:t>
            </w:r>
          </w:p>
        </w:tc>
        <w:tc>
          <w:tcPr>
            <w:tcW w:type="dxa" w:w="1531"/>
            <w:tcBorders>
              <w:top w:val="nil"/>
              <w:left w:val="nil"/>
              <w:bottom w:val="nil"/>
              <w:right w:val="nil"/>
            </w:tcBorders>
          </w:tcPr>
          <w:p>
            <w:pPr>
              <w:jc w:val="center"/>
            </w:pPr>
            <w:r>
              <w:rPr>
                <w:rFonts w:ascii="Times New Roman" w:hAnsi="Times New Roman"/>
                <w:sz w:val="18"/>
              </w:rPr>
              <w:t>0.3679</w:t>
            </w:r>
          </w:p>
        </w:tc>
        <w:tc>
          <w:tcPr>
            <w:tcW w:type="dxa" w:w="1531"/>
            <w:tcBorders>
              <w:top w:val="nil"/>
              <w:left w:val="nil"/>
              <w:bottom w:val="nil"/>
              <w:right w:val="nil"/>
            </w:tcBorders>
          </w:tcPr>
          <w:p>
            <w:pPr>
              <w:jc w:val="center"/>
            </w:pPr>
            <w:r>
              <w:rPr>
                <w:rFonts w:ascii="Times New Roman" w:hAnsi="Times New Roman"/>
                <w:sz w:val="18"/>
              </w:rPr>
              <w:t>0.6656</w:t>
            </w:r>
          </w:p>
        </w:tc>
      </w:tr>
      <w:tr>
        <w:trPr>
          <w:trHeight w:val="283" w:hRule="atLeast"/>
          <w:cantSplit/>
        </w:trPr>
        <w:tc>
          <w:tcPr>
            <w:tcW w:type="dxa" w:w="794"/>
            <w:tcBorders>
              <w:top w:val="nil"/>
              <w:left w:val="nil"/>
              <w:bottom w:val="nil"/>
              <w:right w:val="nil"/>
            </w:tcBorders>
          </w:tcPr>
          <w:p>
            <w:pPr>
              <w:jc w:val="center"/>
            </w:pPr>
            <w:r>
              <w:rPr>
                <w:rFonts w:ascii="Times New Roman" w:hAnsi="Times New Roman"/>
                <w:sz w:val="18"/>
              </w:rPr>
              <w:t>2</w:t>
            </w:r>
          </w:p>
        </w:tc>
        <w:tc>
          <w:tcPr>
            <w:tcW w:type="dxa" w:w="2608"/>
            <w:tcBorders>
              <w:top w:val="nil"/>
              <w:left w:val="nil"/>
              <w:bottom w:val="nil"/>
              <w:right w:val="nil"/>
            </w:tcBorders>
          </w:tcPr>
          <w:p>
            <w:pPr>
              <w:jc w:val="left"/>
            </w:pPr>
            <w:r>
              <w:rPr>
                <w:rFonts w:ascii="Times New Roman" w:hAnsi="Times New Roman"/>
                <w:sz w:val="18"/>
              </w:rPr>
              <w:t>2017 to 2018</w:t>
            </w:r>
          </w:p>
        </w:tc>
        <w:tc>
          <w:tcPr>
            <w:tcW w:type="dxa" w:w="1531"/>
            <w:tcBorders>
              <w:top w:val="nil"/>
              <w:left w:val="nil"/>
              <w:bottom w:val="nil"/>
              <w:right w:val="nil"/>
            </w:tcBorders>
          </w:tcPr>
          <w:p>
            <w:pPr>
              <w:jc w:val="center"/>
            </w:pPr>
            <w:r>
              <w:rPr>
                <w:rFonts w:ascii="Times New Roman" w:hAnsi="Times New Roman"/>
                <w:sz w:val="18"/>
              </w:rPr>
              <w:t>0.2517</w:t>
            </w:r>
          </w:p>
        </w:tc>
        <w:tc>
          <w:tcPr>
            <w:tcW w:type="dxa" w:w="1531"/>
            <w:tcBorders>
              <w:top w:val="nil"/>
              <w:left w:val="nil"/>
              <w:bottom w:val="nil"/>
              <w:right w:val="nil"/>
            </w:tcBorders>
          </w:tcPr>
          <w:p>
            <w:pPr>
              <w:jc w:val="center"/>
            </w:pPr>
            <w:r>
              <w:rPr>
                <w:rFonts w:ascii="Times New Roman" w:hAnsi="Times New Roman"/>
                <w:sz w:val="18"/>
              </w:rPr>
              <w:t>0.7712</w:t>
            </w:r>
          </w:p>
        </w:tc>
        <w:tc>
          <w:tcPr>
            <w:tcW w:type="dxa" w:w="1531"/>
            <w:tcBorders>
              <w:top w:val="nil"/>
              <w:left w:val="nil"/>
              <w:bottom w:val="nil"/>
              <w:right w:val="nil"/>
            </w:tcBorders>
          </w:tcPr>
          <w:p>
            <w:pPr>
              <w:jc w:val="center"/>
            </w:pPr>
            <w:r>
              <w:rPr>
                <w:rFonts w:ascii="Times New Roman" w:hAnsi="Times New Roman"/>
                <w:sz w:val="18"/>
              </w:rPr>
              <w:t>0.2972</w:t>
            </w:r>
          </w:p>
        </w:tc>
        <w:tc>
          <w:tcPr>
            <w:tcW w:type="dxa" w:w="1531"/>
            <w:tcBorders>
              <w:top w:val="nil"/>
              <w:left w:val="nil"/>
              <w:bottom w:val="nil"/>
              <w:right w:val="nil"/>
            </w:tcBorders>
          </w:tcPr>
          <w:p>
            <w:pPr>
              <w:jc w:val="center"/>
            </w:pPr>
            <w:r>
              <w:rPr>
                <w:rFonts w:ascii="Times New Roman" w:hAnsi="Times New Roman"/>
                <w:sz w:val="18"/>
              </w:rPr>
              <w:t>0.7298</w:t>
            </w:r>
          </w:p>
        </w:tc>
      </w:tr>
      <w:tr>
        <w:trPr>
          <w:trHeight w:val="283" w:hRule="atLeast"/>
          <w:cantSplit/>
        </w:trPr>
        <w:tc>
          <w:tcPr>
            <w:tcW w:type="dxa" w:w="794"/>
            <w:tcBorders>
              <w:top w:val="nil"/>
              <w:left w:val="nil"/>
              <w:bottom w:val="nil"/>
              <w:right w:val="nil"/>
            </w:tcBorders>
          </w:tcPr>
          <w:p>
            <w:pPr>
              <w:jc w:val="center"/>
            </w:pPr>
            <w:r>
              <w:rPr>
                <w:rFonts w:ascii="Times New Roman" w:hAnsi="Times New Roman"/>
                <w:sz w:val="18"/>
              </w:rPr>
              <w:t>3</w:t>
            </w:r>
          </w:p>
        </w:tc>
        <w:tc>
          <w:tcPr>
            <w:tcW w:type="dxa" w:w="2608"/>
            <w:tcBorders>
              <w:top w:val="nil"/>
              <w:left w:val="nil"/>
              <w:bottom w:val="nil"/>
              <w:right w:val="nil"/>
            </w:tcBorders>
          </w:tcPr>
          <w:p>
            <w:pPr>
              <w:jc w:val="left"/>
            </w:pPr>
            <w:r>
              <w:rPr>
                <w:rFonts w:ascii="Times New Roman" w:hAnsi="Times New Roman"/>
                <w:sz w:val="18"/>
              </w:rPr>
              <w:t>2018 to 2019</w:t>
            </w:r>
          </w:p>
        </w:tc>
        <w:tc>
          <w:tcPr>
            <w:tcW w:type="dxa" w:w="1531"/>
            <w:tcBorders>
              <w:top w:val="nil"/>
              <w:left w:val="nil"/>
              <w:bottom w:val="nil"/>
              <w:right w:val="nil"/>
            </w:tcBorders>
          </w:tcPr>
          <w:p>
            <w:pPr>
              <w:jc w:val="center"/>
            </w:pPr>
            <w:r>
              <w:rPr>
                <w:rFonts w:ascii="Times New Roman" w:hAnsi="Times New Roman"/>
                <w:sz w:val="18"/>
              </w:rPr>
              <w:t>0.2381</w:t>
            </w:r>
          </w:p>
        </w:tc>
        <w:tc>
          <w:tcPr>
            <w:tcW w:type="dxa" w:w="1531"/>
            <w:tcBorders>
              <w:top w:val="nil"/>
              <w:left w:val="nil"/>
              <w:bottom w:val="nil"/>
              <w:right w:val="nil"/>
            </w:tcBorders>
          </w:tcPr>
          <w:p>
            <w:pPr>
              <w:jc w:val="center"/>
            </w:pPr>
            <w:r>
              <w:rPr>
                <w:rFonts w:ascii="Times New Roman" w:hAnsi="Times New Roman"/>
                <w:sz w:val="18"/>
              </w:rPr>
              <w:t>0.7836</w:t>
            </w:r>
          </w:p>
        </w:tc>
        <w:tc>
          <w:tcPr>
            <w:tcW w:type="dxa" w:w="1531"/>
            <w:tcBorders>
              <w:top w:val="nil"/>
              <w:left w:val="nil"/>
              <w:bottom w:val="nil"/>
              <w:right w:val="nil"/>
            </w:tcBorders>
          </w:tcPr>
          <w:p>
            <w:pPr>
              <w:jc w:val="center"/>
            </w:pPr>
            <w:r>
              <w:rPr>
                <w:rFonts w:ascii="Times New Roman" w:hAnsi="Times New Roman"/>
                <w:sz w:val="18"/>
              </w:rPr>
              <w:t>0.2887</w:t>
            </w:r>
          </w:p>
        </w:tc>
        <w:tc>
          <w:tcPr>
            <w:tcW w:type="dxa" w:w="1531"/>
            <w:tcBorders>
              <w:top w:val="nil"/>
              <w:left w:val="nil"/>
              <w:bottom w:val="nil"/>
              <w:right w:val="nil"/>
            </w:tcBorders>
          </w:tcPr>
          <w:p>
            <w:pPr>
              <w:jc w:val="center"/>
            </w:pPr>
            <w:r>
              <w:rPr>
                <w:rFonts w:ascii="Times New Roman" w:hAnsi="Times New Roman"/>
                <w:sz w:val="18"/>
              </w:rPr>
              <w:t>0.7375</w:t>
            </w:r>
          </w:p>
        </w:tc>
      </w:tr>
      <w:tr>
        <w:trPr>
          <w:trHeight w:val="283" w:hRule="atLeast"/>
          <w:cantSplit/>
        </w:trPr>
        <w:tc>
          <w:tcPr>
            <w:tcW w:type="dxa" w:w="794"/>
            <w:tcBorders>
              <w:top w:val="nil"/>
              <w:left w:val="nil"/>
              <w:bottom w:val="nil"/>
              <w:right w:val="nil"/>
            </w:tcBorders>
          </w:tcPr>
          <w:p>
            <w:pPr>
              <w:jc w:val="center"/>
            </w:pPr>
            <w:r>
              <w:rPr>
                <w:rFonts w:ascii="Times New Roman" w:hAnsi="Times New Roman"/>
                <w:sz w:val="18"/>
              </w:rPr>
              <w:t>4</w:t>
            </w:r>
          </w:p>
        </w:tc>
        <w:tc>
          <w:tcPr>
            <w:tcW w:type="dxa" w:w="2608"/>
            <w:tcBorders>
              <w:top w:val="nil"/>
              <w:left w:val="nil"/>
              <w:bottom w:val="nil"/>
              <w:right w:val="nil"/>
            </w:tcBorders>
          </w:tcPr>
          <w:p>
            <w:pPr>
              <w:jc w:val="left"/>
            </w:pPr>
            <w:r>
              <w:rPr>
                <w:rFonts w:ascii="Times New Roman" w:hAnsi="Times New Roman"/>
                <w:sz w:val="18"/>
              </w:rPr>
              <w:t>2019 to 2020</w:t>
            </w:r>
          </w:p>
        </w:tc>
        <w:tc>
          <w:tcPr>
            <w:tcW w:type="dxa" w:w="1531"/>
            <w:tcBorders>
              <w:top w:val="nil"/>
              <w:left w:val="nil"/>
              <w:bottom w:val="nil"/>
              <w:right w:val="nil"/>
            </w:tcBorders>
          </w:tcPr>
          <w:p>
            <w:pPr>
              <w:jc w:val="center"/>
            </w:pPr>
            <w:r>
              <w:rPr>
                <w:rFonts w:ascii="Times New Roman" w:hAnsi="Times New Roman"/>
                <w:sz w:val="18"/>
              </w:rPr>
              <w:t>0.1745</w:t>
            </w:r>
          </w:p>
        </w:tc>
        <w:tc>
          <w:tcPr>
            <w:tcW w:type="dxa" w:w="1531"/>
            <w:tcBorders>
              <w:top w:val="nil"/>
              <w:left w:val="nil"/>
              <w:bottom w:val="nil"/>
              <w:right w:val="nil"/>
            </w:tcBorders>
          </w:tcPr>
          <w:p>
            <w:pPr>
              <w:jc w:val="center"/>
            </w:pPr>
            <w:r>
              <w:rPr>
                <w:rFonts w:ascii="Times New Roman" w:hAnsi="Times New Roman"/>
                <w:sz w:val="18"/>
              </w:rPr>
              <w:t>0.8413</w:t>
            </w:r>
          </w:p>
        </w:tc>
        <w:tc>
          <w:tcPr>
            <w:tcW w:type="dxa" w:w="1531"/>
            <w:tcBorders>
              <w:top w:val="nil"/>
              <w:left w:val="nil"/>
              <w:bottom w:val="nil"/>
              <w:right w:val="nil"/>
            </w:tcBorders>
          </w:tcPr>
          <w:p>
            <w:pPr>
              <w:jc w:val="center"/>
            </w:pPr>
            <w:r>
              <w:rPr>
                <w:rFonts w:ascii="Times New Roman" w:hAnsi="Times New Roman"/>
                <w:sz w:val="18"/>
              </w:rPr>
              <w:t>0.2490</w:t>
            </w:r>
          </w:p>
        </w:tc>
        <w:tc>
          <w:tcPr>
            <w:tcW w:type="dxa" w:w="1531"/>
            <w:tcBorders>
              <w:top w:val="nil"/>
              <w:left w:val="nil"/>
              <w:bottom w:val="nil"/>
              <w:right w:val="nil"/>
            </w:tcBorders>
          </w:tcPr>
          <w:p>
            <w:pPr>
              <w:jc w:val="center"/>
            </w:pPr>
            <w:r>
              <w:rPr>
                <w:rFonts w:ascii="Times New Roman" w:hAnsi="Times New Roman"/>
                <w:sz w:val="18"/>
              </w:rPr>
              <w:t>0.7737</w:t>
            </w:r>
          </w:p>
        </w:tc>
      </w:tr>
      <w:tr>
        <w:trPr>
          <w:trHeight w:val="283" w:hRule="atLeast"/>
          <w:cantSplit/>
        </w:trPr>
        <w:tc>
          <w:tcPr>
            <w:tcW w:type="dxa" w:w="794"/>
            <w:tcBorders>
              <w:top w:val="nil"/>
              <w:left w:val="nil"/>
              <w:bottom w:val="nil"/>
              <w:right w:val="nil"/>
            </w:tcBorders>
          </w:tcPr>
          <w:p>
            <w:pPr>
              <w:jc w:val="center"/>
            </w:pPr>
            <w:r>
              <w:rPr>
                <w:rFonts w:ascii="Times New Roman" w:hAnsi="Times New Roman"/>
                <w:sz w:val="18"/>
              </w:rPr>
              <w:t>5</w:t>
            </w:r>
          </w:p>
        </w:tc>
        <w:tc>
          <w:tcPr>
            <w:tcW w:type="dxa" w:w="2608"/>
            <w:tcBorders>
              <w:top w:val="nil"/>
              <w:left w:val="nil"/>
              <w:bottom w:val="nil"/>
              <w:right w:val="nil"/>
            </w:tcBorders>
          </w:tcPr>
          <w:p>
            <w:pPr>
              <w:jc w:val="left"/>
            </w:pPr>
            <w:r>
              <w:rPr>
                <w:rFonts w:ascii="Times New Roman" w:hAnsi="Times New Roman"/>
                <w:sz w:val="18"/>
              </w:rPr>
              <w:t>2020 to 2021</w:t>
            </w:r>
          </w:p>
        </w:tc>
        <w:tc>
          <w:tcPr>
            <w:tcW w:type="dxa" w:w="1531"/>
            <w:tcBorders>
              <w:top w:val="nil"/>
              <w:left w:val="nil"/>
              <w:bottom w:val="nil"/>
              <w:right w:val="nil"/>
            </w:tcBorders>
          </w:tcPr>
          <w:p>
            <w:pPr>
              <w:jc w:val="center"/>
            </w:pPr>
            <w:r>
              <w:rPr>
                <w:rFonts w:ascii="Times New Roman" w:hAnsi="Times New Roman"/>
                <w:sz w:val="18"/>
              </w:rPr>
              <w:t>0.2142</w:t>
            </w:r>
          </w:p>
        </w:tc>
        <w:tc>
          <w:tcPr>
            <w:tcW w:type="dxa" w:w="1531"/>
            <w:tcBorders>
              <w:top w:val="nil"/>
              <w:left w:val="nil"/>
              <w:bottom w:val="nil"/>
              <w:right w:val="nil"/>
            </w:tcBorders>
          </w:tcPr>
          <w:p>
            <w:pPr>
              <w:jc w:val="center"/>
            </w:pPr>
            <w:r>
              <w:rPr>
                <w:rFonts w:ascii="Times New Roman" w:hAnsi="Times New Roman"/>
                <w:sz w:val="18"/>
              </w:rPr>
              <w:t>0.8053</w:t>
            </w:r>
          </w:p>
        </w:tc>
        <w:tc>
          <w:tcPr>
            <w:tcW w:type="dxa" w:w="1531"/>
            <w:tcBorders>
              <w:top w:val="nil"/>
              <w:left w:val="nil"/>
              <w:bottom w:val="nil"/>
              <w:right w:val="nil"/>
            </w:tcBorders>
          </w:tcPr>
          <w:p>
            <w:pPr>
              <w:jc w:val="center"/>
            </w:pPr>
            <w:r>
              <w:rPr>
                <w:rFonts w:ascii="Times New Roman" w:hAnsi="Times New Roman"/>
                <w:sz w:val="18"/>
              </w:rPr>
              <w:t>0.2724</w:t>
            </w:r>
          </w:p>
        </w:tc>
        <w:tc>
          <w:tcPr>
            <w:tcW w:type="dxa" w:w="1531"/>
            <w:tcBorders>
              <w:top w:val="nil"/>
              <w:left w:val="nil"/>
              <w:bottom w:val="nil"/>
              <w:right w:val="nil"/>
            </w:tcBorders>
          </w:tcPr>
          <w:p>
            <w:pPr>
              <w:jc w:val="center"/>
            </w:pPr>
            <w:r>
              <w:rPr>
                <w:rFonts w:ascii="Times New Roman" w:hAnsi="Times New Roman"/>
                <w:sz w:val="18"/>
              </w:rPr>
              <w:t>0.7523</w:t>
            </w:r>
          </w:p>
        </w:tc>
      </w:tr>
      <w:tr>
        <w:trPr>
          <w:trHeight w:val="283" w:hRule="atLeast"/>
          <w:cantSplit/>
        </w:trPr>
        <w:tc>
          <w:tcPr>
            <w:tcW w:type="dxa" w:w="794"/>
            <w:tcBorders>
              <w:top w:val="nil"/>
              <w:left w:val="nil"/>
              <w:bottom w:val="nil"/>
              <w:right w:val="nil"/>
            </w:tcBorders>
          </w:tcPr>
          <w:p>
            <w:pPr>
              <w:jc w:val="center"/>
            </w:pPr>
            <w:r>
              <w:rPr>
                <w:rFonts w:ascii="Times New Roman" w:hAnsi="Times New Roman"/>
                <w:sz w:val="18"/>
              </w:rPr>
              <w:t>6</w:t>
            </w:r>
          </w:p>
        </w:tc>
        <w:tc>
          <w:tcPr>
            <w:tcW w:type="dxa" w:w="2608"/>
            <w:tcBorders>
              <w:top w:val="nil"/>
              <w:left w:val="nil"/>
              <w:bottom w:val="nil"/>
              <w:right w:val="nil"/>
            </w:tcBorders>
          </w:tcPr>
          <w:p>
            <w:pPr>
              <w:jc w:val="left"/>
            </w:pPr>
            <w:r>
              <w:rPr>
                <w:rFonts w:ascii="Times New Roman" w:hAnsi="Times New Roman"/>
                <w:sz w:val="18"/>
              </w:rPr>
              <w:t>2021 to 2022</w:t>
            </w:r>
          </w:p>
        </w:tc>
        <w:tc>
          <w:tcPr>
            <w:tcW w:type="dxa" w:w="1531"/>
            <w:tcBorders>
              <w:top w:val="nil"/>
              <w:left w:val="nil"/>
              <w:bottom w:val="nil"/>
              <w:right w:val="nil"/>
            </w:tcBorders>
          </w:tcPr>
          <w:p>
            <w:pPr>
              <w:jc w:val="center"/>
            </w:pPr>
            <w:r>
              <w:rPr>
                <w:rFonts w:ascii="Times New Roman" w:hAnsi="Times New Roman"/>
                <w:sz w:val="18"/>
              </w:rPr>
              <w:t>0.1921</w:t>
            </w:r>
          </w:p>
        </w:tc>
        <w:tc>
          <w:tcPr>
            <w:tcW w:type="dxa" w:w="1531"/>
            <w:tcBorders>
              <w:top w:val="nil"/>
              <w:left w:val="nil"/>
              <w:bottom w:val="nil"/>
              <w:right w:val="nil"/>
            </w:tcBorders>
          </w:tcPr>
          <w:p>
            <w:pPr>
              <w:jc w:val="center"/>
            </w:pPr>
            <w:r>
              <w:rPr>
                <w:rFonts w:ascii="Times New Roman" w:hAnsi="Times New Roman"/>
                <w:sz w:val="18"/>
              </w:rPr>
              <w:t>0.8253</w:t>
            </w:r>
          </w:p>
        </w:tc>
        <w:tc>
          <w:tcPr>
            <w:tcW w:type="dxa" w:w="1531"/>
            <w:tcBorders>
              <w:top w:val="nil"/>
              <w:left w:val="nil"/>
              <w:bottom w:val="nil"/>
              <w:right w:val="nil"/>
            </w:tcBorders>
          </w:tcPr>
          <w:p>
            <w:pPr>
              <w:jc w:val="center"/>
            </w:pPr>
            <w:r>
              <w:rPr>
                <w:rFonts w:ascii="Times New Roman" w:hAnsi="Times New Roman"/>
                <w:sz w:val="18"/>
              </w:rPr>
              <w:t>0.2465</w:t>
            </w:r>
          </w:p>
        </w:tc>
        <w:tc>
          <w:tcPr>
            <w:tcW w:type="dxa" w:w="1531"/>
            <w:tcBorders>
              <w:top w:val="nil"/>
              <w:left w:val="nil"/>
              <w:bottom w:val="nil"/>
              <w:right w:val="nil"/>
            </w:tcBorders>
          </w:tcPr>
          <w:p>
            <w:pPr>
              <w:jc w:val="center"/>
            </w:pPr>
            <w:r>
              <w:rPr>
                <w:rFonts w:ascii="Times New Roman" w:hAnsi="Times New Roman"/>
                <w:sz w:val="18"/>
              </w:rPr>
              <w:t>0.7759</w:t>
            </w:r>
          </w:p>
        </w:tc>
      </w:tr>
      <w:tr>
        <w:trPr>
          <w:trHeight w:val="283" w:hRule="atLeast"/>
          <w:cantSplit/>
        </w:trPr>
        <w:tc>
          <w:tcPr>
            <w:tcW w:type="dxa" w:w="794"/>
            <w:tcBorders>
              <w:top w:val="nil"/>
              <w:left w:val="nil"/>
              <w:bottom w:val="nil"/>
              <w:right w:val="nil"/>
            </w:tcBorders>
          </w:tcPr>
          <w:p>
            <w:pPr>
              <w:jc w:val="center"/>
            </w:pPr>
            <w:r>
              <w:rPr>
                <w:rFonts w:ascii="Times New Roman" w:hAnsi="Times New Roman"/>
                <w:sz w:val="18"/>
              </w:rPr>
              <w:t>7</w:t>
            </w:r>
          </w:p>
        </w:tc>
        <w:tc>
          <w:tcPr>
            <w:tcW w:type="dxa" w:w="2608"/>
            <w:tcBorders>
              <w:top w:val="nil"/>
              <w:left w:val="nil"/>
              <w:bottom w:val="nil"/>
              <w:right w:val="nil"/>
            </w:tcBorders>
          </w:tcPr>
          <w:p>
            <w:pPr>
              <w:jc w:val="left"/>
            </w:pPr>
            <w:r>
              <w:rPr>
                <w:rFonts w:ascii="Times New Roman" w:hAnsi="Times New Roman"/>
                <w:sz w:val="18"/>
              </w:rPr>
              <w:t>2022 to 2023</w:t>
            </w:r>
          </w:p>
        </w:tc>
        <w:tc>
          <w:tcPr>
            <w:tcW w:type="dxa" w:w="1531"/>
            <w:tcBorders>
              <w:top w:val="nil"/>
              <w:left w:val="nil"/>
              <w:bottom w:val="nil"/>
              <w:right w:val="nil"/>
            </w:tcBorders>
          </w:tcPr>
          <w:p>
            <w:pPr>
              <w:jc w:val="center"/>
            </w:pPr>
            <w:r>
              <w:rPr>
                <w:rFonts w:ascii="Times New Roman" w:hAnsi="Times New Roman"/>
                <w:sz w:val="18"/>
              </w:rPr>
              <w:t>0.1056</w:t>
            </w:r>
          </w:p>
        </w:tc>
        <w:tc>
          <w:tcPr>
            <w:tcW w:type="dxa" w:w="1531"/>
            <w:tcBorders>
              <w:top w:val="nil"/>
              <w:left w:val="nil"/>
              <w:bottom w:val="nil"/>
              <w:right w:val="nil"/>
            </w:tcBorders>
          </w:tcPr>
          <w:p>
            <w:pPr>
              <w:jc w:val="center"/>
            </w:pPr>
            <w:r>
              <w:rPr>
                <w:rFonts w:ascii="Times New Roman" w:hAnsi="Times New Roman"/>
                <w:sz w:val="18"/>
              </w:rPr>
              <w:t>0.9040</w:t>
            </w:r>
          </w:p>
        </w:tc>
        <w:tc>
          <w:tcPr>
            <w:tcW w:type="dxa" w:w="1531"/>
            <w:tcBorders>
              <w:top w:val="nil"/>
              <w:left w:val="nil"/>
              <w:bottom w:val="nil"/>
              <w:right w:val="nil"/>
            </w:tcBorders>
          </w:tcPr>
          <w:p>
            <w:pPr>
              <w:jc w:val="center"/>
            </w:pPr>
            <w:r>
              <w:rPr>
                <w:rFonts w:ascii="Times New Roman" w:hAnsi="Times New Roman"/>
                <w:sz w:val="18"/>
              </w:rPr>
              <w:t>0.1701</w:t>
            </w:r>
          </w:p>
        </w:tc>
        <w:tc>
          <w:tcPr>
            <w:tcW w:type="dxa" w:w="1531"/>
            <w:tcBorders>
              <w:top w:val="nil"/>
              <w:left w:val="nil"/>
              <w:bottom w:val="nil"/>
              <w:right w:val="nil"/>
            </w:tcBorders>
          </w:tcPr>
          <w:p>
            <w:pPr>
              <w:jc w:val="center"/>
            </w:pPr>
            <w:r>
              <w:rPr>
                <w:rFonts w:ascii="Times New Roman" w:hAnsi="Times New Roman"/>
                <w:sz w:val="18"/>
              </w:rPr>
              <w:t>0.8453</w:t>
            </w:r>
          </w:p>
        </w:tc>
      </w:tr>
      <w:tr>
        <w:trPr>
          <w:trHeight w:val="283" w:hRule="atLeast"/>
          <w:cantSplit/>
        </w:trPr>
        <w:tc>
          <w:tcPr>
            <w:tcW w:type="dxa" w:w="794"/>
            <w:tcBorders>
              <w:top w:val="nil"/>
              <w:left w:val="nil"/>
              <w:bottom w:val="nil"/>
              <w:right w:val="nil"/>
            </w:tcBorders>
          </w:tcPr>
          <w:p>
            <w:pPr>
              <w:jc w:val="center"/>
            </w:pPr>
            <w:r>
              <w:rPr>
                <w:rFonts w:ascii="Times New Roman" w:hAnsi="Times New Roman"/>
                <w:sz w:val="18"/>
              </w:rPr>
              <w:t>8</w:t>
            </w:r>
          </w:p>
        </w:tc>
        <w:tc>
          <w:tcPr>
            <w:tcW w:type="dxa" w:w="2608"/>
            <w:tcBorders>
              <w:top w:val="nil"/>
              <w:left w:val="nil"/>
              <w:bottom w:val="nil"/>
              <w:right w:val="nil"/>
            </w:tcBorders>
          </w:tcPr>
          <w:p>
            <w:pPr>
              <w:jc w:val="left"/>
            </w:pPr>
            <w:r>
              <w:rPr>
                <w:rFonts w:ascii="Times New Roman" w:hAnsi="Times New Roman"/>
                <w:sz w:val="18"/>
              </w:rPr>
              <w:t>2023 to 2024</w:t>
            </w:r>
          </w:p>
        </w:tc>
        <w:tc>
          <w:tcPr>
            <w:tcW w:type="dxa" w:w="1531"/>
            <w:tcBorders>
              <w:top w:val="nil"/>
              <w:left w:val="nil"/>
              <w:bottom w:val="nil"/>
              <w:right w:val="nil"/>
            </w:tcBorders>
          </w:tcPr>
          <w:p>
            <w:pPr>
              <w:jc w:val="center"/>
            </w:pPr>
            <w:r>
              <w:rPr>
                <w:rFonts w:ascii="Times New Roman" w:hAnsi="Times New Roman"/>
                <w:sz w:val="18"/>
              </w:rPr>
              <w:t>0.1160</w:t>
            </w:r>
          </w:p>
        </w:tc>
        <w:tc>
          <w:tcPr>
            <w:tcW w:type="dxa" w:w="1531"/>
            <w:tcBorders>
              <w:top w:val="nil"/>
              <w:left w:val="nil"/>
              <w:bottom w:val="nil"/>
              <w:right w:val="nil"/>
            </w:tcBorders>
          </w:tcPr>
          <w:p>
            <w:pPr>
              <w:jc w:val="center"/>
            </w:pPr>
            <w:r>
              <w:rPr>
                <w:rFonts w:ascii="Times New Roman" w:hAnsi="Times New Roman"/>
                <w:sz w:val="18"/>
              </w:rPr>
              <w:t>0.8946</w:t>
            </w:r>
          </w:p>
        </w:tc>
        <w:tc>
          <w:tcPr>
            <w:tcW w:type="dxa" w:w="1531"/>
            <w:tcBorders>
              <w:top w:val="nil"/>
              <w:left w:val="nil"/>
              <w:bottom w:val="nil"/>
              <w:right w:val="nil"/>
            </w:tcBorders>
          </w:tcPr>
          <w:p>
            <w:pPr>
              <w:jc w:val="center"/>
            </w:pPr>
            <w:r>
              <w:rPr>
                <w:rFonts w:ascii="Times New Roman" w:hAnsi="Times New Roman"/>
                <w:sz w:val="18"/>
              </w:rPr>
              <w:t>0.1743</w:t>
            </w:r>
          </w:p>
        </w:tc>
        <w:tc>
          <w:tcPr>
            <w:tcW w:type="dxa" w:w="1531"/>
            <w:tcBorders>
              <w:top w:val="nil"/>
              <w:left w:val="nil"/>
              <w:bottom w:val="nil"/>
              <w:right w:val="nil"/>
            </w:tcBorders>
          </w:tcPr>
          <w:p>
            <w:pPr>
              <w:jc w:val="center"/>
            </w:pPr>
            <w:r>
              <w:rPr>
                <w:rFonts w:ascii="Times New Roman" w:hAnsi="Times New Roman"/>
                <w:sz w:val="18"/>
              </w:rPr>
              <w:t>0.8415</w:t>
            </w:r>
          </w:p>
        </w:tc>
      </w:tr>
      <w:tr>
        <w:trPr>
          <w:trHeight w:val="283" w:hRule="atLeast"/>
          <w:cantSplit/>
        </w:trPr>
        <w:tc>
          <w:tcPr>
            <w:tcW w:type="dxa" w:w="794"/>
            <w:tcBorders>
              <w:top w:val="nil"/>
              <w:left w:val="nil"/>
              <w:bottom w:val="single" w:sz="12" w:space="0" w:color="000000"/>
              <w:right w:val="nil"/>
            </w:tcBorders>
          </w:tcPr>
          <w:p>
            <w:pPr>
              <w:jc w:val="center"/>
            </w:pPr>
            <w:r>
              <w:rPr>
                <w:rFonts w:ascii="Times New Roman" w:hAnsi="Times New Roman"/>
                <w:sz w:val="18"/>
              </w:rPr>
              <w:t>9</w:t>
            </w:r>
          </w:p>
        </w:tc>
        <w:tc>
          <w:tcPr>
            <w:tcW w:type="dxa" w:w="2608"/>
            <w:tcBorders>
              <w:top w:val="nil"/>
              <w:left w:val="nil"/>
              <w:bottom w:val="single" w:sz="12" w:space="0" w:color="000000"/>
              <w:right w:val="nil"/>
            </w:tcBorders>
          </w:tcPr>
          <w:p>
            <w:pPr>
              <w:jc w:val="left"/>
            </w:pPr>
            <w:r>
              <w:rPr>
                <w:rFonts w:ascii="Times New Roman" w:hAnsi="Times New Roman"/>
                <w:sz w:val="18"/>
              </w:rPr>
              <w:t>2024 to 2025</w:t>
            </w:r>
          </w:p>
        </w:tc>
        <w:tc>
          <w:tcPr>
            <w:tcW w:type="dxa" w:w="1531"/>
            <w:tcBorders>
              <w:top w:val="nil"/>
              <w:left w:val="nil"/>
              <w:bottom w:val="single" w:sz="12" w:space="0" w:color="000000"/>
              <w:right w:val="nil"/>
            </w:tcBorders>
          </w:tcPr>
          <w:p>
            <w:pPr>
              <w:jc w:val="center"/>
            </w:pPr>
            <w:r>
              <w:rPr>
                <w:rFonts w:ascii="Times New Roman" w:hAnsi="Times New Roman"/>
                <w:sz w:val="18"/>
              </w:rPr>
              <w:t>0.1517</w:t>
            </w:r>
          </w:p>
        </w:tc>
        <w:tc>
          <w:tcPr>
            <w:tcW w:type="dxa" w:w="1531"/>
            <w:tcBorders>
              <w:top w:val="nil"/>
              <w:left w:val="nil"/>
              <w:bottom w:val="single" w:sz="12" w:space="0" w:color="000000"/>
              <w:right w:val="nil"/>
            </w:tcBorders>
          </w:tcPr>
          <w:p>
            <w:pPr>
              <w:jc w:val="center"/>
            </w:pPr>
            <w:r>
              <w:rPr>
                <w:rFonts w:ascii="Times New Roman" w:hAnsi="Times New Roman"/>
                <w:sz w:val="18"/>
              </w:rPr>
              <w:t>0.8621</w:t>
            </w:r>
          </w:p>
        </w:tc>
        <w:tc>
          <w:tcPr>
            <w:tcW w:type="dxa" w:w="1531"/>
            <w:tcBorders>
              <w:top w:val="nil"/>
              <w:left w:val="nil"/>
              <w:bottom w:val="single" w:sz="12" w:space="0" w:color="000000"/>
              <w:right w:val="nil"/>
            </w:tcBorders>
          </w:tcPr>
          <w:p>
            <w:pPr>
              <w:jc w:val="center"/>
            </w:pPr>
            <w:r>
              <w:rPr>
                <w:rFonts w:ascii="Times New Roman" w:hAnsi="Times New Roman"/>
                <w:sz w:val="18"/>
              </w:rPr>
              <w:t>0.2181</w:t>
            </w:r>
          </w:p>
        </w:tc>
        <w:tc>
          <w:tcPr>
            <w:tcW w:type="dxa" w:w="1531"/>
            <w:tcBorders>
              <w:top w:val="nil"/>
              <w:left w:val="nil"/>
              <w:bottom w:val="single" w:sz="12" w:space="0" w:color="000000"/>
              <w:right w:val="nil"/>
            </w:tcBorders>
          </w:tcPr>
          <w:p>
            <w:pPr>
              <w:jc w:val="center"/>
            </w:pPr>
            <w:r>
              <w:rPr>
                <w:rFonts w:ascii="Times New Roman" w:hAnsi="Times New Roman"/>
                <w:sz w:val="18"/>
              </w:rPr>
              <w:t>0.8017</w:t>
            </w:r>
          </w:p>
        </w:tc>
      </w:tr>
    </w:tbl>
    <w:p>
      <w:pPr>
        <w:keepNext w:val="0"/>
        <w:keepLines/>
        <w:spacing w:after="320" w:before="120"/>
        <w:jc w:val="both"/>
      </w:pPr>
      <w:r>
        <w:rPr>
          <w:rFonts w:ascii="Times New Roman" w:hAnsi="Times New Roman"/>
          <w:b w:val="0"/>
          <w:i/>
          <w:sz w:val="18"/>
        </w:rPr>
        <w:t>The index declines from 0.322 in the first transition (2016 to 2017) to a minimum of 0.106 in the seventh (2022 to 2023) and rebounds to 0.152 in the final transition (2024 to 2025). The semantic cost matrix reproduces the same trajectory at a higher level, with its minimum in the same transition, which indicates that the decline is not an artefact of the uniform cost structure.</w:t>
      </w:r>
    </w:p>
    <w:p>
      <w:pPr>
        <w:keepNext/>
        <w:keepLines w:val="0"/>
        <w:spacing w:after="120" w:before="240"/>
        <w:jc w:val="left"/>
      </w:pPr>
      <w:r>
        <w:rPr>
          <w:rFonts w:ascii="Times New Roman" w:hAnsi="Times New Roman"/>
          <w:b/>
          <w:i w:val="0"/>
          <w:sz w:val="22"/>
        </w:rPr>
        <w:t>Table S11. Breakpoint tests for the five core topics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5"/>
        <w:gridCol w:w="1425"/>
        <w:gridCol w:w="1425"/>
        <w:gridCol w:w="1425"/>
        <w:gridCol w:w="1425"/>
        <w:gridCol w:w="1425"/>
        <w:gridCol w:w="1425"/>
      </w:tblGrid>
      <w:tr>
        <w:trPr>
          <w:trHeight w:val="283" w:hRule="atLeast"/>
          <w:tblHeader/>
          <w:cantSplit/>
        </w:trPr>
        <w:tc>
          <w:tcPr>
            <w:tcW w:type="dxa" w:w="850"/>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Topic</w:t>
            </w:r>
          </w:p>
        </w:tc>
        <w:tc>
          <w:tcPr>
            <w:tcW w:type="dxa" w:w="1020"/>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Chow F</w:t>
            </w:r>
          </w:p>
        </w:tc>
        <w:tc>
          <w:tcPr>
            <w:tcW w:type="dxa" w:w="1020"/>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Chow P</w:t>
            </w:r>
          </w:p>
        </w:tc>
        <w:tc>
          <w:tcPr>
            <w:tcW w:type="dxa" w:w="1474"/>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Break midpoint</w:t>
            </w:r>
          </w:p>
        </w:tc>
        <w:tc>
          <w:tcPr>
            <w:tcW w:type="dxa" w:w="1361"/>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Bai-Perron P</w:t>
            </w:r>
          </w:p>
        </w:tc>
        <w:tc>
          <w:tcPr>
            <w:tcW w:type="dxa" w:w="1474"/>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CUSUM statistic</w:t>
            </w:r>
          </w:p>
        </w:tc>
        <w:tc>
          <w:tcPr>
            <w:tcW w:type="dxa" w:w="1077"/>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9"/>
              </w:rPr>
              <w:t>CUSUM P</w:t>
            </w:r>
          </w:p>
        </w:tc>
      </w:tr>
      <w:tr>
        <w:trPr>
          <w:trHeight w:val="283" w:hRule="atLeast"/>
          <w:cantSplit/>
        </w:trPr>
        <w:tc>
          <w:tcPr>
            <w:tcW w:type="dxa" w:w="850"/>
            <w:tcBorders>
              <w:top w:val="nil"/>
              <w:left w:val="nil"/>
              <w:bottom w:val="nil"/>
              <w:right w:val="nil"/>
            </w:tcBorders>
          </w:tcPr>
          <w:p>
            <w:pPr>
              <w:jc w:val="center"/>
            </w:pPr>
            <w:r>
              <w:rPr>
                <w:rFonts w:ascii="Times New Roman" w:hAnsi="Times New Roman"/>
                <w:sz w:val="18"/>
              </w:rPr>
              <w:t>T0</w:t>
            </w:r>
          </w:p>
        </w:tc>
        <w:tc>
          <w:tcPr>
            <w:tcW w:type="dxa" w:w="1020"/>
            <w:tcBorders>
              <w:top w:val="nil"/>
              <w:left w:val="nil"/>
              <w:bottom w:val="nil"/>
              <w:right w:val="nil"/>
            </w:tcBorders>
          </w:tcPr>
          <w:p>
            <w:pPr>
              <w:jc w:val="center"/>
            </w:pPr>
            <w:r>
              <w:rPr>
                <w:rFonts w:ascii="Times New Roman" w:hAnsi="Times New Roman"/>
                <w:sz w:val="18"/>
              </w:rPr>
              <w:t>19.402</w:t>
            </w:r>
          </w:p>
        </w:tc>
        <w:tc>
          <w:tcPr>
            <w:tcW w:type="dxa" w:w="1020"/>
            <w:tcBorders>
              <w:top w:val="nil"/>
              <w:left w:val="nil"/>
              <w:bottom w:val="nil"/>
              <w:right w:val="nil"/>
            </w:tcBorders>
          </w:tcPr>
          <w:p>
            <w:pPr>
              <w:jc w:val="center"/>
            </w:pPr>
            <w:r>
              <w:rPr>
                <w:rFonts w:ascii="Times New Roman" w:hAnsi="Times New Roman"/>
                <w:sz w:val="18"/>
              </w:rPr>
              <w:t>0.0024</w:t>
            </w:r>
          </w:p>
        </w:tc>
        <w:tc>
          <w:tcPr>
            <w:tcW w:type="dxa" w:w="1474"/>
            <w:tcBorders>
              <w:top w:val="nil"/>
              <w:left w:val="nil"/>
              <w:bottom w:val="nil"/>
              <w:right w:val="nil"/>
            </w:tcBorders>
          </w:tcPr>
          <w:p>
            <w:pPr>
              <w:jc w:val="center"/>
            </w:pPr>
            <w:r>
              <w:rPr>
                <w:rFonts w:ascii="Times New Roman" w:hAnsi="Times New Roman"/>
                <w:sz w:val="18"/>
              </w:rPr>
              <w:t>2018.0</w:t>
            </w:r>
          </w:p>
        </w:tc>
        <w:tc>
          <w:tcPr>
            <w:tcW w:type="dxa" w:w="1361"/>
            <w:tcBorders>
              <w:top w:val="nil"/>
              <w:left w:val="nil"/>
              <w:bottom w:val="nil"/>
              <w:right w:val="nil"/>
            </w:tcBorders>
          </w:tcPr>
          <w:p>
            <w:pPr>
              <w:jc w:val="center"/>
            </w:pPr>
            <w:r>
              <w:rPr>
                <w:rFonts w:ascii="Times New Roman" w:hAnsi="Times New Roman"/>
                <w:sz w:val="18"/>
              </w:rPr>
              <w:t>0.0024</w:t>
            </w:r>
          </w:p>
        </w:tc>
        <w:tc>
          <w:tcPr>
            <w:tcW w:type="dxa" w:w="1474"/>
            <w:tcBorders>
              <w:top w:val="nil"/>
              <w:left w:val="nil"/>
              <w:bottom w:val="nil"/>
              <w:right w:val="nil"/>
            </w:tcBorders>
          </w:tcPr>
          <w:p>
            <w:pPr>
              <w:jc w:val="center"/>
            </w:pPr>
            <w:r>
              <w:rPr>
                <w:rFonts w:ascii="Times New Roman" w:hAnsi="Times New Roman"/>
                <w:sz w:val="18"/>
              </w:rPr>
              <w:t>0.6128</w:t>
            </w:r>
          </w:p>
        </w:tc>
        <w:tc>
          <w:tcPr>
            <w:tcW w:type="dxa" w:w="1077"/>
            <w:tcBorders>
              <w:top w:val="nil"/>
              <w:left w:val="nil"/>
              <w:bottom w:val="nil"/>
              <w:right w:val="nil"/>
            </w:tcBorders>
          </w:tcPr>
          <w:p>
            <w:pPr>
              <w:jc w:val="center"/>
            </w:pPr>
            <w:r>
              <w:rPr>
                <w:rFonts w:ascii="Times New Roman" w:hAnsi="Times New Roman"/>
                <w:sz w:val="18"/>
              </w:rPr>
              <w:t>0.8469</w:t>
            </w:r>
          </w:p>
        </w:tc>
      </w:tr>
      <w:tr>
        <w:trPr>
          <w:trHeight w:val="283" w:hRule="atLeast"/>
          <w:cantSplit/>
        </w:trPr>
        <w:tc>
          <w:tcPr>
            <w:tcW w:type="dxa" w:w="850"/>
            <w:tcBorders>
              <w:top w:val="nil"/>
              <w:left w:val="nil"/>
              <w:bottom w:val="nil"/>
              <w:right w:val="nil"/>
            </w:tcBorders>
          </w:tcPr>
          <w:p>
            <w:pPr>
              <w:jc w:val="center"/>
            </w:pPr>
            <w:r>
              <w:rPr>
                <w:rFonts w:ascii="Times New Roman" w:hAnsi="Times New Roman"/>
                <w:sz w:val="18"/>
              </w:rPr>
              <w:t>T1</w:t>
            </w:r>
          </w:p>
        </w:tc>
        <w:tc>
          <w:tcPr>
            <w:tcW w:type="dxa" w:w="1020"/>
            <w:tcBorders>
              <w:top w:val="nil"/>
              <w:left w:val="nil"/>
              <w:bottom w:val="nil"/>
              <w:right w:val="nil"/>
            </w:tcBorders>
          </w:tcPr>
          <w:p>
            <w:pPr>
              <w:jc w:val="center"/>
            </w:pPr>
            <w:r>
              <w:rPr>
                <w:rFonts w:ascii="Times New Roman" w:hAnsi="Times New Roman"/>
                <w:sz w:val="18"/>
              </w:rPr>
              <w:t>1.587</w:t>
            </w:r>
          </w:p>
        </w:tc>
        <w:tc>
          <w:tcPr>
            <w:tcW w:type="dxa" w:w="1020"/>
            <w:tcBorders>
              <w:top w:val="nil"/>
              <w:left w:val="nil"/>
              <w:bottom w:val="nil"/>
              <w:right w:val="nil"/>
            </w:tcBorders>
          </w:tcPr>
          <w:p>
            <w:pPr>
              <w:jc w:val="center"/>
            </w:pPr>
            <w:r>
              <w:rPr>
                <w:rFonts w:ascii="Times New Roman" w:hAnsi="Times New Roman"/>
                <w:sz w:val="18"/>
              </w:rPr>
              <w:t>0.2798</w:t>
            </w:r>
          </w:p>
        </w:tc>
        <w:tc>
          <w:tcPr>
            <w:tcW w:type="dxa" w:w="1474"/>
            <w:tcBorders>
              <w:top w:val="nil"/>
              <w:left w:val="nil"/>
              <w:bottom w:val="nil"/>
              <w:right w:val="nil"/>
            </w:tcBorders>
          </w:tcPr>
          <w:p>
            <w:pPr>
              <w:jc w:val="center"/>
            </w:pPr>
            <w:r>
              <w:rPr>
                <w:rFonts w:ascii="Times New Roman" w:hAnsi="Times New Roman"/>
                <w:sz w:val="18"/>
              </w:rPr>
              <w:t>2022.0</w:t>
            </w:r>
          </w:p>
        </w:tc>
        <w:tc>
          <w:tcPr>
            <w:tcW w:type="dxa" w:w="1361"/>
            <w:tcBorders>
              <w:top w:val="nil"/>
              <w:left w:val="nil"/>
              <w:bottom w:val="nil"/>
              <w:right w:val="nil"/>
            </w:tcBorders>
          </w:tcPr>
          <w:p>
            <w:pPr>
              <w:jc w:val="center"/>
            </w:pPr>
            <w:r>
              <w:rPr>
                <w:rFonts w:ascii="Times New Roman" w:hAnsi="Times New Roman"/>
                <w:sz w:val="18"/>
              </w:rPr>
              <w:t>0.2798</w:t>
            </w:r>
          </w:p>
        </w:tc>
        <w:tc>
          <w:tcPr>
            <w:tcW w:type="dxa" w:w="1474"/>
            <w:tcBorders>
              <w:top w:val="nil"/>
              <w:left w:val="nil"/>
              <w:bottom w:val="nil"/>
              <w:right w:val="nil"/>
            </w:tcBorders>
          </w:tcPr>
          <w:p>
            <w:pPr>
              <w:jc w:val="center"/>
            </w:pPr>
            <w:r>
              <w:rPr>
                <w:rFonts w:ascii="Times New Roman" w:hAnsi="Times New Roman"/>
                <w:sz w:val="18"/>
              </w:rPr>
              <w:t>0.3219</w:t>
            </w:r>
          </w:p>
        </w:tc>
        <w:tc>
          <w:tcPr>
            <w:tcW w:type="dxa" w:w="1077"/>
            <w:tcBorders>
              <w:top w:val="nil"/>
              <w:left w:val="nil"/>
              <w:bottom w:val="nil"/>
              <w:right w:val="nil"/>
            </w:tcBorders>
          </w:tcPr>
          <w:p>
            <w:pPr>
              <w:jc w:val="center"/>
            </w:pPr>
            <w:r>
              <w:rPr>
                <w:rFonts w:ascii="Times New Roman" w:hAnsi="Times New Roman"/>
                <w:sz w:val="18"/>
              </w:rPr>
              <w:t>0.9999</w:t>
            </w:r>
          </w:p>
        </w:tc>
      </w:tr>
      <w:tr>
        <w:trPr>
          <w:trHeight w:val="283" w:hRule="atLeast"/>
          <w:cantSplit/>
        </w:trPr>
        <w:tc>
          <w:tcPr>
            <w:tcW w:type="dxa" w:w="850"/>
            <w:tcBorders>
              <w:top w:val="nil"/>
              <w:left w:val="nil"/>
              <w:bottom w:val="nil"/>
              <w:right w:val="nil"/>
            </w:tcBorders>
          </w:tcPr>
          <w:p>
            <w:pPr>
              <w:jc w:val="center"/>
            </w:pPr>
            <w:r>
              <w:rPr>
                <w:rFonts w:ascii="Times New Roman" w:hAnsi="Times New Roman"/>
                <w:sz w:val="18"/>
              </w:rPr>
              <w:t>T2</w:t>
            </w:r>
          </w:p>
        </w:tc>
        <w:tc>
          <w:tcPr>
            <w:tcW w:type="dxa" w:w="1020"/>
            <w:tcBorders>
              <w:top w:val="nil"/>
              <w:left w:val="nil"/>
              <w:bottom w:val="nil"/>
              <w:right w:val="nil"/>
            </w:tcBorders>
          </w:tcPr>
          <w:p>
            <w:pPr>
              <w:jc w:val="center"/>
            </w:pPr>
            <w:r>
              <w:rPr>
                <w:rFonts w:ascii="Times New Roman" w:hAnsi="Times New Roman"/>
                <w:sz w:val="18"/>
              </w:rPr>
              <w:t>8.419</w:t>
            </w:r>
          </w:p>
        </w:tc>
        <w:tc>
          <w:tcPr>
            <w:tcW w:type="dxa" w:w="1020"/>
            <w:tcBorders>
              <w:top w:val="nil"/>
              <w:left w:val="nil"/>
              <w:bottom w:val="nil"/>
              <w:right w:val="nil"/>
            </w:tcBorders>
          </w:tcPr>
          <w:p>
            <w:pPr>
              <w:jc w:val="center"/>
            </w:pPr>
            <w:r>
              <w:rPr>
                <w:rFonts w:ascii="Times New Roman" w:hAnsi="Times New Roman"/>
                <w:sz w:val="18"/>
              </w:rPr>
              <w:t>0.0181</w:t>
            </w:r>
          </w:p>
        </w:tc>
        <w:tc>
          <w:tcPr>
            <w:tcW w:type="dxa" w:w="1474"/>
            <w:tcBorders>
              <w:top w:val="nil"/>
              <w:left w:val="nil"/>
              <w:bottom w:val="nil"/>
              <w:right w:val="nil"/>
            </w:tcBorders>
          </w:tcPr>
          <w:p>
            <w:pPr>
              <w:jc w:val="center"/>
            </w:pPr>
            <w:r>
              <w:rPr>
                <w:rFonts w:ascii="Times New Roman" w:hAnsi="Times New Roman"/>
                <w:sz w:val="18"/>
              </w:rPr>
              <w:t>2019.0</w:t>
            </w:r>
          </w:p>
        </w:tc>
        <w:tc>
          <w:tcPr>
            <w:tcW w:type="dxa" w:w="1361"/>
            <w:tcBorders>
              <w:top w:val="nil"/>
              <w:left w:val="nil"/>
              <w:bottom w:val="nil"/>
              <w:right w:val="nil"/>
            </w:tcBorders>
          </w:tcPr>
          <w:p>
            <w:pPr>
              <w:jc w:val="center"/>
            </w:pPr>
            <w:r>
              <w:rPr>
                <w:rFonts w:ascii="Times New Roman" w:hAnsi="Times New Roman"/>
                <w:sz w:val="18"/>
              </w:rPr>
              <w:t>0.0181</w:t>
            </w:r>
          </w:p>
        </w:tc>
        <w:tc>
          <w:tcPr>
            <w:tcW w:type="dxa" w:w="1474"/>
            <w:tcBorders>
              <w:top w:val="nil"/>
              <w:left w:val="nil"/>
              <w:bottom w:val="nil"/>
              <w:right w:val="nil"/>
            </w:tcBorders>
          </w:tcPr>
          <w:p>
            <w:pPr>
              <w:jc w:val="center"/>
            </w:pPr>
            <w:r>
              <w:rPr>
                <w:rFonts w:ascii="Times New Roman" w:hAnsi="Times New Roman"/>
                <w:sz w:val="18"/>
              </w:rPr>
              <w:t>0.5599</w:t>
            </w:r>
          </w:p>
        </w:tc>
        <w:tc>
          <w:tcPr>
            <w:tcW w:type="dxa" w:w="1077"/>
            <w:tcBorders>
              <w:top w:val="nil"/>
              <w:left w:val="nil"/>
              <w:bottom w:val="nil"/>
              <w:right w:val="nil"/>
            </w:tcBorders>
          </w:tcPr>
          <w:p>
            <w:pPr>
              <w:jc w:val="center"/>
            </w:pPr>
            <w:r>
              <w:rPr>
                <w:rFonts w:ascii="Times New Roman" w:hAnsi="Times New Roman"/>
                <w:sz w:val="18"/>
              </w:rPr>
              <w:t>0.9125</w:t>
            </w:r>
          </w:p>
        </w:tc>
      </w:tr>
      <w:tr>
        <w:trPr>
          <w:trHeight w:val="283" w:hRule="atLeast"/>
          <w:cantSplit/>
        </w:trPr>
        <w:tc>
          <w:tcPr>
            <w:tcW w:type="dxa" w:w="850"/>
            <w:tcBorders>
              <w:top w:val="nil"/>
              <w:left w:val="nil"/>
              <w:bottom w:val="nil"/>
              <w:right w:val="nil"/>
            </w:tcBorders>
          </w:tcPr>
          <w:p>
            <w:pPr>
              <w:jc w:val="center"/>
            </w:pPr>
            <w:r>
              <w:rPr>
                <w:rFonts w:ascii="Times New Roman" w:hAnsi="Times New Roman"/>
                <w:sz w:val="18"/>
              </w:rPr>
              <w:t>T3</w:t>
            </w:r>
          </w:p>
        </w:tc>
        <w:tc>
          <w:tcPr>
            <w:tcW w:type="dxa" w:w="1020"/>
            <w:tcBorders>
              <w:top w:val="nil"/>
              <w:left w:val="nil"/>
              <w:bottom w:val="nil"/>
              <w:right w:val="nil"/>
            </w:tcBorders>
          </w:tcPr>
          <w:p>
            <w:pPr>
              <w:jc w:val="center"/>
            </w:pPr>
            <w:r>
              <w:rPr>
                <w:rFonts w:ascii="Times New Roman" w:hAnsi="Times New Roman"/>
                <w:sz w:val="18"/>
              </w:rPr>
              <w:t>3.660</w:t>
            </w:r>
          </w:p>
        </w:tc>
        <w:tc>
          <w:tcPr>
            <w:tcW w:type="dxa" w:w="1020"/>
            <w:tcBorders>
              <w:top w:val="nil"/>
              <w:left w:val="nil"/>
              <w:bottom w:val="nil"/>
              <w:right w:val="nil"/>
            </w:tcBorders>
          </w:tcPr>
          <w:p>
            <w:pPr>
              <w:jc w:val="center"/>
            </w:pPr>
            <w:r>
              <w:rPr>
                <w:rFonts w:ascii="Times New Roman" w:hAnsi="Times New Roman"/>
                <w:sz w:val="18"/>
              </w:rPr>
              <w:t>0.0914</w:t>
            </w:r>
          </w:p>
        </w:tc>
        <w:tc>
          <w:tcPr>
            <w:tcW w:type="dxa" w:w="1474"/>
            <w:tcBorders>
              <w:top w:val="nil"/>
              <w:left w:val="nil"/>
              <w:bottom w:val="nil"/>
              <w:right w:val="nil"/>
            </w:tcBorders>
          </w:tcPr>
          <w:p>
            <w:pPr>
              <w:jc w:val="center"/>
            </w:pPr>
            <w:r>
              <w:rPr>
                <w:rFonts w:ascii="Times New Roman" w:hAnsi="Times New Roman"/>
                <w:sz w:val="18"/>
              </w:rPr>
              <w:t>2019.0</w:t>
            </w:r>
          </w:p>
        </w:tc>
        <w:tc>
          <w:tcPr>
            <w:tcW w:type="dxa" w:w="1361"/>
            <w:tcBorders>
              <w:top w:val="nil"/>
              <w:left w:val="nil"/>
              <w:bottom w:val="nil"/>
              <w:right w:val="nil"/>
            </w:tcBorders>
          </w:tcPr>
          <w:p>
            <w:pPr>
              <w:jc w:val="center"/>
            </w:pPr>
            <w:r>
              <w:rPr>
                <w:rFonts w:ascii="Times New Roman" w:hAnsi="Times New Roman"/>
                <w:sz w:val="18"/>
              </w:rPr>
              <w:t>0.0914</w:t>
            </w:r>
          </w:p>
        </w:tc>
        <w:tc>
          <w:tcPr>
            <w:tcW w:type="dxa" w:w="1474"/>
            <w:tcBorders>
              <w:top w:val="nil"/>
              <w:left w:val="nil"/>
              <w:bottom w:val="nil"/>
              <w:right w:val="nil"/>
            </w:tcBorders>
          </w:tcPr>
          <w:p>
            <w:pPr>
              <w:jc w:val="center"/>
            </w:pPr>
            <w:r>
              <w:rPr>
                <w:rFonts w:ascii="Times New Roman" w:hAnsi="Times New Roman"/>
                <w:sz w:val="18"/>
              </w:rPr>
              <w:t>0.5331</w:t>
            </w:r>
          </w:p>
        </w:tc>
        <w:tc>
          <w:tcPr>
            <w:tcW w:type="dxa" w:w="1077"/>
            <w:tcBorders>
              <w:top w:val="nil"/>
              <w:left w:val="nil"/>
              <w:bottom w:val="nil"/>
              <w:right w:val="nil"/>
            </w:tcBorders>
          </w:tcPr>
          <w:p>
            <w:pPr>
              <w:jc w:val="center"/>
            </w:pPr>
            <w:r>
              <w:rPr>
                <w:rFonts w:ascii="Times New Roman" w:hAnsi="Times New Roman"/>
                <w:sz w:val="18"/>
              </w:rPr>
              <w:t>0.9388</w:t>
            </w:r>
          </w:p>
        </w:tc>
      </w:tr>
      <w:tr>
        <w:trPr>
          <w:trHeight w:val="283" w:hRule="atLeast"/>
          <w:cantSplit/>
        </w:trPr>
        <w:tc>
          <w:tcPr>
            <w:tcW w:type="dxa" w:w="850"/>
            <w:tcBorders>
              <w:top w:val="nil"/>
              <w:left w:val="nil"/>
              <w:bottom w:val="single" w:sz="12" w:space="0" w:color="000000"/>
              <w:right w:val="nil"/>
            </w:tcBorders>
          </w:tcPr>
          <w:p>
            <w:pPr>
              <w:jc w:val="center"/>
            </w:pPr>
            <w:r>
              <w:rPr>
                <w:rFonts w:ascii="Times New Roman" w:hAnsi="Times New Roman"/>
                <w:sz w:val="18"/>
              </w:rPr>
              <w:t>T4</w:t>
            </w:r>
          </w:p>
        </w:tc>
        <w:tc>
          <w:tcPr>
            <w:tcW w:type="dxa" w:w="1020"/>
            <w:tcBorders>
              <w:top w:val="nil"/>
              <w:left w:val="nil"/>
              <w:bottom w:val="single" w:sz="12" w:space="0" w:color="000000"/>
              <w:right w:val="nil"/>
            </w:tcBorders>
          </w:tcPr>
          <w:p>
            <w:pPr>
              <w:jc w:val="center"/>
            </w:pPr>
            <w:r>
              <w:rPr>
                <w:rFonts w:ascii="Times New Roman" w:hAnsi="Times New Roman"/>
                <w:sz w:val="18"/>
              </w:rPr>
              <w:t>3.130</w:t>
            </w:r>
          </w:p>
        </w:tc>
        <w:tc>
          <w:tcPr>
            <w:tcW w:type="dxa" w:w="1020"/>
            <w:tcBorders>
              <w:top w:val="nil"/>
              <w:left w:val="nil"/>
              <w:bottom w:val="single" w:sz="12" w:space="0" w:color="000000"/>
              <w:right w:val="nil"/>
            </w:tcBorders>
          </w:tcPr>
          <w:p>
            <w:pPr>
              <w:jc w:val="center"/>
            </w:pPr>
            <w:r>
              <w:rPr>
                <w:rFonts w:ascii="Times New Roman" w:hAnsi="Times New Roman"/>
                <w:sz w:val="18"/>
              </w:rPr>
              <w:t>0.1172</w:t>
            </w:r>
          </w:p>
        </w:tc>
        <w:tc>
          <w:tcPr>
            <w:tcW w:type="dxa" w:w="1474"/>
            <w:tcBorders>
              <w:top w:val="nil"/>
              <w:left w:val="nil"/>
              <w:bottom w:val="single" w:sz="12" w:space="0" w:color="000000"/>
              <w:right w:val="nil"/>
            </w:tcBorders>
          </w:tcPr>
          <w:p>
            <w:pPr>
              <w:jc w:val="center"/>
            </w:pPr>
            <w:r>
              <w:rPr>
                <w:rFonts w:ascii="Times New Roman" w:hAnsi="Times New Roman"/>
                <w:sz w:val="18"/>
              </w:rPr>
              <w:t>2017.0</w:t>
            </w:r>
          </w:p>
        </w:tc>
        <w:tc>
          <w:tcPr>
            <w:tcW w:type="dxa" w:w="1361"/>
            <w:tcBorders>
              <w:top w:val="nil"/>
              <w:left w:val="nil"/>
              <w:bottom w:val="single" w:sz="12" w:space="0" w:color="000000"/>
              <w:right w:val="nil"/>
            </w:tcBorders>
          </w:tcPr>
          <w:p>
            <w:pPr>
              <w:jc w:val="center"/>
            </w:pPr>
            <w:r>
              <w:rPr>
                <w:rFonts w:ascii="Times New Roman" w:hAnsi="Times New Roman"/>
                <w:sz w:val="18"/>
              </w:rPr>
              <w:t>0.1172</w:t>
            </w:r>
          </w:p>
        </w:tc>
        <w:tc>
          <w:tcPr>
            <w:tcW w:type="dxa" w:w="1474"/>
            <w:tcBorders>
              <w:top w:val="nil"/>
              <w:left w:val="nil"/>
              <w:bottom w:val="single" w:sz="12" w:space="0" w:color="000000"/>
              <w:right w:val="nil"/>
            </w:tcBorders>
          </w:tcPr>
          <w:p>
            <w:pPr>
              <w:jc w:val="center"/>
            </w:pPr>
            <w:r>
              <w:rPr>
                <w:rFonts w:ascii="Times New Roman" w:hAnsi="Times New Roman"/>
                <w:sz w:val="18"/>
              </w:rPr>
              <w:t>0.4008</w:t>
            </w:r>
          </w:p>
        </w:tc>
        <w:tc>
          <w:tcPr>
            <w:tcW w:type="dxa" w:w="1077"/>
            <w:tcBorders>
              <w:top w:val="nil"/>
              <w:left w:val="nil"/>
              <w:bottom w:val="single" w:sz="12" w:space="0" w:color="000000"/>
              <w:right w:val="nil"/>
            </w:tcBorders>
          </w:tcPr>
          <w:p>
            <w:pPr>
              <w:jc w:val="center"/>
            </w:pPr>
            <w:r>
              <w:rPr>
                <w:rFonts w:ascii="Times New Roman" w:hAnsi="Times New Roman"/>
                <w:sz w:val="18"/>
              </w:rPr>
              <w:t>0.9971</w:t>
            </w:r>
          </w:p>
        </w:tc>
      </w:tr>
    </w:tbl>
    <w:p>
      <w:pPr>
        <w:keepNext w:val="0"/>
        <w:keepLines/>
        <w:spacing w:after="320" w:before="120"/>
        <w:jc w:val="both"/>
      </w:pPr>
      <w:r>
        <w:rPr>
          <w:rFonts w:ascii="Times New Roman" w:hAnsi="Times New Roman"/>
          <w:b w:val="0"/>
          <w:i/>
          <w:sz w:val="18"/>
        </w:rPr>
        <w:t>The Chow and Bai-Perron tests identify a structural change in two of the five core topics (T0 with a break in 2018 and T2 with a break in 2019), while T1, T3 and T4 do not reach significance and the CUSUM tests indicate no deviation from stability in any topic. The breaks therefore occur in different years, and the results do not support a single synchronous reorganisation of the field.</w:t>
      </w:r>
    </w:p>
    <w:p>
      <w:pPr>
        <w:keepNext/>
        <w:keepLines w:val="0"/>
        <w:spacing w:after="120" w:before="240"/>
        <w:jc w:val="left"/>
      </w:pPr>
      <w:r>
        <w:rPr>
          <w:rFonts w:ascii="Times New Roman" w:hAnsi="Times New Roman"/>
          <w:b/>
          <w:i w:val="0"/>
          <w:sz w:val="22"/>
        </w:rPr>
        <w:t>Table S12. Sensitivity of the drift index to the analysis settings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425"/>
        <w:gridCol w:w="1425"/>
        <w:gridCol w:w="1425"/>
        <w:gridCol w:w="1425"/>
        <w:gridCol w:w="1425"/>
        <w:gridCol w:w="1425"/>
        <w:gridCol w:w="1425"/>
      </w:tblGrid>
      <w:tr>
        <w:trPr>
          <w:trHeight w:val="283" w:hRule="atLeast"/>
          <w:tblHeader/>
          <w:cantSplit/>
        </w:trPr>
        <w:tc>
          <w:tcPr>
            <w:tcW w:type="dxa" w:w="4762"/>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8"/>
              </w:rPr>
              <w:t>Configuration</w:t>
            </w:r>
          </w:p>
        </w:tc>
        <w:tc>
          <w:tcPr>
            <w:tcW w:type="dxa" w:w="850"/>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8"/>
              </w:rPr>
              <w:t>Mean d</w:t>
            </w:r>
          </w:p>
        </w:tc>
        <w:tc>
          <w:tcPr>
            <w:tcW w:type="dxa" w:w="794"/>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8"/>
              </w:rPr>
              <w:t>Min d</w:t>
            </w:r>
          </w:p>
        </w:tc>
        <w:tc>
          <w:tcPr>
            <w:tcW w:type="dxa" w:w="794"/>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8"/>
              </w:rPr>
              <w:t>Max d</w:t>
            </w:r>
          </w:p>
        </w:tc>
        <w:tc>
          <w:tcPr>
            <w:tcW w:type="dxa" w:w="794"/>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8"/>
              </w:rPr>
              <w:t>U shape</w:t>
            </w:r>
          </w:p>
        </w:tc>
        <w:tc>
          <w:tcPr>
            <w:tcW w:type="dxa" w:w="737"/>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8"/>
              </w:rPr>
              <w:t>Births</w:t>
            </w:r>
          </w:p>
        </w:tc>
        <w:tc>
          <w:tcPr>
            <w:tcW w:type="dxa" w:w="794"/>
            <w:tcBorders>
              <w:top w:val="single" w:sz="12" w:space="0" w:color="000000"/>
              <w:left w:val="nil"/>
              <w:bottom w:val="single" w:sz="6" w:space="0" w:color="000000"/>
              <w:right w:val="nil"/>
            </w:tcBorders>
          </w:tcPr>
          <w:p>
            <w:pPr>
              <w:spacing w:before="40" w:after="40"/>
              <w:jc w:val="center"/>
            </w:pPr>
            <w:r/>
            <w:r>
              <w:rPr>
                <w:rFonts w:ascii="Times New Roman" w:hAnsi="Times New Roman" w:eastAsia="Times New Roman"/>
                <w:b/>
                <w:i w:val="0"/>
                <w:sz w:val="18"/>
              </w:rPr>
              <w:t>Deaths</w:t>
            </w:r>
          </w:p>
        </w:tc>
      </w:tr>
      <w:tr>
        <w:trPr>
          <w:trHeight w:val="283" w:hRule="atLeast"/>
          <w:cantSplit/>
        </w:trPr>
        <w:tc>
          <w:tcPr>
            <w:tcW w:type="dxa" w:w="4762"/>
            <w:tcBorders>
              <w:top w:val="nil"/>
              <w:left w:val="nil"/>
              <w:bottom w:val="nil"/>
              <w:right w:val="nil"/>
            </w:tcBorders>
          </w:tcPr>
          <w:p>
            <w:pPr>
              <w:jc w:val="left"/>
            </w:pPr>
            <w:r>
              <w:rPr>
                <w:rFonts w:ascii="Times New Roman" w:hAnsi="Times New Roman"/>
                <w:sz w:val="18"/>
              </w:rPr>
              <w:t>k = 6, calendar-year bins, uniform cost, λ = 0.05, θ = 0.5</w:t>
            </w:r>
          </w:p>
        </w:tc>
        <w:tc>
          <w:tcPr>
            <w:tcW w:type="dxa" w:w="850"/>
            <w:tcBorders>
              <w:top w:val="nil"/>
              <w:left w:val="nil"/>
              <w:bottom w:val="nil"/>
              <w:right w:val="nil"/>
            </w:tcBorders>
          </w:tcPr>
          <w:p>
            <w:pPr>
              <w:jc w:val="center"/>
            </w:pPr>
            <w:r>
              <w:rPr>
                <w:rFonts w:ascii="Times New Roman" w:hAnsi="Times New Roman"/>
                <w:sz w:val="18"/>
              </w:rPr>
              <w:t>0.1962</w:t>
            </w:r>
          </w:p>
        </w:tc>
        <w:tc>
          <w:tcPr>
            <w:tcW w:type="dxa" w:w="794"/>
            <w:tcBorders>
              <w:top w:val="nil"/>
              <w:left w:val="nil"/>
              <w:bottom w:val="nil"/>
              <w:right w:val="nil"/>
            </w:tcBorders>
          </w:tcPr>
          <w:p>
            <w:pPr>
              <w:jc w:val="center"/>
            </w:pPr>
            <w:r>
              <w:rPr>
                <w:rFonts w:ascii="Times New Roman" w:hAnsi="Times New Roman"/>
                <w:sz w:val="18"/>
              </w:rPr>
              <w:t>0.1056</w:t>
            </w:r>
          </w:p>
        </w:tc>
        <w:tc>
          <w:tcPr>
            <w:tcW w:type="dxa" w:w="794"/>
            <w:tcBorders>
              <w:top w:val="nil"/>
              <w:left w:val="nil"/>
              <w:bottom w:val="nil"/>
              <w:right w:val="nil"/>
            </w:tcBorders>
          </w:tcPr>
          <w:p>
            <w:pPr>
              <w:jc w:val="center"/>
            </w:pPr>
            <w:r>
              <w:rPr>
                <w:rFonts w:ascii="Times New Roman" w:hAnsi="Times New Roman"/>
                <w:sz w:val="18"/>
              </w:rPr>
              <w:t>0.3223</w:t>
            </w:r>
          </w:p>
        </w:tc>
        <w:tc>
          <w:tcPr>
            <w:tcW w:type="dxa" w:w="794"/>
            <w:tcBorders>
              <w:top w:val="nil"/>
              <w:left w:val="nil"/>
              <w:bottom w:val="nil"/>
              <w:right w:val="nil"/>
            </w:tcBorders>
          </w:tcPr>
          <w:p>
            <w:pPr>
              <w:jc w:val="center"/>
            </w:pPr>
            <w:r>
              <w:rPr>
                <w:rFonts w:ascii="Times New Roman" w:hAnsi="Times New Roman"/>
                <w:sz w:val="18"/>
              </w:rPr>
              <w:t>yes</w:t>
            </w:r>
          </w:p>
        </w:tc>
        <w:tc>
          <w:tcPr>
            <w:tcW w:type="dxa" w:w="737"/>
            <w:tcBorders>
              <w:top w:val="nil"/>
              <w:left w:val="nil"/>
              <w:bottom w:val="nil"/>
              <w:right w:val="nil"/>
            </w:tcBorders>
          </w:tcPr>
          <w:p>
            <w:pPr>
              <w:jc w:val="center"/>
            </w:pPr>
            <w:r>
              <w:rPr>
                <w:rFonts w:ascii="Times New Roman" w:hAnsi="Times New Roman"/>
                <w:sz w:val="18"/>
              </w:rPr>
              <w:t>25</w:t>
            </w:r>
          </w:p>
        </w:tc>
        <w:tc>
          <w:tcPr>
            <w:tcW w:type="dxa" w:w="794"/>
            <w:tcBorders>
              <w:top w:val="nil"/>
              <w:left w:val="nil"/>
              <w:bottom w:val="nil"/>
              <w:right w:val="nil"/>
            </w:tcBorders>
          </w:tcPr>
          <w:p>
            <w:pPr>
              <w:jc w:val="center"/>
            </w:pPr>
            <w:r>
              <w:rPr>
                <w:rFonts w:ascii="Times New Roman" w:hAnsi="Times New Roman"/>
                <w:sz w:val="18"/>
              </w:rPr>
              <w:t>13</w:t>
            </w:r>
          </w:p>
        </w:tc>
      </w:tr>
      <w:tr>
        <w:trPr>
          <w:trHeight w:val="283" w:hRule="atLeast"/>
          <w:cantSplit/>
        </w:trPr>
        <w:tc>
          <w:tcPr>
            <w:tcW w:type="dxa" w:w="4762"/>
            <w:tcBorders>
              <w:top w:val="nil"/>
              <w:left w:val="nil"/>
              <w:bottom w:val="nil"/>
              <w:right w:val="nil"/>
            </w:tcBorders>
          </w:tcPr>
          <w:p>
            <w:pPr>
              <w:jc w:val="left"/>
            </w:pPr>
            <w:r>
              <w:rPr>
                <w:rFonts w:ascii="Times New Roman" w:hAnsi="Times New Roman"/>
                <w:sz w:val="18"/>
              </w:rPr>
              <w:t>k = 3, calendar-year bins, uniform cost, λ = 0.05, θ = 0.5</w:t>
            </w:r>
          </w:p>
        </w:tc>
        <w:tc>
          <w:tcPr>
            <w:tcW w:type="dxa" w:w="850"/>
            <w:tcBorders>
              <w:top w:val="nil"/>
              <w:left w:val="nil"/>
              <w:bottom w:val="nil"/>
              <w:right w:val="nil"/>
            </w:tcBorders>
          </w:tcPr>
          <w:p>
            <w:pPr>
              <w:jc w:val="center"/>
            </w:pPr>
            <w:r>
              <w:rPr>
                <w:rFonts w:ascii="Times New Roman" w:hAnsi="Times New Roman"/>
                <w:sz w:val="18"/>
              </w:rPr>
              <w:t>0.1962</w:t>
            </w:r>
          </w:p>
        </w:tc>
        <w:tc>
          <w:tcPr>
            <w:tcW w:type="dxa" w:w="794"/>
            <w:tcBorders>
              <w:top w:val="nil"/>
              <w:left w:val="nil"/>
              <w:bottom w:val="nil"/>
              <w:right w:val="nil"/>
            </w:tcBorders>
          </w:tcPr>
          <w:p>
            <w:pPr>
              <w:jc w:val="center"/>
            </w:pPr>
            <w:r>
              <w:rPr>
                <w:rFonts w:ascii="Times New Roman" w:hAnsi="Times New Roman"/>
                <w:sz w:val="18"/>
              </w:rPr>
              <w:t>0.1056</w:t>
            </w:r>
          </w:p>
        </w:tc>
        <w:tc>
          <w:tcPr>
            <w:tcW w:type="dxa" w:w="794"/>
            <w:tcBorders>
              <w:top w:val="nil"/>
              <w:left w:val="nil"/>
              <w:bottom w:val="nil"/>
              <w:right w:val="nil"/>
            </w:tcBorders>
          </w:tcPr>
          <w:p>
            <w:pPr>
              <w:jc w:val="center"/>
            </w:pPr>
            <w:r>
              <w:rPr>
                <w:rFonts w:ascii="Times New Roman" w:hAnsi="Times New Roman"/>
                <w:sz w:val="18"/>
              </w:rPr>
              <w:t>0.3223</w:t>
            </w:r>
          </w:p>
        </w:tc>
        <w:tc>
          <w:tcPr>
            <w:tcW w:type="dxa" w:w="794"/>
            <w:tcBorders>
              <w:top w:val="nil"/>
              <w:left w:val="nil"/>
              <w:bottom w:val="nil"/>
              <w:right w:val="nil"/>
            </w:tcBorders>
          </w:tcPr>
          <w:p>
            <w:pPr>
              <w:jc w:val="center"/>
            </w:pPr>
            <w:r>
              <w:rPr>
                <w:rFonts w:ascii="Times New Roman" w:hAnsi="Times New Roman"/>
                <w:sz w:val="18"/>
              </w:rPr>
              <w:t>yes</w:t>
            </w:r>
          </w:p>
        </w:tc>
        <w:tc>
          <w:tcPr>
            <w:tcW w:type="dxa" w:w="737"/>
            <w:tcBorders>
              <w:top w:val="nil"/>
              <w:left w:val="nil"/>
              <w:bottom w:val="nil"/>
              <w:right w:val="nil"/>
            </w:tcBorders>
          </w:tcPr>
          <w:p>
            <w:pPr>
              <w:jc w:val="center"/>
            </w:pPr>
            <w:r>
              <w:rPr>
                <w:rFonts w:ascii="Times New Roman" w:hAnsi="Times New Roman"/>
                <w:sz w:val="18"/>
              </w:rPr>
              <w:t>25</w:t>
            </w:r>
          </w:p>
        </w:tc>
        <w:tc>
          <w:tcPr>
            <w:tcW w:type="dxa" w:w="794"/>
            <w:tcBorders>
              <w:top w:val="nil"/>
              <w:left w:val="nil"/>
              <w:bottom w:val="nil"/>
              <w:right w:val="nil"/>
            </w:tcBorders>
          </w:tcPr>
          <w:p>
            <w:pPr>
              <w:jc w:val="center"/>
            </w:pPr>
            <w:r>
              <w:rPr>
                <w:rFonts w:ascii="Times New Roman" w:hAnsi="Times New Roman"/>
                <w:sz w:val="18"/>
              </w:rPr>
              <w:t>13</w:t>
            </w:r>
          </w:p>
        </w:tc>
      </w:tr>
      <w:tr>
        <w:trPr>
          <w:trHeight w:val="283" w:hRule="atLeast"/>
          <w:cantSplit/>
        </w:trPr>
        <w:tc>
          <w:tcPr>
            <w:tcW w:type="dxa" w:w="4762"/>
            <w:tcBorders>
              <w:top w:val="nil"/>
              <w:left w:val="nil"/>
              <w:bottom w:val="nil"/>
              <w:right w:val="nil"/>
            </w:tcBorders>
          </w:tcPr>
          <w:p>
            <w:pPr>
              <w:jc w:val="left"/>
            </w:pPr>
            <w:r>
              <w:rPr>
                <w:rFonts w:ascii="Times New Roman" w:hAnsi="Times New Roman"/>
                <w:sz w:val="18"/>
              </w:rPr>
              <w:t>k = 4, calendar-year bins, uniform cost, λ = 0.05, θ = 0.5</w:t>
            </w:r>
          </w:p>
        </w:tc>
        <w:tc>
          <w:tcPr>
            <w:tcW w:type="dxa" w:w="850"/>
            <w:tcBorders>
              <w:top w:val="nil"/>
              <w:left w:val="nil"/>
              <w:bottom w:val="nil"/>
              <w:right w:val="nil"/>
            </w:tcBorders>
          </w:tcPr>
          <w:p>
            <w:pPr>
              <w:jc w:val="center"/>
            </w:pPr>
            <w:r>
              <w:rPr>
                <w:rFonts w:ascii="Times New Roman" w:hAnsi="Times New Roman"/>
                <w:sz w:val="18"/>
              </w:rPr>
              <w:t>0.1962</w:t>
            </w:r>
          </w:p>
        </w:tc>
        <w:tc>
          <w:tcPr>
            <w:tcW w:type="dxa" w:w="794"/>
            <w:tcBorders>
              <w:top w:val="nil"/>
              <w:left w:val="nil"/>
              <w:bottom w:val="nil"/>
              <w:right w:val="nil"/>
            </w:tcBorders>
          </w:tcPr>
          <w:p>
            <w:pPr>
              <w:jc w:val="center"/>
            </w:pPr>
            <w:r>
              <w:rPr>
                <w:rFonts w:ascii="Times New Roman" w:hAnsi="Times New Roman"/>
                <w:sz w:val="18"/>
              </w:rPr>
              <w:t>0.1056</w:t>
            </w:r>
          </w:p>
        </w:tc>
        <w:tc>
          <w:tcPr>
            <w:tcW w:type="dxa" w:w="794"/>
            <w:tcBorders>
              <w:top w:val="nil"/>
              <w:left w:val="nil"/>
              <w:bottom w:val="nil"/>
              <w:right w:val="nil"/>
            </w:tcBorders>
          </w:tcPr>
          <w:p>
            <w:pPr>
              <w:jc w:val="center"/>
            </w:pPr>
            <w:r>
              <w:rPr>
                <w:rFonts w:ascii="Times New Roman" w:hAnsi="Times New Roman"/>
                <w:sz w:val="18"/>
              </w:rPr>
              <w:t>0.3223</w:t>
            </w:r>
          </w:p>
        </w:tc>
        <w:tc>
          <w:tcPr>
            <w:tcW w:type="dxa" w:w="794"/>
            <w:tcBorders>
              <w:top w:val="nil"/>
              <w:left w:val="nil"/>
              <w:bottom w:val="nil"/>
              <w:right w:val="nil"/>
            </w:tcBorders>
          </w:tcPr>
          <w:p>
            <w:pPr>
              <w:jc w:val="center"/>
            </w:pPr>
            <w:r>
              <w:rPr>
                <w:rFonts w:ascii="Times New Roman" w:hAnsi="Times New Roman"/>
                <w:sz w:val="18"/>
              </w:rPr>
              <w:t>yes</w:t>
            </w:r>
          </w:p>
        </w:tc>
        <w:tc>
          <w:tcPr>
            <w:tcW w:type="dxa" w:w="737"/>
            <w:tcBorders>
              <w:top w:val="nil"/>
              <w:left w:val="nil"/>
              <w:bottom w:val="nil"/>
              <w:right w:val="nil"/>
            </w:tcBorders>
          </w:tcPr>
          <w:p>
            <w:pPr>
              <w:jc w:val="center"/>
            </w:pPr>
            <w:r>
              <w:rPr>
                <w:rFonts w:ascii="Times New Roman" w:hAnsi="Times New Roman"/>
                <w:sz w:val="18"/>
              </w:rPr>
              <w:t>25</w:t>
            </w:r>
          </w:p>
        </w:tc>
        <w:tc>
          <w:tcPr>
            <w:tcW w:type="dxa" w:w="794"/>
            <w:tcBorders>
              <w:top w:val="nil"/>
              <w:left w:val="nil"/>
              <w:bottom w:val="nil"/>
              <w:right w:val="nil"/>
            </w:tcBorders>
          </w:tcPr>
          <w:p>
            <w:pPr>
              <w:jc w:val="center"/>
            </w:pPr>
            <w:r>
              <w:rPr>
                <w:rFonts w:ascii="Times New Roman" w:hAnsi="Times New Roman"/>
                <w:sz w:val="18"/>
              </w:rPr>
              <w:t>13</w:t>
            </w:r>
          </w:p>
        </w:tc>
      </w:tr>
      <w:tr>
        <w:trPr>
          <w:trHeight w:val="283" w:hRule="atLeast"/>
          <w:cantSplit/>
        </w:trPr>
        <w:tc>
          <w:tcPr>
            <w:tcW w:type="dxa" w:w="4762"/>
            <w:tcBorders>
              <w:top w:val="nil"/>
              <w:left w:val="nil"/>
              <w:bottom w:val="nil"/>
              <w:right w:val="nil"/>
            </w:tcBorders>
          </w:tcPr>
          <w:p>
            <w:pPr>
              <w:jc w:val="left"/>
            </w:pPr>
            <w:r>
              <w:rPr>
                <w:rFonts w:ascii="Times New Roman" w:hAnsi="Times New Roman"/>
                <w:sz w:val="18"/>
              </w:rPr>
              <w:t>k = 5, calendar-year bins, uniform cost, λ = 0.05, θ = 0.5</w:t>
            </w:r>
          </w:p>
        </w:tc>
        <w:tc>
          <w:tcPr>
            <w:tcW w:type="dxa" w:w="850"/>
            <w:tcBorders>
              <w:top w:val="nil"/>
              <w:left w:val="nil"/>
              <w:bottom w:val="nil"/>
              <w:right w:val="nil"/>
            </w:tcBorders>
          </w:tcPr>
          <w:p>
            <w:pPr>
              <w:jc w:val="center"/>
            </w:pPr>
            <w:r>
              <w:rPr>
                <w:rFonts w:ascii="Times New Roman" w:hAnsi="Times New Roman"/>
                <w:sz w:val="18"/>
              </w:rPr>
              <w:t>0.1962</w:t>
            </w:r>
          </w:p>
        </w:tc>
        <w:tc>
          <w:tcPr>
            <w:tcW w:type="dxa" w:w="794"/>
            <w:tcBorders>
              <w:top w:val="nil"/>
              <w:left w:val="nil"/>
              <w:bottom w:val="nil"/>
              <w:right w:val="nil"/>
            </w:tcBorders>
          </w:tcPr>
          <w:p>
            <w:pPr>
              <w:jc w:val="center"/>
            </w:pPr>
            <w:r>
              <w:rPr>
                <w:rFonts w:ascii="Times New Roman" w:hAnsi="Times New Roman"/>
                <w:sz w:val="18"/>
              </w:rPr>
              <w:t>0.1056</w:t>
            </w:r>
          </w:p>
        </w:tc>
        <w:tc>
          <w:tcPr>
            <w:tcW w:type="dxa" w:w="794"/>
            <w:tcBorders>
              <w:top w:val="nil"/>
              <w:left w:val="nil"/>
              <w:bottom w:val="nil"/>
              <w:right w:val="nil"/>
            </w:tcBorders>
          </w:tcPr>
          <w:p>
            <w:pPr>
              <w:jc w:val="center"/>
            </w:pPr>
            <w:r>
              <w:rPr>
                <w:rFonts w:ascii="Times New Roman" w:hAnsi="Times New Roman"/>
                <w:sz w:val="18"/>
              </w:rPr>
              <w:t>0.3223</w:t>
            </w:r>
          </w:p>
        </w:tc>
        <w:tc>
          <w:tcPr>
            <w:tcW w:type="dxa" w:w="794"/>
            <w:tcBorders>
              <w:top w:val="nil"/>
              <w:left w:val="nil"/>
              <w:bottom w:val="nil"/>
              <w:right w:val="nil"/>
            </w:tcBorders>
          </w:tcPr>
          <w:p>
            <w:pPr>
              <w:jc w:val="center"/>
            </w:pPr>
            <w:r>
              <w:rPr>
                <w:rFonts w:ascii="Times New Roman" w:hAnsi="Times New Roman"/>
                <w:sz w:val="18"/>
              </w:rPr>
              <w:t>yes</w:t>
            </w:r>
          </w:p>
        </w:tc>
        <w:tc>
          <w:tcPr>
            <w:tcW w:type="dxa" w:w="737"/>
            <w:tcBorders>
              <w:top w:val="nil"/>
              <w:left w:val="nil"/>
              <w:bottom w:val="nil"/>
              <w:right w:val="nil"/>
            </w:tcBorders>
          </w:tcPr>
          <w:p>
            <w:pPr>
              <w:jc w:val="center"/>
            </w:pPr>
            <w:r>
              <w:rPr>
                <w:rFonts w:ascii="Times New Roman" w:hAnsi="Times New Roman"/>
                <w:sz w:val="18"/>
              </w:rPr>
              <w:t>25</w:t>
            </w:r>
          </w:p>
        </w:tc>
        <w:tc>
          <w:tcPr>
            <w:tcW w:type="dxa" w:w="794"/>
            <w:tcBorders>
              <w:top w:val="nil"/>
              <w:left w:val="nil"/>
              <w:bottom w:val="nil"/>
              <w:right w:val="nil"/>
            </w:tcBorders>
          </w:tcPr>
          <w:p>
            <w:pPr>
              <w:jc w:val="center"/>
            </w:pPr>
            <w:r>
              <w:rPr>
                <w:rFonts w:ascii="Times New Roman" w:hAnsi="Times New Roman"/>
                <w:sz w:val="18"/>
              </w:rPr>
              <w:t>13</w:t>
            </w:r>
          </w:p>
        </w:tc>
      </w:tr>
      <w:tr>
        <w:trPr>
          <w:trHeight w:val="283" w:hRule="atLeast"/>
          <w:cantSplit/>
        </w:trPr>
        <w:tc>
          <w:tcPr>
            <w:tcW w:type="dxa" w:w="4762"/>
            <w:tcBorders>
              <w:top w:val="nil"/>
              <w:left w:val="nil"/>
              <w:bottom w:val="nil"/>
              <w:right w:val="nil"/>
            </w:tcBorders>
          </w:tcPr>
          <w:p>
            <w:pPr>
              <w:jc w:val="left"/>
            </w:pPr>
            <w:r>
              <w:rPr>
                <w:rFonts w:ascii="Times New Roman" w:hAnsi="Times New Roman"/>
                <w:sz w:val="18"/>
              </w:rPr>
              <w:t>k = 7, calendar-year bins, uniform cost, λ = 0.05, θ = 0.5</w:t>
            </w:r>
          </w:p>
        </w:tc>
        <w:tc>
          <w:tcPr>
            <w:tcW w:type="dxa" w:w="850"/>
            <w:tcBorders>
              <w:top w:val="nil"/>
              <w:left w:val="nil"/>
              <w:bottom w:val="nil"/>
              <w:right w:val="nil"/>
            </w:tcBorders>
          </w:tcPr>
          <w:p>
            <w:pPr>
              <w:jc w:val="center"/>
            </w:pPr>
            <w:r>
              <w:rPr>
                <w:rFonts w:ascii="Times New Roman" w:hAnsi="Times New Roman"/>
                <w:sz w:val="18"/>
              </w:rPr>
              <w:t>0.1962</w:t>
            </w:r>
          </w:p>
        </w:tc>
        <w:tc>
          <w:tcPr>
            <w:tcW w:type="dxa" w:w="794"/>
            <w:tcBorders>
              <w:top w:val="nil"/>
              <w:left w:val="nil"/>
              <w:bottom w:val="nil"/>
              <w:right w:val="nil"/>
            </w:tcBorders>
          </w:tcPr>
          <w:p>
            <w:pPr>
              <w:jc w:val="center"/>
            </w:pPr>
            <w:r>
              <w:rPr>
                <w:rFonts w:ascii="Times New Roman" w:hAnsi="Times New Roman"/>
                <w:sz w:val="18"/>
              </w:rPr>
              <w:t>0.1056</w:t>
            </w:r>
          </w:p>
        </w:tc>
        <w:tc>
          <w:tcPr>
            <w:tcW w:type="dxa" w:w="794"/>
            <w:tcBorders>
              <w:top w:val="nil"/>
              <w:left w:val="nil"/>
              <w:bottom w:val="nil"/>
              <w:right w:val="nil"/>
            </w:tcBorders>
          </w:tcPr>
          <w:p>
            <w:pPr>
              <w:jc w:val="center"/>
            </w:pPr>
            <w:r>
              <w:rPr>
                <w:rFonts w:ascii="Times New Roman" w:hAnsi="Times New Roman"/>
                <w:sz w:val="18"/>
              </w:rPr>
              <w:t>0.3223</w:t>
            </w:r>
          </w:p>
        </w:tc>
        <w:tc>
          <w:tcPr>
            <w:tcW w:type="dxa" w:w="794"/>
            <w:tcBorders>
              <w:top w:val="nil"/>
              <w:left w:val="nil"/>
              <w:bottom w:val="nil"/>
              <w:right w:val="nil"/>
            </w:tcBorders>
          </w:tcPr>
          <w:p>
            <w:pPr>
              <w:jc w:val="center"/>
            </w:pPr>
            <w:r>
              <w:rPr>
                <w:rFonts w:ascii="Times New Roman" w:hAnsi="Times New Roman"/>
                <w:sz w:val="18"/>
              </w:rPr>
              <w:t>yes</w:t>
            </w:r>
          </w:p>
        </w:tc>
        <w:tc>
          <w:tcPr>
            <w:tcW w:type="dxa" w:w="737"/>
            <w:tcBorders>
              <w:top w:val="nil"/>
              <w:left w:val="nil"/>
              <w:bottom w:val="nil"/>
              <w:right w:val="nil"/>
            </w:tcBorders>
          </w:tcPr>
          <w:p>
            <w:pPr>
              <w:jc w:val="center"/>
            </w:pPr>
            <w:r>
              <w:rPr>
                <w:rFonts w:ascii="Times New Roman" w:hAnsi="Times New Roman"/>
                <w:sz w:val="18"/>
              </w:rPr>
              <w:t>25</w:t>
            </w:r>
          </w:p>
        </w:tc>
        <w:tc>
          <w:tcPr>
            <w:tcW w:type="dxa" w:w="794"/>
            <w:tcBorders>
              <w:top w:val="nil"/>
              <w:left w:val="nil"/>
              <w:bottom w:val="nil"/>
              <w:right w:val="nil"/>
            </w:tcBorders>
          </w:tcPr>
          <w:p>
            <w:pPr>
              <w:jc w:val="center"/>
            </w:pPr>
            <w:r>
              <w:rPr>
                <w:rFonts w:ascii="Times New Roman" w:hAnsi="Times New Roman"/>
                <w:sz w:val="18"/>
              </w:rPr>
              <w:t>13</w:t>
            </w:r>
          </w:p>
        </w:tc>
      </w:tr>
      <w:tr>
        <w:trPr>
          <w:trHeight w:val="283" w:hRule="atLeast"/>
          <w:cantSplit/>
        </w:trPr>
        <w:tc>
          <w:tcPr>
            <w:tcW w:type="dxa" w:w="4762"/>
            <w:tcBorders>
              <w:top w:val="nil"/>
              <w:left w:val="nil"/>
              <w:bottom w:val="nil"/>
              <w:right w:val="nil"/>
            </w:tcBorders>
          </w:tcPr>
          <w:p>
            <w:pPr>
              <w:jc w:val="left"/>
            </w:pPr>
            <w:r>
              <w:rPr>
                <w:rFonts w:ascii="Times New Roman" w:hAnsi="Times New Roman"/>
                <w:sz w:val="18"/>
              </w:rPr>
              <w:t>k = 6, equal-frequency bins, uniform cost, λ = 0.05, θ = 0.5</w:t>
            </w:r>
          </w:p>
        </w:tc>
        <w:tc>
          <w:tcPr>
            <w:tcW w:type="dxa" w:w="850"/>
            <w:tcBorders>
              <w:top w:val="nil"/>
              <w:left w:val="nil"/>
              <w:bottom w:val="nil"/>
              <w:right w:val="nil"/>
            </w:tcBorders>
          </w:tcPr>
          <w:p>
            <w:pPr>
              <w:jc w:val="center"/>
            </w:pPr>
            <w:r>
              <w:rPr>
                <w:rFonts w:ascii="Times New Roman" w:hAnsi="Times New Roman"/>
                <w:sz w:val="18"/>
              </w:rPr>
              <w:t>0.1665</w:t>
            </w:r>
          </w:p>
        </w:tc>
        <w:tc>
          <w:tcPr>
            <w:tcW w:type="dxa" w:w="794"/>
            <w:tcBorders>
              <w:top w:val="nil"/>
              <w:left w:val="nil"/>
              <w:bottom w:val="nil"/>
              <w:right w:val="nil"/>
            </w:tcBorders>
          </w:tcPr>
          <w:p>
            <w:pPr>
              <w:jc w:val="center"/>
            </w:pPr>
            <w:r>
              <w:rPr>
                <w:rFonts w:ascii="Times New Roman" w:hAnsi="Times New Roman"/>
                <w:sz w:val="18"/>
              </w:rPr>
              <w:t>0.0847</w:t>
            </w:r>
          </w:p>
        </w:tc>
        <w:tc>
          <w:tcPr>
            <w:tcW w:type="dxa" w:w="794"/>
            <w:tcBorders>
              <w:top w:val="nil"/>
              <w:left w:val="nil"/>
              <w:bottom w:val="nil"/>
              <w:right w:val="nil"/>
            </w:tcBorders>
          </w:tcPr>
          <w:p>
            <w:pPr>
              <w:jc w:val="center"/>
            </w:pPr>
            <w:r>
              <w:rPr>
                <w:rFonts w:ascii="Times New Roman" w:hAnsi="Times New Roman"/>
                <w:sz w:val="18"/>
              </w:rPr>
              <w:t>0.2530</w:t>
            </w:r>
          </w:p>
        </w:tc>
        <w:tc>
          <w:tcPr>
            <w:tcW w:type="dxa" w:w="794"/>
            <w:tcBorders>
              <w:top w:val="nil"/>
              <w:left w:val="nil"/>
              <w:bottom w:val="nil"/>
              <w:right w:val="nil"/>
            </w:tcBorders>
          </w:tcPr>
          <w:p>
            <w:pPr>
              <w:jc w:val="center"/>
            </w:pPr>
            <w:r>
              <w:rPr>
                <w:rFonts w:ascii="Times New Roman" w:hAnsi="Times New Roman"/>
                <w:sz w:val="18"/>
              </w:rPr>
              <w:t>yes</w:t>
            </w:r>
          </w:p>
        </w:tc>
        <w:tc>
          <w:tcPr>
            <w:tcW w:type="dxa" w:w="737"/>
            <w:tcBorders>
              <w:top w:val="nil"/>
              <w:left w:val="nil"/>
              <w:bottom w:val="nil"/>
              <w:right w:val="nil"/>
            </w:tcBorders>
          </w:tcPr>
          <w:p>
            <w:pPr>
              <w:jc w:val="center"/>
            </w:pPr>
            <w:r>
              <w:rPr>
                <w:rFonts w:ascii="Times New Roman" w:hAnsi="Times New Roman"/>
                <w:sz w:val="18"/>
              </w:rPr>
              <w:t>20</w:t>
            </w:r>
          </w:p>
        </w:tc>
        <w:tc>
          <w:tcPr>
            <w:tcW w:type="dxa" w:w="794"/>
            <w:tcBorders>
              <w:top w:val="nil"/>
              <w:left w:val="nil"/>
              <w:bottom w:val="nil"/>
              <w:right w:val="nil"/>
            </w:tcBorders>
          </w:tcPr>
          <w:p>
            <w:pPr>
              <w:jc w:val="center"/>
            </w:pPr>
            <w:r>
              <w:rPr>
                <w:rFonts w:ascii="Times New Roman" w:hAnsi="Times New Roman"/>
                <w:sz w:val="18"/>
              </w:rPr>
              <w:t>14</w:t>
            </w:r>
          </w:p>
        </w:tc>
      </w:tr>
      <w:tr>
        <w:trPr>
          <w:trHeight w:val="283" w:hRule="atLeast"/>
          <w:cantSplit/>
        </w:trPr>
        <w:tc>
          <w:tcPr>
            <w:tcW w:type="dxa" w:w="4762"/>
            <w:tcBorders>
              <w:top w:val="nil"/>
              <w:left w:val="nil"/>
              <w:bottom w:val="nil"/>
              <w:right w:val="nil"/>
            </w:tcBorders>
          </w:tcPr>
          <w:p>
            <w:pPr>
              <w:jc w:val="left"/>
            </w:pPr>
            <w:r>
              <w:rPr>
                <w:rFonts w:ascii="Times New Roman" w:hAnsi="Times New Roman"/>
                <w:sz w:val="18"/>
              </w:rPr>
              <w:t>k = 6, calendar-year bins, semantic cost, λ = 0.05, θ = 0.5</w:t>
            </w:r>
          </w:p>
        </w:tc>
        <w:tc>
          <w:tcPr>
            <w:tcW w:type="dxa" w:w="850"/>
            <w:tcBorders>
              <w:top w:val="nil"/>
              <w:left w:val="nil"/>
              <w:bottom w:val="nil"/>
              <w:right w:val="nil"/>
            </w:tcBorders>
          </w:tcPr>
          <w:p>
            <w:pPr>
              <w:jc w:val="center"/>
            </w:pPr>
            <w:r>
              <w:rPr>
                <w:rFonts w:ascii="Times New Roman" w:hAnsi="Times New Roman"/>
                <w:sz w:val="18"/>
              </w:rPr>
              <w:t>0.2538</w:t>
            </w:r>
          </w:p>
        </w:tc>
        <w:tc>
          <w:tcPr>
            <w:tcW w:type="dxa" w:w="794"/>
            <w:tcBorders>
              <w:top w:val="nil"/>
              <w:left w:val="nil"/>
              <w:bottom w:val="nil"/>
              <w:right w:val="nil"/>
            </w:tcBorders>
          </w:tcPr>
          <w:p>
            <w:pPr>
              <w:jc w:val="center"/>
            </w:pPr>
            <w:r>
              <w:rPr>
                <w:rFonts w:ascii="Times New Roman" w:hAnsi="Times New Roman"/>
                <w:sz w:val="18"/>
              </w:rPr>
              <w:t>0.1701</w:t>
            </w:r>
          </w:p>
        </w:tc>
        <w:tc>
          <w:tcPr>
            <w:tcW w:type="dxa" w:w="794"/>
            <w:tcBorders>
              <w:top w:val="nil"/>
              <w:left w:val="nil"/>
              <w:bottom w:val="nil"/>
              <w:right w:val="nil"/>
            </w:tcBorders>
          </w:tcPr>
          <w:p>
            <w:pPr>
              <w:jc w:val="center"/>
            </w:pPr>
            <w:r>
              <w:rPr>
                <w:rFonts w:ascii="Times New Roman" w:hAnsi="Times New Roman"/>
                <w:sz w:val="18"/>
              </w:rPr>
              <w:t>0.3679</w:t>
            </w:r>
          </w:p>
        </w:tc>
        <w:tc>
          <w:tcPr>
            <w:tcW w:type="dxa" w:w="794"/>
            <w:tcBorders>
              <w:top w:val="nil"/>
              <w:left w:val="nil"/>
              <w:bottom w:val="nil"/>
              <w:right w:val="nil"/>
            </w:tcBorders>
          </w:tcPr>
          <w:p>
            <w:pPr>
              <w:jc w:val="center"/>
            </w:pPr>
            <w:r>
              <w:rPr>
                <w:rFonts w:ascii="Times New Roman" w:hAnsi="Times New Roman"/>
                <w:sz w:val="18"/>
              </w:rPr>
              <w:t>yes</w:t>
            </w:r>
          </w:p>
        </w:tc>
        <w:tc>
          <w:tcPr>
            <w:tcW w:type="dxa" w:w="737"/>
            <w:tcBorders>
              <w:top w:val="nil"/>
              <w:left w:val="nil"/>
              <w:bottom w:val="nil"/>
              <w:right w:val="nil"/>
            </w:tcBorders>
          </w:tcPr>
          <w:p>
            <w:pPr>
              <w:jc w:val="center"/>
            </w:pPr>
            <w:r>
              <w:rPr>
                <w:rFonts w:ascii="Times New Roman" w:hAnsi="Times New Roman"/>
                <w:sz w:val="18"/>
              </w:rPr>
              <w:t>25</w:t>
            </w:r>
          </w:p>
        </w:tc>
        <w:tc>
          <w:tcPr>
            <w:tcW w:type="dxa" w:w="794"/>
            <w:tcBorders>
              <w:top w:val="nil"/>
              <w:left w:val="nil"/>
              <w:bottom w:val="nil"/>
              <w:right w:val="nil"/>
            </w:tcBorders>
          </w:tcPr>
          <w:p>
            <w:pPr>
              <w:jc w:val="center"/>
            </w:pPr>
            <w:r>
              <w:rPr>
                <w:rFonts w:ascii="Times New Roman" w:hAnsi="Times New Roman"/>
                <w:sz w:val="18"/>
              </w:rPr>
              <w:t>13</w:t>
            </w:r>
          </w:p>
        </w:tc>
      </w:tr>
      <w:tr>
        <w:trPr>
          <w:trHeight w:val="283" w:hRule="atLeast"/>
          <w:cantSplit/>
        </w:trPr>
        <w:tc>
          <w:tcPr>
            <w:tcW w:type="dxa" w:w="4762"/>
            <w:tcBorders>
              <w:top w:val="nil"/>
              <w:left w:val="nil"/>
              <w:bottom w:val="nil"/>
              <w:right w:val="nil"/>
            </w:tcBorders>
          </w:tcPr>
          <w:p>
            <w:pPr>
              <w:jc w:val="left"/>
            </w:pPr>
            <w:r>
              <w:rPr>
                <w:rFonts w:ascii="Times New Roman" w:hAnsi="Times New Roman"/>
                <w:sz w:val="18"/>
              </w:rPr>
              <w:t>k = 6, calendar-year bins, uniform cost, λ = 0.01, θ = 0.5</w:t>
            </w:r>
          </w:p>
        </w:tc>
        <w:tc>
          <w:tcPr>
            <w:tcW w:type="dxa" w:w="850"/>
            <w:tcBorders>
              <w:top w:val="nil"/>
              <w:left w:val="nil"/>
              <w:bottom w:val="nil"/>
              <w:right w:val="nil"/>
            </w:tcBorders>
          </w:tcPr>
          <w:p>
            <w:pPr>
              <w:jc w:val="center"/>
            </w:pPr>
            <w:r>
              <w:rPr>
                <w:rFonts w:ascii="Times New Roman" w:hAnsi="Times New Roman"/>
                <w:sz w:val="18"/>
              </w:rPr>
              <w:t>0.1954</w:t>
            </w:r>
          </w:p>
        </w:tc>
        <w:tc>
          <w:tcPr>
            <w:tcW w:type="dxa" w:w="794"/>
            <w:tcBorders>
              <w:top w:val="nil"/>
              <w:left w:val="nil"/>
              <w:bottom w:val="nil"/>
              <w:right w:val="nil"/>
            </w:tcBorders>
          </w:tcPr>
          <w:p>
            <w:pPr>
              <w:jc w:val="center"/>
            </w:pPr>
            <w:r>
              <w:rPr>
                <w:rFonts w:ascii="Times New Roman" w:hAnsi="Times New Roman"/>
                <w:sz w:val="18"/>
              </w:rPr>
              <w:t>0.1052</w:t>
            </w:r>
          </w:p>
        </w:tc>
        <w:tc>
          <w:tcPr>
            <w:tcW w:type="dxa" w:w="794"/>
            <w:tcBorders>
              <w:top w:val="nil"/>
              <w:left w:val="nil"/>
              <w:bottom w:val="nil"/>
              <w:right w:val="nil"/>
            </w:tcBorders>
          </w:tcPr>
          <w:p>
            <w:pPr>
              <w:jc w:val="center"/>
            </w:pPr>
            <w:r>
              <w:rPr>
                <w:rFonts w:ascii="Times New Roman" w:hAnsi="Times New Roman"/>
                <w:sz w:val="18"/>
              </w:rPr>
              <w:t>0.3216</w:t>
            </w:r>
          </w:p>
        </w:tc>
        <w:tc>
          <w:tcPr>
            <w:tcW w:type="dxa" w:w="794"/>
            <w:tcBorders>
              <w:top w:val="nil"/>
              <w:left w:val="nil"/>
              <w:bottom w:val="nil"/>
              <w:right w:val="nil"/>
            </w:tcBorders>
          </w:tcPr>
          <w:p>
            <w:pPr>
              <w:jc w:val="center"/>
            </w:pPr>
            <w:r>
              <w:rPr>
                <w:rFonts w:ascii="Times New Roman" w:hAnsi="Times New Roman"/>
                <w:sz w:val="18"/>
              </w:rPr>
              <w:t>yes</w:t>
            </w:r>
          </w:p>
        </w:tc>
        <w:tc>
          <w:tcPr>
            <w:tcW w:type="dxa" w:w="737"/>
            <w:tcBorders>
              <w:top w:val="nil"/>
              <w:left w:val="nil"/>
              <w:bottom w:val="nil"/>
              <w:right w:val="nil"/>
            </w:tcBorders>
          </w:tcPr>
          <w:p>
            <w:pPr>
              <w:jc w:val="center"/>
            </w:pPr>
            <w:r>
              <w:rPr>
                <w:rFonts w:ascii="Times New Roman" w:hAnsi="Times New Roman"/>
                <w:sz w:val="18"/>
              </w:rPr>
              <w:t>25</w:t>
            </w:r>
          </w:p>
        </w:tc>
        <w:tc>
          <w:tcPr>
            <w:tcW w:type="dxa" w:w="794"/>
            <w:tcBorders>
              <w:top w:val="nil"/>
              <w:left w:val="nil"/>
              <w:bottom w:val="nil"/>
              <w:right w:val="nil"/>
            </w:tcBorders>
          </w:tcPr>
          <w:p>
            <w:pPr>
              <w:jc w:val="center"/>
            </w:pPr>
            <w:r>
              <w:rPr>
                <w:rFonts w:ascii="Times New Roman" w:hAnsi="Times New Roman"/>
                <w:sz w:val="18"/>
              </w:rPr>
              <w:t>13</w:t>
            </w:r>
          </w:p>
        </w:tc>
      </w:tr>
      <w:tr>
        <w:trPr>
          <w:trHeight w:val="283" w:hRule="atLeast"/>
          <w:cantSplit/>
        </w:trPr>
        <w:tc>
          <w:tcPr>
            <w:tcW w:type="dxa" w:w="4762"/>
            <w:tcBorders>
              <w:top w:val="nil"/>
              <w:left w:val="nil"/>
              <w:bottom w:val="nil"/>
              <w:right w:val="nil"/>
            </w:tcBorders>
          </w:tcPr>
          <w:p>
            <w:pPr>
              <w:jc w:val="left"/>
            </w:pPr>
            <w:r>
              <w:rPr>
                <w:rFonts w:ascii="Times New Roman" w:hAnsi="Times New Roman"/>
                <w:sz w:val="18"/>
              </w:rPr>
              <w:t>k = 6, calendar-year bins, uniform cost, λ = 0.2, θ = 0.5</w:t>
            </w:r>
          </w:p>
        </w:tc>
        <w:tc>
          <w:tcPr>
            <w:tcW w:type="dxa" w:w="850"/>
            <w:tcBorders>
              <w:top w:val="nil"/>
              <w:left w:val="nil"/>
              <w:bottom w:val="nil"/>
              <w:right w:val="nil"/>
            </w:tcBorders>
          </w:tcPr>
          <w:p>
            <w:pPr>
              <w:jc w:val="center"/>
            </w:pPr>
            <w:r>
              <w:rPr>
                <w:rFonts w:ascii="Times New Roman" w:hAnsi="Times New Roman"/>
                <w:sz w:val="18"/>
              </w:rPr>
              <w:t>0.4870</w:t>
            </w:r>
          </w:p>
        </w:tc>
        <w:tc>
          <w:tcPr>
            <w:tcW w:type="dxa" w:w="794"/>
            <w:tcBorders>
              <w:top w:val="nil"/>
              <w:left w:val="nil"/>
              <w:bottom w:val="nil"/>
              <w:right w:val="nil"/>
            </w:tcBorders>
          </w:tcPr>
          <w:p>
            <w:pPr>
              <w:jc w:val="center"/>
            </w:pPr>
            <w:r>
              <w:rPr>
                <w:rFonts w:ascii="Times New Roman" w:hAnsi="Times New Roman"/>
                <w:sz w:val="18"/>
              </w:rPr>
              <w:t>0.4409</w:t>
            </w:r>
          </w:p>
        </w:tc>
        <w:tc>
          <w:tcPr>
            <w:tcW w:type="dxa" w:w="794"/>
            <w:tcBorders>
              <w:top w:val="nil"/>
              <w:left w:val="nil"/>
              <w:bottom w:val="nil"/>
              <w:right w:val="nil"/>
            </w:tcBorders>
          </w:tcPr>
          <w:p>
            <w:pPr>
              <w:jc w:val="center"/>
            </w:pPr>
            <w:r>
              <w:rPr>
                <w:rFonts w:ascii="Times New Roman" w:hAnsi="Times New Roman"/>
                <w:sz w:val="18"/>
              </w:rPr>
              <w:t>0.5616</w:t>
            </w:r>
          </w:p>
        </w:tc>
        <w:tc>
          <w:tcPr>
            <w:tcW w:type="dxa" w:w="794"/>
            <w:tcBorders>
              <w:top w:val="nil"/>
              <w:left w:val="nil"/>
              <w:bottom w:val="nil"/>
              <w:right w:val="nil"/>
            </w:tcBorders>
          </w:tcPr>
          <w:p>
            <w:pPr>
              <w:jc w:val="center"/>
            </w:pPr>
            <w:r>
              <w:rPr>
                <w:rFonts w:ascii="Times New Roman" w:hAnsi="Times New Roman"/>
                <w:sz w:val="18"/>
              </w:rPr>
              <w:t>yes</w:t>
            </w:r>
          </w:p>
        </w:tc>
        <w:tc>
          <w:tcPr>
            <w:tcW w:type="dxa" w:w="737"/>
            <w:tcBorders>
              <w:top w:val="nil"/>
              <w:left w:val="nil"/>
              <w:bottom w:val="nil"/>
              <w:right w:val="nil"/>
            </w:tcBorders>
          </w:tcPr>
          <w:p>
            <w:pPr>
              <w:jc w:val="center"/>
            </w:pPr>
            <w:r>
              <w:rPr>
                <w:rFonts w:ascii="Times New Roman" w:hAnsi="Times New Roman"/>
                <w:sz w:val="18"/>
              </w:rPr>
              <w:t>25</w:t>
            </w:r>
          </w:p>
        </w:tc>
        <w:tc>
          <w:tcPr>
            <w:tcW w:type="dxa" w:w="794"/>
            <w:tcBorders>
              <w:top w:val="nil"/>
              <w:left w:val="nil"/>
              <w:bottom w:val="nil"/>
              <w:right w:val="nil"/>
            </w:tcBorders>
          </w:tcPr>
          <w:p>
            <w:pPr>
              <w:jc w:val="center"/>
            </w:pPr>
            <w:r>
              <w:rPr>
                <w:rFonts w:ascii="Times New Roman" w:hAnsi="Times New Roman"/>
                <w:sz w:val="18"/>
              </w:rPr>
              <w:t>13</w:t>
            </w:r>
          </w:p>
        </w:tc>
      </w:tr>
      <w:tr>
        <w:trPr>
          <w:trHeight w:val="283" w:hRule="atLeast"/>
          <w:cantSplit/>
        </w:trPr>
        <w:tc>
          <w:tcPr>
            <w:tcW w:type="dxa" w:w="4762"/>
            <w:tcBorders>
              <w:top w:val="nil"/>
              <w:left w:val="nil"/>
              <w:bottom w:val="nil"/>
              <w:right w:val="nil"/>
            </w:tcBorders>
          </w:tcPr>
          <w:p>
            <w:pPr>
              <w:jc w:val="left"/>
            </w:pPr>
            <w:r>
              <w:rPr>
                <w:rFonts w:ascii="Times New Roman" w:hAnsi="Times New Roman"/>
                <w:sz w:val="18"/>
              </w:rPr>
              <w:t>k = 6, calendar-year bins, uniform cost, λ = 0.05, θ = 0.4</w:t>
            </w:r>
          </w:p>
        </w:tc>
        <w:tc>
          <w:tcPr>
            <w:tcW w:type="dxa" w:w="850"/>
            <w:tcBorders>
              <w:top w:val="nil"/>
              <w:left w:val="nil"/>
              <w:bottom w:val="nil"/>
              <w:right w:val="nil"/>
            </w:tcBorders>
          </w:tcPr>
          <w:p>
            <w:pPr>
              <w:jc w:val="center"/>
            </w:pPr>
            <w:r>
              <w:rPr>
                <w:rFonts w:ascii="Times New Roman" w:hAnsi="Times New Roman"/>
                <w:sz w:val="18"/>
              </w:rPr>
              <w:t>0.1962</w:t>
            </w:r>
          </w:p>
        </w:tc>
        <w:tc>
          <w:tcPr>
            <w:tcW w:type="dxa" w:w="794"/>
            <w:tcBorders>
              <w:top w:val="nil"/>
              <w:left w:val="nil"/>
              <w:bottom w:val="nil"/>
              <w:right w:val="nil"/>
            </w:tcBorders>
          </w:tcPr>
          <w:p>
            <w:pPr>
              <w:jc w:val="center"/>
            </w:pPr>
            <w:r>
              <w:rPr>
                <w:rFonts w:ascii="Times New Roman" w:hAnsi="Times New Roman"/>
                <w:sz w:val="18"/>
              </w:rPr>
              <w:t>0.1056</w:t>
            </w:r>
          </w:p>
        </w:tc>
        <w:tc>
          <w:tcPr>
            <w:tcW w:type="dxa" w:w="794"/>
            <w:tcBorders>
              <w:top w:val="nil"/>
              <w:left w:val="nil"/>
              <w:bottom w:val="nil"/>
              <w:right w:val="nil"/>
            </w:tcBorders>
          </w:tcPr>
          <w:p>
            <w:pPr>
              <w:jc w:val="center"/>
            </w:pPr>
            <w:r>
              <w:rPr>
                <w:rFonts w:ascii="Times New Roman" w:hAnsi="Times New Roman"/>
                <w:sz w:val="18"/>
              </w:rPr>
              <w:t>0.3223</w:t>
            </w:r>
          </w:p>
        </w:tc>
        <w:tc>
          <w:tcPr>
            <w:tcW w:type="dxa" w:w="794"/>
            <w:tcBorders>
              <w:top w:val="nil"/>
              <w:left w:val="nil"/>
              <w:bottom w:val="nil"/>
              <w:right w:val="nil"/>
            </w:tcBorders>
          </w:tcPr>
          <w:p>
            <w:pPr>
              <w:jc w:val="center"/>
            </w:pPr>
            <w:r>
              <w:rPr>
                <w:rFonts w:ascii="Times New Roman" w:hAnsi="Times New Roman"/>
                <w:sz w:val="18"/>
              </w:rPr>
              <w:t>yes</w:t>
            </w:r>
          </w:p>
        </w:tc>
        <w:tc>
          <w:tcPr>
            <w:tcW w:type="dxa" w:w="737"/>
            <w:tcBorders>
              <w:top w:val="nil"/>
              <w:left w:val="nil"/>
              <w:bottom w:val="nil"/>
              <w:right w:val="nil"/>
            </w:tcBorders>
          </w:tcPr>
          <w:p>
            <w:pPr>
              <w:jc w:val="center"/>
            </w:pPr>
            <w:r>
              <w:rPr>
                <w:rFonts w:ascii="Times New Roman" w:hAnsi="Times New Roman"/>
                <w:sz w:val="18"/>
              </w:rPr>
              <w:t>26</w:t>
            </w:r>
          </w:p>
        </w:tc>
        <w:tc>
          <w:tcPr>
            <w:tcW w:type="dxa" w:w="794"/>
            <w:tcBorders>
              <w:top w:val="nil"/>
              <w:left w:val="nil"/>
              <w:bottom w:val="nil"/>
              <w:right w:val="nil"/>
            </w:tcBorders>
          </w:tcPr>
          <w:p>
            <w:pPr>
              <w:jc w:val="center"/>
            </w:pPr>
            <w:r>
              <w:rPr>
                <w:rFonts w:ascii="Times New Roman" w:hAnsi="Times New Roman"/>
                <w:sz w:val="18"/>
              </w:rPr>
              <w:t>20</w:t>
            </w:r>
          </w:p>
        </w:tc>
      </w:tr>
      <w:tr>
        <w:trPr>
          <w:trHeight w:val="283" w:hRule="atLeast"/>
          <w:cantSplit/>
        </w:trPr>
        <w:tc>
          <w:tcPr>
            <w:tcW w:type="dxa" w:w="4762"/>
            <w:tcBorders>
              <w:top w:val="nil"/>
              <w:left w:val="nil"/>
              <w:bottom w:val="single" w:sz="12" w:space="0" w:color="000000"/>
              <w:right w:val="nil"/>
            </w:tcBorders>
          </w:tcPr>
          <w:p>
            <w:pPr>
              <w:jc w:val="left"/>
            </w:pPr>
            <w:r>
              <w:rPr>
                <w:rFonts w:ascii="Times New Roman" w:hAnsi="Times New Roman"/>
                <w:sz w:val="18"/>
              </w:rPr>
              <w:t>k = 6, calendar-year bins, uniform cost, λ = 0.05, θ = 0.6</w:t>
            </w:r>
          </w:p>
        </w:tc>
        <w:tc>
          <w:tcPr>
            <w:tcW w:type="dxa" w:w="850"/>
            <w:tcBorders>
              <w:top w:val="nil"/>
              <w:left w:val="nil"/>
              <w:bottom w:val="single" w:sz="12" w:space="0" w:color="000000"/>
              <w:right w:val="nil"/>
            </w:tcBorders>
          </w:tcPr>
          <w:p>
            <w:pPr>
              <w:jc w:val="center"/>
            </w:pPr>
            <w:r>
              <w:rPr>
                <w:rFonts w:ascii="Times New Roman" w:hAnsi="Times New Roman"/>
                <w:sz w:val="18"/>
              </w:rPr>
              <w:t>0.1962</w:t>
            </w:r>
          </w:p>
        </w:tc>
        <w:tc>
          <w:tcPr>
            <w:tcW w:type="dxa" w:w="794"/>
            <w:tcBorders>
              <w:top w:val="nil"/>
              <w:left w:val="nil"/>
              <w:bottom w:val="single" w:sz="12" w:space="0" w:color="000000"/>
              <w:right w:val="nil"/>
            </w:tcBorders>
          </w:tcPr>
          <w:p>
            <w:pPr>
              <w:jc w:val="center"/>
            </w:pPr>
            <w:r>
              <w:rPr>
                <w:rFonts w:ascii="Times New Roman" w:hAnsi="Times New Roman"/>
                <w:sz w:val="18"/>
              </w:rPr>
              <w:t>0.1056</w:t>
            </w:r>
          </w:p>
        </w:tc>
        <w:tc>
          <w:tcPr>
            <w:tcW w:type="dxa" w:w="794"/>
            <w:tcBorders>
              <w:top w:val="nil"/>
              <w:left w:val="nil"/>
              <w:bottom w:val="single" w:sz="12" w:space="0" w:color="000000"/>
              <w:right w:val="nil"/>
            </w:tcBorders>
          </w:tcPr>
          <w:p>
            <w:pPr>
              <w:jc w:val="center"/>
            </w:pPr>
            <w:r>
              <w:rPr>
                <w:rFonts w:ascii="Times New Roman" w:hAnsi="Times New Roman"/>
                <w:sz w:val="18"/>
              </w:rPr>
              <w:t>0.3223</w:t>
            </w:r>
          </w:p>
        </w:tc>
        <w:tc>
          <w:tcPr>
            <w:tcW w:type="dxa" w:w="794"/>
            <w:tcBorders>
              <w:top w:val="nil"/>
              <w:left w:val="nil"/>
              <w:bottom w:val="single" w:sz="12" w:space="0" w:color="000000"/>
              <w:right w:val="nil"/>
            </w:tcBorders>
          </w:tcPr>
          <w:p>
            <w:pPr>
              <w:jc w:val="center"/>
            </w:pPr>
            <w:r>
              <w:rPr>
                <w:rFonts w:ascii="Times New Roman" w:hAnsi="Times New Roman"/>
                <w:sz w:val="18"/>
              </w:rPr>
              <w:t>yes</w:t>
            </w:r>
          </w:p>
        </w:tc>
        <w:tc>
          <w:tcPr>
            <w:tcW w:type="dxa" w:w="737"/>
            <w:tcBorders>
              <w:top w:val="nil"/>
              <w:left w:val="nil"/>
              <w:bottom w:val="single" w:sz="12" w:space="0" w:color="000000"/>
              <w:right w:val="nil"/>
            </w:tcBorders>
          </w:tcPr>
          <w:p>
            <w:pPr>
              <w:jc w:val="center"/>
            </w:pPr>
            <w:r>
              <w:rPr>
                <w:rFonts w:ascii="Times New Roman" w:hAnsi="Times New Roman"/>
                <w:sz w:val="18"/>
              </w:rPr>
              <w:t>23</w:t>
            </w:r>
          </w:p>
        </w:tc>
        <w:tc>
          <w:tcPr>
            <w:tcW w:type="dxa" w:w="794"/>
            <w:tcBorders>
              <w:top w:val="nil"/>
              <w:left w:val="nil"/>
              <w:bottom w:val="single" w:sz="12" w:space="0" w:color="000000"/>
              <w:right w:val="nil"/>
            </w:tcBorders>
          </w:tcPr>
          <w:p>
            <w:pPr>
              <w:jc w:val="center"/>
            </w:pPr>
            <w:r>
              <w:rPr>
                <w:rFonts w:ascii="Times New Roman" w:hAnsi="Times New Roman"/>
                <w:sz w:val="18"/>
              </w:rPr>
              <w:t>12</w:t>
            </w:r>
          </w:p>
        </w:tc>
      </w:tr>
    </w:tbl>
    <w:p>
      <w:pPr>
        <w:keepNext w:val="0"/>
        <w:keepLines/>
        <w:spacing w:after="240" w:before="120"/>
        <w:jc w:val="both"/>
      </w:pPr>
      <w:r>
        <w:rPr>
          <w:rFonts w:ascii="Times New Roman" w:hAnsi="Times New Roman"/>
          <w:b w:val="0"/>
          <w:i/>
          <w:sz w:val="18"/>
        </w:rPr>
        <w:t>The primary configuration uses calendar-year bins. The drift index is invariant to the number of meta-clusters, because k does not enter the transport problem. Raising the Sinkhorn regularisation from 0.05 to 0.20 inflates the index to a mean of 0.487 by over-smoothing the transport plan, whereas 0.01 is indistinguishable from the value used. The birth/death threshold changes only the number of events (26 births and 20 deaths at θ = 0.40; 23 births and 12 deaths at θ = 0.60). The equal-frequency variant reproduces the same decline-and-rebound pattern with the minimum at the fourth transition.</w:t>
      </w:r>
    </w:p>
    <w:p>
      <w:pPr>
        <w:keepNext w:val="0"/>
        <w:keepLines w:val="0"/>
        <w:spacing w:after="120" w:before="160"/>
        <w:jc w:val="both"/>
      </w:pPr>
      <w:r>
        <w:rPr>
          <w:rFonts w:ascii="Times New Roman" w:hAnsi="Times New Roman" w:eastAsia="Times New Roman"/>
          <w:b/>
          <w:i w:val="0"/>
          <w:sz w:val="24"/>
        </w:rPr>
        <w:t>Notes on interpretation</w:t>
      </w:r>
    </w:p>
    <w:p>
      <w:pPr>
        <w:keepNext w:val="0"/>
        <w:keepLines w:val="0"/>
        <w:spacing w:after="80" w:before="0"/>
        <w:jc w:val="both"/>
      </w:pPr>
      <w:r>
        <w:rPr>
          <w:rFonts w:ascii="Times New Roman" w:hAnsi="Times New Roman" w:eastAsia="Times New Roman"/>
          <w:b w:val="0"/>
          <w:i w:val="0"/>
          <w:sz w:val="21"/>
        </w:rPr>
        <w:t>First, the drift index quantifies how much topic mass moves between adjacent bins. It is not a measure of semantic distance unless the semantic cost matrix is used, and both are reported here for that reason.</w:t>
      </w:r>
    </w:p>
    <w:p>
      <w:pPr>
        <w:keepNext w:val="0"/>
        <w:keepLines w:val="0"/>
        <w:spacing w:after="80" w:before="0"/>
        <w:jc w:val="both"/>
      </w:pPr>
      <w:r>
        <w:rPr>
          <w:rFonts w:ascii="Times New Roman" w:hAnsi="Times New Roman"/>
          <w:b w:val="0"/>
          <w:i w:val="0"/>
          <w:sz w:val="21"/>
        </w:rPr>
        <w:t>Second, the bins are of equal calendar width but unequal size, ranging from 27 documents in 2016 to 302 documents in 2025, so the fractions estimated for the early bins rest on fewer documents than those estimated for the later bins. The equal-frequency variant reported in Table S12 is provided for this reason.</w:t>
      </w:r>
    </w:p>
    <w:p>
      <w:pPr>
        <w:keepNext w:val="0"/>
        <w:keepLines w:val="0"/>
        <w:spacing w:after="80" w:before="0"/>
        <w:jc w:val="both"/>
      </w:pPr>
      <w:r>
        <w:rPr>
          <w:rFonts w:ascii="Times New Roman" w:hAnsi="Times New Roman"/>
          <w:b w:val="0"/>
          <w:i w:val="0"/>
          <w:sz w:val="21"/>
        </w:rPr>
        <w:t>Third, the decline-and-rebound trajectory is an observation about the data, not a validated sequence of phases. The breakpoint tests reported in Table S11 are the appropriate test of the stronger claim, and they do not support a common timeline across topics.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