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i w:val="0"/>
          <w:color w:val="000000"/>
          <w:sz w:val="36"/>
        </w:rPr>
        <w:t>人工智能在营销分析中的应用：技术演进、核心领域与未来展望</w:t>
      </w:r>
    </w:p>
    <w:p>
      <w:pPr>
        <w:pStyle w:val="Heading2"/>
      </w:pPr>
      <w:r>
        <w:rPr>
          <w:rFonts w:ascii="黑体" w:hAnsi="黑体"/>
          <w:b/>
          <w:i w:val="0"/>
          <w:color w:val="000000"/>
          <w:sz w:val="30"/>
        </w:rPr>
        <w:t>摘要</w:t>
      </w:r>
    </w:p>
    <w:p>
      <w:pPr>
        <w:spacing w:line="360" w:lineRule="auto"/>
        <w:ind w:firstLine="480"/>
      </w:pPr>
      <w:r>
        <w:rPr>
          <w:rFonts w:ascii="宋体" w:hAnsi="宋体"/>
          <w:b w:val="0"/>
          <w:i w:val="0"/>
          <w:sz w:val="24"/>
        </w:rPr>
        <w:t>随着大数据时代的到来和人工智能（AI）技术的飞速发展，营销分析（Marketing Analytics）正在经历深刻的范式变革。传统的营销分析方法依赖于描述性统计和简单回归模型，而AI驱动的营销分析能够处理海量、多源、异构数据，实现从消费者行为预测到实时个性化推荐的全链路智能化。本文系统梳理了AI技术在营销分析领域的研究进展与应用实践，涵盖机器学习、深度学习、自然语言处理、计算机视觉和生成式AI等核心技术在消费者行为分析、市场细分、定价优化、广告投放、社交媒体营销和客户关系管理等关键领域的应用。在此基础上，本文分析了当前研究的主要挑战，包括数据隐私与伦理问题、模型可解释性、跨渠道数据整合以及AI偏见等，并展望了生成式AI、因果推断、联邦学习等前沿方向对营销分析未来发展的潜在影响。本综述旨在为研究者和实践者提供一个全面的知识图景，促进AI与营销分析的深度融合与创新发展。</w:t>
      </w:r>
    </w:p>
    <w:p>
      <w:pPr>
        <w:spacing w:line="360" w:lineRule="auto"/>
        <w:ind w:firstLine="480"/>
      </w:pPr>
      <w:r>
        <w:rPr>
          <w:rFonts w:ascii="宋体" w:hAnsi="宋体"/>
          <w:b/>
          <w:i w:val="0"/>
          <w:sz w:val="24"/>
        </w:rPr>
        <w:t>关键词：</w:t>
      </w:r>
      <w:r>
        <w:rPr>
          <w:rFonts w:ascii="宋体" w:hAnsi="宋体"/>
          <w:b w:val="0"/>
          <w:i w:val="0"/>
          <w:sz w:val="24"/>
        </w:rPr>
        <w:t xml:space="preserve"> 人工智能；营销分析；机器学习；消费者行为；个性化推荐；生成式AI</w:t>
      </w:r>
    </w:p>
    <w:p>
      <w:pPr>
        <w:pStyle w:val="Heading2"/>
      </w:pPr>
      <w:r>
        <w:rPr>
          <w:rFonts w:ascii="黑体" w:hAnsi="黑体"/>
          <w:b/>
          <w:i w:val="0"/>
          <w:color w:val="000000"/>
          <w:sz w:val="30"/>
        </w:rPr>
        <w:t>1 引言</w:t>
      </w:r>
    </w:p>
    <w:p>
      <w:pPr>
        <w:spacing w:line="360" w:lineRule="auto"/>
        <w:ind w:firstLine="480"/>
      </w:pPr>
      <w:r>
        <w:rPr>
          <w:rFonts w:ascii="宋体" w:hAnsi="宋体"/>
          <w:b w:val="0"/>
          <w:i w:val="0"/>
          <w:sz w:val="24"/>
        </w:rPr>
        <w:t>营销分析是指利用数据和分析技术来评估营销活动的效果、理解消费者行为并优化营销决策的过程（Wedel &amp; Kannan, 2016）。在数字经济时代，企业面临着前所未有的数据爆炸：消费者在电商平台、社交媒体、搜索引擎和线下门店等多个触点留下了大量的行为痕迹，这些数据蕴含着巨大的商业价值，但也给传统分析方法带来了严峻挑战（Kumar et al., 2013）。传统的营销分析主要依赖于计量经济学模型和描述性统计方法，虽然在小规模结构化数据上表现良好，但难以应对高维度、非线性、非结构化数据带来的复杂性（Chintagunta et al., 2016）。</w:t>
      </w:r>
    </w:p>
    <w:p>
      <w:pPr>
        <w:spacing w:line="360" w:lineRule="auto"/>
        <w:ind w:firstLine="480"/>
      </w:pPr>
      <w:r>
        <w:rPr>
          <w:rFonts w:ascii="宋体" w:hAnsi="宋体"/>
          <w:b w:val="0"/>
          <w:i w:val="0"/>
          <w:sz w:val="24"/>
        </w:rPr>
        <w:t>人工智能（AI）技术的突破性进展为营销分析提供了全新的解决方案。机器学习算法能够从海量数据中自动发现复杂的模式和关系，深度学习在图像、文本和语音处理方面展现了超越人类的能力，而强化学习则为动态决策优化提供了有力工具（LeCun et al., 2015）。近年来，以GPT、BERT为代表的大语言模型（LLM）更是引发了新一轮技术革命，为营销内容生成、消费者洞察和智能客服等领域带来了颠覆性变革（Vaswani et al., 2017）。</w:t>
      </w:r>
    </w:p>
    <w:p>
      <w:pPr>
        <w:spacing w:line="360" w:lineRule="auto"/>
        <w:ind w:firstLine="480"/>
      </w:pPr>
      <w:r>
        <w:rPr>
          <w:rFonts w:ascii="宋体" w:hAnsi="宋体"/>
          <w:b w:val="0"/>
          <w:i w:val="0"/>
          <w:sz w:val="24"/>
        </w:rPr>
        <w:t>学术界对AI与营销的交叉研究给予了高度关注。Huang和Rust（2021）在《Journal of the Academy of Marketing Science》上发表的开创性文章系统阐述了AI对营销理论和实践的深远影响，提出了AI营销智能的分层框架——从机械智能、思考智能到感觉智能，为理解AI在营销中的角色提供了理论基础。Ma和Sun（2020）通过文献计量分析揭示了机器学习在营销研究中应用的快速增长趋势，并指出计算能力与人类洞察力的结合是AI营销研究的核心议题。Davenport等人（2020）指出，AI正在从根本上改变企业理解和服务消费者的方式，推动营销从"大众化"向"超个性化"转变。Verhoef等人（2021）则从数字化转型的视角探讨了AI如何重塑营销组织的能力和流程。</w:t>
      </w:r>
    </w:p>
    <w:p>
      <w:pPr>
        <w:spacing w:line="360" w:lineRule="auto"/>
        <w:ind w:firstLine="480"/>
      </w:pPr>
      <w:r>
        <w:rPr>
          <w:rFonts w:ascii="宋体" w:hAnsi="宋体"/>
          <w:b w:val="0"/>
          <w:i w:val="0"/>
          <w:sz w:val="24"/>
        </w:rPr>
        <w:t>在实践层面，AI技术的营销应用已经取得了显著成效。亚马逊的推荐系统贡献了其35%以上的销售额（Smith &amp; Linden, 2017），谷歌和Meta的程序化广告平台利用深度学习实现了精准的广告定向投放（Choi et al., 2020）。Wirth（2018）的研究指出，采用AI驱动营销分析的企业在客户获取效率和营销ROI方面均显著优于传统方法。这些成功案例充分证明了AI在营销分析中的巨大价值。</w:t>
      </w:r>
    </w:p>
    <w:p>
      <w:pPr>
        <w:spacing w:line="360" w:lineRule="auto"/>
        <w:ind w:firstLine="480"/>
      </w:pPr>
      <w:r>
        <w:rPr>
          <w:rFonts w:ascii="宋体" w:hAnsi="宋体"/>
          <w:b w:val="0"/>
          <w:i w:val="0"/>
          <w:sz w:val="24"/>
        </w:rPr>
        <w:t>然而，AI在营销分析中的应用也面临着诸多挑战。数据隐私法规（如欧盟GDPR和中国个人信息保护法）对数据收集和使用施加了严格限制（Martin &amp; Murphy, 2017）。算法偏见可能导致不公平的营销实践，损害特定消费者群体的利益（Lambrecht &amp; Tucker, 2019）。此外，许多AI模型（特别是深度学习模型）的"黑箱"特性使得营销决策者难以理解和信任其输出结果，模型可解释性成为一个关键议题（Rudin, 2019）。</w:t>
      </w:r>
    </w:p>
    <w:p>
      <w:pPr>
        <w:spacing w:line="360" w:lineRule="auto"/>
        <w:ind w:firstLine="480"/>
      </w:pPr>
      <w:r>
        <w:rPr>
          <w:rFonts w:ascii="宋体" w:hAnsi="宋体"/>
          <w:b w:val="0"/>
          <w:i w:val="0"/>
          <w:sz w:val="24"/>
        </w:rPr>
        <w:t>尽管已有一些综述文章关注了AI与营销的交叉领域（Mustak et al., 2021; Campbell et al., 2020），但现有综述大多聚焦于某一特定子领域或技术方向，缺乏对AI在营销分析全领域应用的系统性梳理。本文旨在填补这一空白，通过对近年来相关文献的全面回顾，构建一个涵盖技术方法、应用领域和未来趋势的完整知识框架。</w:t>
      </w:r>
    </w:p>
    <w:p>
      <w:pPr>
        <w:spacing w:line="360" w:lineRule="auto"/>
        <w:ind w:firstLine="480"/>
      </w:pPr>
      <w:r>
        <w:rPr>
          <w:rFonts w:ascii="宋体" w:hAnsi="宋体"/>
          <w:b w:val="0"/>
          <w:i w:val="0"/>
          <w:sz w:val="24"/>
        </w:rPr>
        <w:t>本文的主要贡献包括：（1）系统梳理了AI核心技术在营销分析各领域的应用现状；（2）构建了技术方法与应用领域的映射框架（见表1）；（3）识别了当前研究的关键挑战和局限性；（4）提出了未来研究的方向和建议。本文余下部分的结构安排如下：第2节介绍文献综述方法；第3节概述AI核心技术基础；第4节至第9节分别讨论AI在消费者行为分析、市场细分与定位、定价与促销优化、广告与内容营销、社交媒体与口碑分析、客户关系管理等领域的应用；第10节讨论关键挑战与伦理问题；第11节展望未来研究方向；第12节总结全文。</w:t>
      </w:r>
    </w:p>
    <w:p>
      <w:pPr>
        <w:pStyle w:val="Heading2"/>
      </w:pPr>
      <w:r>
        <w:rPr>
          <w:rFonts w:ascii="黑体" w:hAnsi="黑体"/>
          <w:b/>
          <w:i w:val="0"/>
          <w:color w:val="000000"/>
          <w:sz w:val="30"/>
        </w:rPr>
        <w:t>2 文献综述方法</w:t>
      </w:r>
    </w:p>
    <w:p>
      <w:pPr>
        <w:spacing w:line="360" w:lineRule="auto"/>
        <w:ind w:firstLine="480"/>
      </w:pPr>
      <w:r>
        <w:rPr>
          <w:rFonts w:ascii="宋体" w:hAnsi="宋体"/>
          <w:b w:val="0"/>
          <w:i w:val="0"/>
          <w:sz w:val="24"/>
        </w:rPr>
        <w:t>为确保本综述的系统性和全面性，本文采用了结构化的文献检索与筛选方法。</w:t>
      </w:r>
    </w:p>
    <w:p>
      <w:pPr>
        <w:spacing w:line="360" w:lineRule="auto"/>
        <w:ind w:firstLine="480"/>
      </w:pPr>
      <w:r>
        <w:rPr>
          <w:rFonts w:ascii="宋体" w:hAnsi="宋体"/>
          <w:b/>
          <w:i w:val="0"/>
          <w:sz w:val="24"/>
        </w:rPr>
        <w:t>检索策略</w:t>
      </w:r>
      <w:r>
        <w:rPr>
          <w:rFonts w:ascii="宋体" w:hAnsi="宋体"/>
          <w:b w:val="0"/>
          <w:i w:val="0"/>
          <w:sz w:val="24"/>
        </w:rPr>
        <w:t>：本文主要检索了Web of Science、Scopus、Google Scholar和中国知网（CNKI）四个学术数据库。检索关键词包括："artificial intelligence" AND "marketing analytics"、"machine learning" AND "marketing"、"deep learning" AND "consumer behavior"、"NLP" AND "marketing"、"generative AI" AND "marketing"等组合，以及相应的中文关键词组合。检索时间范围为2010年至2025年，以覆盖AI技术在营销分析中从早期探索到广泛应用的完整发展脉络，同时纳入少量更早期的奠基性文献。</w:t>
      </w:r>
    </w:p>
    <w:p>
      <w:pPr>
        <w:spacing w:line="360" w:lineRule="auto"/>
        <w:ind w:firstLine="480"/>
      </w:pPr>
      <w:r>
        <w:rPr>
          <w:rFonts w:ascii="宋体" w:hAnsi="宋体"/>
          <w:b/>
          <w:i w:val="0"/>
          <w:sz w:val="24"/>
        </w:rPr>
        <w:t>筛选标准</w:t>
      </w:r>
      <w:r>
        <w:rPr>
          <w:rFonts w:ascii="宋体" w:hAnsi="宋体"/>
          <w:b w:val="0"/>
          <w:i w:val="0"/>
          <w:sz w:val="24"/>
        </w:rPr>
        <w:t>：初始检索获得超过500篇文献，经过以下筛选标准后保留了77篇核心文献：（1）发表在同行评审的学术期刊或顶级学术会议上；（2）明确涉及AI/ML技术在营销分析场景中的理论探讨或实证应用；（3）优先选择被引次数较高、影响力较大的文献；（4）兼顾营销学和计算机科学两个学科视角。</w:t>
      </w:r>
    </w:p>
    <w:p>
      <w:pPr>
        <w:spacing w:line="360" w:lineRule="auto"/>
        <w:ind w:firstLine="480"/>
      </w:pPr>
      <w:r>
        <w:rPr>
          <w:rFonts w:ascii="宋体" w:hAnsi="宋体"/>
          <w:b/>
          <w:i w:val="0"/>
          <w:sz w:val="24"/>
        </w:rPr>
        <w:t>文献分布</w:t>
      </w:r>
      <w:r>
        <w:rPr>
          <w:rFonts w:ascii="宋体" w:hAnsi="宋体"/>
          <w:b w:val="0"/>
          <w:i w:val="0"/>
          <w:sz w:val="24"/>
        </w:rPr>
        <w:t>：从时间分布看，约65%的文献发表于2018年之后，反映了近年来该领域研究的加速增长。从来源分布看，文献主要来自《Journal of Marketing》《Marketing Science》《Journal of Marketing Research》《Journal of the Academy of Marketing Science》等顶级营销期刊，以及KDD、NeurIPS、ICML等计算机科学顶级会议。从主题分布看，消费者行为预测和推荐系统是研究最为集中的领域，其次是广告技术和社交媒体分析。</w:t>
      </w:r>
    </w:p>
    <w:p>
      <w:pPr>
        <w:pStyle w:val="Heading2"/>
      </w:pPr>
      <w:r>
        <w:rPr>
          <w:rFonts w:ascii="黑体" w:hAnsi="黑体"/>
          <w:b/>
          <w:i w:val="0"/>
          <w:color w:val="000000"/>
          <w:sz w:val="30"/>
        </w:rPr>
        <w:t>3 AI核心技术基础</w:t>
      </w:r>
    </w:p>
    <w:p>
      <w:pPr>
        <w:spacing w:line="360" w:lineRule="auto"/>
        <w:ind w:firstLine="480"/>
      </w:pPr>
      <w:r>
        <w:rPr>
          <w:rFonts w:ascii="宋体" w:hAnsi="宋体"/>
          <w:b w:val="0"/>
          <w:i w:val="0"/>
          <w:sz w:val="24"/>
        </w:rPr>
        <w:t>在深入探讨各应用领域之前，本节简要概述AI的核心技术分支，为后续讨论提供技术背景。表1总结了各技术方向与营销分析应用领域之间的映射关系。</w:t>
      </w:r>
    </w:p>
    <w:p>
      <w:pPr>
        <w:spacing w:line="360" w:lineRule="auto"/>
        <w:ind w:firstLine="480"/>
      </w:pPr>
      <w:r>
        <w:rPr>
          <w:rFonts w:ascii="宋体" w:hAnsi="宋体"/>
          <w:b/>
          <w:i w:val="0"/>
          <w:sz w:val="24"/>
        </w:rPr>
        <w:t>表1：AI核心技术与营销分析应用领域映射</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left"/>
            </w:pPr>
            <w:r>
              <w:rPr>
                <w:rFonts w:ascii="宋体" w:hAnsi="宋体"/>
                <w:b/>
              </w:rPr>
            </w:r>
            <w:r>
              <w:rPr>
                <w:rFonts w:ascii="宋体" w:hAnsi="宋体"/>
                <w:b/>
                <w:i w:val="0"/>
                <w:sz w:val="18"/>
              </w:rPr>
              <w:t>AI技术方向</w:t>
            </w:r>
          </w:p>
        </w:tc>
        <w:tc>
          <w:tcPr>
            <w:tcW w:type="dxa" w:w="2878"/>
            <w:shd w:fill="D9E2F3" w:val="clear"/>
          </w:tcPr>
          <w:p>
            <w:pPr>
              <w:jc w:val="left"/>
            </w:pPr>
            <w:r>
              <w:rPr>
                <w:rFonts w:ascii="宋体" w:hAnsi="宋体"/>
                <w:b/>
              </w:rPr>
            </w:r>
            <w:r>
              <w:rPr>
                <w:rFonts w:ascii="宋体" w:hAnsi="宋体"/>
                <w:b/>
                <w:i w:val="0"/>
                <w:sz w:val="18"/>
              </w:rPr>
              <w:t>核心方法</w:t>
            </w:r>
          </w:p>
        </w:tc>
        <w:tc>
          <w:tcPr>
            <w:tcW w:type="dxa" w:w="2878"/>
            <w:shd w:fill="D9E2F3" w:val="clear"/>
          </w:tcPr>
          <w:p>
            <w:pPr>
              <w:jc w:val="left"/>
            </w:pPr>
            <w:r>
              <w:rPr>
                <w:rFonts w:ascii="宋体" w:hAnsi="宋体"/>
                <w:b/>
              </w:rPr>
            </w:r>
            <w:r>
              <w:rPr>
                <w:rFonts w:ascii="宋体" w:hAnsi="宋体"/>
                <w:b/>
                <w:i w:val="0"/>
                <w:sz w:val="18"/>
              </w:rPr>
              <w:t>主要营销分析应用领域</w:t>
            </w:r>
          </w:p>
        </w:tc>
      </w:tr>
      <w:tr>
        <w:tc>
          <w:tcPr>
            <w:tcW w:type="dxa" w:w="2878"/>
          </w:tcPr>
          <w:p>
            <w:pPr>
              <w:jc w:val="left"/>
            </w:pPr>
            <w:r>
              <w:rPr>
                <w:rFonts w:ascii="宋体" w:hAnsi="宋体"/>
              </w:rPr>
            </w:r>
            <w:r>
              <w:rPr>
                <w:rFonts w:ascii="宋体" w:hAnsi="宋体"/>
                <w:b w:val="0"/>
                <w:i w:val="0"/>
                <w:sz w:val="18"/>
              </w:rPr>
              <w:t>监督学习</w:t>
            </w:r>
          </w:p>
        </w:tc>
        <w:tc>
          <w:tcPr>
            <w:tcW w:type="dxa" w:w="2878"/>
          </w:tcPr>
          <w:p>
            <w:pPr>
              <w:jc w:val="left"/>
            </w:pPr>
            <w:r>
              <w:rPr>
                <w:rFonts w:ascii="宋体" w:hAnsi="宋体"/>
              </w:rPr>
            </w:r>
            <w:r>
              <w:rPr>
                <w:rFonts w:ascii="宋体" w:hAnsi="宋体"/>
                <w:b w:val="0"/>
                <w:i w:val="0"/>
                <w:sz w:val="18"/>
              </w:rPr>
              <w:t>逻辑回归、SVM、XGBoost、LightGBM</w:t>
            </w:r>
          </w:p>
        </w:tc>
        <w:tc>
          <w:tcPr>
            <w:tcW w:type="dxa" w:w="2878"/>
          </w:tcPr>
          <w:p>
            <w:pPr>
              <w:jc w:val="left"/>
            </w:pPr>
            <w:r>
              <w:rPr>
                <w:rFonts w:ascii="宋体" w:hAnsi="宋体"/>
              </w:rPr>
            </w:r>
            <w:r>
              <w:rPr>
                <w:rFonts w:ascii="宋体" w:hAnsi="宋体"/>
                <w:b w:val="0"/>
                <w:i w:val="0"/>
                <w:sz w:val="18"/>
              </w:rPr>
              <w:t>流失预测、购买预测、CTR预测、CLV估计</w:t>
            </w:r>
          </w:p>
        </w:tc>
      </w:tr>
      <w:tr>
        <w:tc>
          <w:tcPr>
            <w:tcW w:type="dxa" w:w="2878"/>
          </w:tcPr>
          <w:p>
            <w:pPr>
              <w:jc w:val="left"/>
            </w:pPr>
            <w:r>
              <w:rPr>
                <w:rFonts w:ascii="宋体" w:hAnsi="宋体"/>
              </w:rPr>
            </w:r>
            <w:r>
              <w:rPr>
                <w:rFonts w:ascii="宋体" w:hAnsi="宋体"/>
                <w:b w:val="0"/>
                <w:i w:val="0"/>
                <w:sz w:val="18"/>
              </w:rPr>
              <w:t>无监督学习</w:t>
            </w:r>
          </w:p>
        </w:tc>
        <w:tc>
          <w:tcPr>
            <w:tcW w:type="dxa" w:w="2878"/>
          </w:tcPr>
          <w:p>
            <w:pPr>
              <w:jc w:val="left"/>
            </w:pPr>
            <w:r>
              <w:rPr>
                <w:rFonts w:ascii="宋体" w:hAnsi="宋体"/>
              </w:rPr>
            </w:r>
            <w:r>
              <w:rPr>
                <w:rFonts w:ascii="宋体" w:hAnsi="宋体"/>
                <w:b w:val="0"/>
                <w:i w:val="0"/>
                <w:sz w:val="18"/>
              </w:rPr>
              <w:t>K-means、DBSCAN、GMM、深度聚类</w:t>
            </w:r>
          </w:p>
        </w:tc>
        <w:tc>
          <w:tcPr>
            <w:tcW w:type="dxa" w:w="2878"/>
          </w:tcPr>
          <w:p>
            <w:pPr>
              <w:jc w:val="left"/>
            </w:pPr>
            <w:r>
              <w:rPr>
                <w:rFonts w:ascii="宋体" w:hAnsi="宋体"/>
              </w:rPr>
            </w:r>
            <w:r>
              <w:rPr>
                <w:rFonts w:ascii="宋体" w:hAnsi="宋体"/>
                <w:b w:val="0"/>
                <w:i w:val="0"/>
                <w:sz w:val="18"/>
              </w:rPr>
              <w:t>市场细分、消费者聚类、异常检测</w:t>
            </w:r>
          </w:p>
        </w:tc>
      </w:tr>
      <w:tr>
        <w:tc>
          <w:tcPr>
            <w:tcW w:type="dxa" w:w="2878"/>
          </w:tcPr>
          <w:p>
            <w:pPr>
              <w:jc w:val="left"/>
            </w:pPr>
            <w:r>
              <w:rPr>
                <w:rFonts w:ascii="宋体" w:hAnsi="宋体"/>
              </w:rPr>
            </w:r>
            <w:r>
              <w:rPr>
                <w:rFonts w:ascii="宋体" w:hAnsi="宋体"/>
                <w:b w:val="0"/>
                <w:i w:val="0"/>
                <w:sz w:val="18"/>
              </w:rPr>
              <w:t>强化学习</w:t>
            </w:r>
          </w:p>
        </w:tc>
        <w:tc>
          <w:tcPr>
            <w:tcW w:type="dxa" w:w="2878"/>
          </w:tcPr>
          <w:p>
            <w:pPr>
              <w:jc w:val="left"/>
            </w:pPr>
            <w:r>
              <w:rPr>
                <w:rFonts w:ascii="宋体" w:hAnsi="宋体"/>
              </w:rPr>
            </w:r>
            <w:r>
              <w:rPr>
                <w:rFonts w:ascii="宋体" w:hAnsi="宋体"/>
                <w:b w:val="0"/>
                <w:i w:val="0"/>
                <w:sz w:val="18"/>
              </w:rPr>
              <w:t>Q-learning、DQN、策略梯度</w:t>
            </w:r>
          </w:p>
        </w:tc>
        <w:tc>
          <w:tcPr>
            <w:tcW w:type="dxa" w:w="2878"/>
          </w:tcPr>
          <w:p>
            <w:pPr>
              <w:jc w:val="left"/>
            </w:pPr>
            <w:r>
              <w:rPr>
                <w:rFonts w:ascii="宋体" w:hAnsi="宋体"/>
              </w:rPr>
            </w:r>
            <w:r>
              <w:rPr>
                <w:rFonts w:ascii="宋体" w:hAnsi="宋体"/>
                <w:b w:val="0"/>
                <w:i w:val="0"/>
                <w:sz w:val="18"/>
              </w:rPr>
              <w:t>动态定价、推荐序列优化、广告竞价</w:t>
            </w:r>
          </w:p>
        </w:tc>
      </w:tr>
      <w:tr>
        <w:tc>
          <w:tcPr>
            <w:tcW w:type="dxa" w:w="2878"/>
          </w:tcPr>
          <w:p>
            <w:pPr>
              <w:jc w:val="left"/>
            </w:pPr>
            <w:r>
              <w:rPr>
                <w:rFonts w:ascii="宋体" w:hAnsi="宋体"/>
              </w:rPr>
            </w:r>
            <w:r>
              <w:rPr>
                <w:rFonts w:ascii="宋体" w:hAnsi="宋体"/>
                <w:b w:val="0"/>
                <w:i w:val="0"/>
                <w:sz w:val="18"/>
              </w:rPr>
              <w:t>深度学习</w:t>
            </w:r>
          </w:p>
        </w:tc>
        <w:tc>
          <w:tcPr>
            <w:tcW w:type="dxa" w:w="2878"/>
          </w:tcPr>
          <w:p>
            <w:pPr>
              <w:jc w:val="left"/>
            </w:pPr>
            <w:r>
              <w:rPr>
                <w:rFonts w:ascii="宋体" w:hAnsi="宋体"/>
              </w:rPr>
            </w:r>
            <w:r>
              <w:rPr>
                <w:rFonts w:ascii="宋体" w:hAnsi="宋体"/>
                <w:b w:val="0"/>
                <w:i w:val="0"/>
                <w:sz w:val="18"/>
              </w:rPr>
              <w:t>CNN、RNN/LSTM、Transformer</w:t>
            </w:r>
          </w:p>
        </w:tc>
        <w:tc>
          <w:tcPr>
            <w:tcW w:type="dxa" w:w="2878"/>
          </w:tcPr>
          <w:p>
            <w:pPr>
              <w:jc w:val="left"/>
            </w:pPr>
            <w:r>
              <w:rPr>
                <w:rFonts w:ascii="宋体" w:hAnsi="宋体"/>
              </w:rPr>
            </w:r>
            <w:r>
              <w:rPr>
                <w:rFonts w:ascii="宋体" w:hAnsi="宋体"/>
                <w:b w:val="0"/>
                <w:i w:val="0"/>
                <w:sz w:val="18"/>
              </w:rPr>
              <w:t>行为序列建模、图像分析、文本分析</w:t>
            </w:r>
          </w:p>
        </w:tc>
      </w:tr>
      <w:tr>
        <w:tc>
          <w:tcPr>
            <w:tcW w:type="dxa" w:w="2878"/>
          </w:tcPr>
          <w:p>
            <w:pPr>
              <w:jc w:val="left"/>
            </w:pPr>
            <w:r>
              <w:rPr>
                <w:rFonts w:ascii="宋体" w:hAnsi="宋体"/>
              </w:rPr>
            </w:r>
            <w:r>
              <w:rPr>
                <w:rFonts w:ascii="宋体" w:hAnsi="宋体"/>
                <w:b w:val="0"/>
                <w:i w:val="0"/>
                <w:sz w:val="18"/>
              </w:rPr>
              <w:t>自然语言处理</w:t>
            </w:r>
          </w:p>
        </w:tc>
        <w:tc>
          <w:tcPr>
            <w:tcW w:type="dxa" w:w="2878"/>
          </w:tcPr>
          <w:p>
            <w:pPr>
              <w:jc w:val="left"/>
            </w:pPr>
            <w:r>
              <w:rPr>
                <w:rFonts w:ascii="宋体" w:hAnsi="宋体"/>
              </w:rPr>
            </w:r>
            <w:r>
              <w:rPr>
                <w:rFonts w:ascii="宋体" w:hAnsi="宋体"/>
                <w:b w:val="0"/>
                <w:i w:val="0"/>
                <w:sz w:val="18"/>
              </w:rPr>
              <w:t>BERT、GPT、LDA、情感分析</w:t>
            </w:r>
          </w:p>
        </w:tc>
        <w:tc>
          <w:tcPr>
            <w:tcW w:type="dxa" w:w="2878"/>
          </w:tcPr>
          <w:p>
            <w:pPr>
              <w:jc w:val="left"/>
            </w:pPr>
            <w:r>
              <w:rPr>
                <w:rFonts w:ascii="宋体" w:hAnsi="宋体"/>
              </w:rPr>
            </w:r>
            <w:r>
              <w:rPr>
                <w:rFonts w:ascii="宋体" w:hAnsi="宋体"/>
                <w:b w:val="0"/>
                <w:i w:val="0"/>
                <w:sz w:val="18"/>
              </w:rPr>
              <w:t>评论分析、社交媒体监听、智能客服</w:t>
            </w:r>
          </w:p>
        </w:tc>
      </w:tr>
      <w:tr>
        <w:tc>
          <w:tcPr>
            <w:tcW w:type="dxa" w:w="2878"/>
          </w:tcPr>
          <w:p>
            <w:pPr>
              <w:jc w:val="left"/>
            </w:pPr>
            <w:r>
              <w:rPr>
                <w:rFonts w:ascii="宋体" w:hAnsi="宋体"/>
              </w:rPr>
            </w:r>
            <w:r>
              <w:rPr>
                <w:rFonts w:ascii="宋体" w:hAnsi="宋体"/>
                <w:b w:val="0"/>
                <w:i w:val="0"/>
                <w:sz w:val="18"/>
              </w:rPr>
              <w:t>计算机视觉</w:t>
            </w:r>
          </w:p>
        </w:tc>
        <w:tc>
          <w:tcPr>
            <w:tcW w:type="dxa" w:w="2878"/>
          </w:tcPr>
          <w:p>
            <w:pPr>
              <w:jc w:val="left"/>
            </w:pPr>
            <w:r>
              <w:rPr>
                <w:rFonts w:ascii="宋体" w:hAnsi="宋体"/>
              </w:rPr>
            </w:r>
            <w:r>
              <w:rPr>
                <w:rFonts w:ascii="宋体" w:hAnsi="宋体"/>
                <w:b w:val="0"/>
                <w:i w:val="0"/>
                <w:sz w:val="18"/>
              </w:rPr>
              <w:t>CNN、ViT、CLIP</w:t>
            </w:r>
          </w:p>
        </w:tc>
        <w:tc>
          <w:tcPr>
            <w:tcW w:type="dxa" w:w="2878"/>
          </w:tcPr>
          <w:p>
            <w:pPr>
              <w:jc w:val="left"/>
            </w:pPr>
            <w:r>
              <w:rPr>
                <w:rFonts w:ascii="宋体" w:hAnsi="宋体"/>
              </w:rPr>
            </w:r>
            <w:r>
              <w:rPr>
                <w:rFonts w:ascii="宋体" w:hAnsi="宋体"/>
                <w:b w:val="0"/>
                <w:i w:val="0"/>
                <w:sz w:val="18"/>
              </w:rPr>
              <w:t>广告创意分析、品牌监测、视觉推荐</w:t>
            </w:r>
          </w:p>
        </w:tc>
      </w:tr>
      <w:tr>
        <w:tc>
          <w:tcPr>
            <w:tcW w:type="dxa" w:w="2878"/>
          </w:tcPr>
          <w:p>
            <w:pPr>
              <w:jc w:val="left"/>
            </w:pPr>
            <w:r>
              <w:rPr>
                <w:rFonts w:ascii="宋体" w:hAnsi="宋体"/>
              </w:rPr>
            </w:r>
            <w:r>
              <w:rPr>
                <w:rFonts w:ascii="宋体" w:hAnsi="宋体"/>
                <w:b w:val="0"/>
                <w:i w:val="0"/>
                <w:sz w:val="18"/>
              </w:rPr>
              <w:t>生成式AI</w:t>
            </w:r>
          </w:p>
        </w:tc>
        <w:tc>
          <w:tcPr>
            <w:tcW w:type="dxa" w:w="2878"/>
          </w:tcPr>
          <w:p>
            <w:pPr>
              <w:jc w:val="left"/>
            </w:pPr>
            <w:r>
              <w:rPr>
                <w:rFonts w:ascii="宋体" w:hAnsi="宋体"/>
              </w:rPr>
            </w:r>
            <w:r>
              <w:rPr>
                <w:rFonts w:ascii="宋体" w:hAnsi="宋体"/>
                <w:b w:val="0"/>
                <w:i w:val="0"/>
                <w:sz w:val="18"/>
              </w:rPr>
              <w:t>LLM、扩散模型、GAN</w:t>
            </w:r>
          </w:p>
        </w:tc>
        <w:tc>
          <w:tcPr>
            <w:tcW w:type="dxa" w:w="2878"/>
          </w:tcPr>
          <w:p>
            <w:pPr>
              <w:jc w:val="left"/>
            </w:pPr>
            <w:r>
              <w:rPr>
                <w:rFonts w:ascii="宋体" w:hAnsi="宋体"/>
              </w:rPr>
            </w:r>
            <w:r>
              <w:rPr>
                <w:rFonts w:ascii="宋体" w:hAnsi="宋体"/>
                <w:b w:val="0"/>
                <w:i w:val="0"/>
                <w:sz w:val="18"/>
              </w:rPr>
              <w:t>内容生成、创意优化、合成数据</w:t>
            </w:r>
          </w:p>
        </w:tc>
      </w:tr>
      <w:tr>
        <w:tc>
          <w:tcPr>
            <w:tcW w:type="dxa" w:w="2878"/>
          </w:tcPr>
          <w:p>
            <w:pPr>
              <w:jc w:val="left"/>
            </w:pPr>
            <w:r>
              <w:rPr>
                <w:rFonts w:ascii="宋体" w:hAnsi="宋体"/>
              </w:rPr>
            </w:r>
            <w:r>
              <w:rPr>
                <w:rFonts w:ascii="宋体" w:hAnsi="宋体"/>
                <w:b w:val="0"/>
                <w:i w:val="0"/>
                <w:sz w:val="18"/>
              </w:rPr>
              <w:t>因果推断+ML</w:t>
            </w:r>
          </w:p>
        </w:tc>
        <w:tc>
          <w:tcPr>
            <w:tcW w:type="dxa" w:w="2878"/>
          </w:tcPr>
          <w:p>
            <w:pPr>
              <w:jc w:val="left"/>
            </w:pPr>
            <w:r>
              <w:rPr>
                <w:rFonts w:ascii="宋体" w:hAnsi="宋体"/>
              </w:rPr>
            </w:r>
            <w:r>
              <w:rPr>
                <w:rFonts w:ascii="宋体" w:hAnsi="宋体"/>
                <w:b w:val="0"/>
                <w:i w:val="0"/>
                <w:sz w:val="18"/>
              </w:rPr>
              <w:t>因果森林、双重ML、Uplift建模</w:t>
            </w:r>
          </w:p>
        </w:tc>
        <w:tc>
          <w:tcPr>
            <w:tcW w:type="dxa" w:w="2878"/>
          </w:tcPr>
          <w:p>
            <w:pPr>
              <w:jc w:val="left"/>
            </w:pPr>
            <w:r>
              <w:rPr>
                <w:rFonts w:ascii="宋体" w:hAnsi="宋体"/>
              </w:rPr>
            </w:r>
            <w:r>
              <w:rPr>
                <w:rFonts w:ascii="宋体" w:hAnsi="宋体"/>
                <w:b w:val="0"/>
                <w:i w:val="0"/>
                <w:sz w:val="18"/>
              </w:rPr>
              <w:t>促销效果评估、个性化干预优化</w:t>
            </w:r>
          </w:p>
        </w:tc>
      </w:tr>
    </w:tbl>
    <w:p/>
    <w:p>
      <w:pPr>
        <w:pStyle w:val="Heading3"/>
      </w:pPr>
      <w:r>
        <w:rPr>
          <w:rFonts w:ascii="黑体" w:hAnsi="黑体"/>
          <w:b/>
          <w:i w:val="0"/>
          <w:color w:val="000000"/>
          <w:sz w:val="26"/>
        </w:rPr>
        <w:t>3.1 机器学习</w:t>
      </w:r>
    </w:p>
    <w:p>
      <w:pPr>
        <w:spacing w:line="360" w:lineRule="auto"/>
        <w:ind w:firstLine="480"/>
      </w:pPr>
      <w:r>
        <w:rPr>
          <w:rFonts w:ascii="宋体" w:hAnsi="宋体"/>
          <w:b w:val="0"/>
          <w:i w:val="0"/>
          <w:sz w:val="24"/>
        </w:rPr>
        <w:t>机器学习（Machine Learning, ML）是AI的核心分支，指计算机系统通过数据自动改进其性能的能力（Mitchell, 1997）。</w:t>
      </w:r>
      <w:r>
        <w:rPr>
          <w:rFonts w:ascii="宋体" w:hAnsi="宋体"/>
          <w:b/>
          <w:i w:val="0"/>
          <w:sz w:val="24"/>
        </w:rPr>
        <w:t>监督学习</w:t>
      </w:r>
      <w:r>
        <w:rPr>
          <w:rFonts w:ascii="宋体" w:hAnsi="宋体"/>
          <w:b w:val="0"/>
          <w:i w:val="0"/>
          <w:sz w:val="24"/>
        </w:rPr>
        <w:t>方法在营销预测任务中应用最为广泛，XGBoost和LightGBM等集成学习方法因其出色的预测性能和对表格数据的天然适配性，成为营销分析中的主流选择（Chen &amp; Guestrin, 2016）。</w:t>
      </w:r>
      <w:r>
        <w:rPr>
          <w:rFonts w:ascii="宋体" w:hAnsi="宋体"/>
          <w:b/>
          <w:i w:val="0"/>
          <w:sz w:val="24"/>
        </w:rPr>
        <w:t>无监督学习</w:t>
      </w:r>
      <w:r>
        <w:rPr>
          <w:rFonts w:ascii="宋体" w:hAnsi="宋体"/>
          <w:b w:val="0"/>
          <w:i w:val="0"/>
          <w:sz w:val="24"/>
        </w:rPr>
        <w:t>方法在市场细分和消费者聚类中发挥着重要作用（Punj &amp; Stewart, 1983）。</w:t>
      </w:r>
      <w:r>
        <w:rPr>
          <w:rFonts w:ascii="宋体" w:hAnsi="宋体"/>
          <w:b/>
          <w:i w:val="0"/>
          <w:sz w:val="24"/>
        </w:rPr>
        <w:t>强化学习</w:t>
      </w:r>
      <w:r>
        <w:rPr>
          <w:rFonts w:ascii="宋体" w:hAnsi="宋体"/>
          <w:b w:val="0"/>
          <w:i w:val="0"/>
          <w:sz w:val="24"/>
        </w:rPr>
        <w:t>为营销中的序贯决策问题（如动态定价和推荐序列优化）提供了考虑长期累积收益的解决方案（Sutton &amp; Barto, 2018）。</w:t>
      </w:r>
    </w:p>
    <w:p>
      <w:pPr>
        <w:pStyle w:val="Heading3"/>
      </w:pPr>
      <w:r>
        <w:rPr>
          <w:rFonts w:ascii="黑体" w:hAnsi="黑体"/>
          <w:b/>
          <w:i w:val="0"/>
          <w:color w:val="000000"/>
          <w:sz w:val="26"/>
        </w:rPr>
        <w:t>3.2 深度学习与Transformer</w:t>
      </w:r>
    </w:p>
    <w:p>
      <w:pPr>
        <w:spacing w:line="360" w:lineRule="auto"/>
        <w:ind w:firstLine="480"/>
      </w:pPr>
      <w:r>
        <w:rPr>
          <w:rFonts w:ascii="宋体" w:hAnsi="宋体"/>
          <w:b w:val="0"/>
          <w:i w:val="0"/>
          <w:sz w:val="24"/>
        </w:rPr>
        <w:t>深度学习通过多层神经网络结构实现对数据的层次化表示学习，在处理非结构化数据方面取得了突破性进展（Goodfellow et al., 2016）。卷积神经网络（CNN）擅长视觉内容分析，循环神经网络（RNN/LSTM）适合序列建模（Hochreiter &amp; Schmidhuber, 1997），而Transformer架构的出现彻底改变了深度学习的格局（Vaswani et al., 2017）。基于Transformer的预训练模型（如BERT、GPT系列）在文本和图像任务上均取得了前所未有的性能（Devlin et al., 2019; Dosovitskiy et al., 2020），为营销分析中的多模态数据处理提供了统一的技术框架。</w:t>
      </w:r>
    </w:p>
    <w:p>
      <w:pPr>
        <w:pStyle w:val="Heading3"/>
      </w:pPr>
      <w:r>
        <w:rPr>
          <w:rFonts w:ascii="黑体" w:hAnsi="黑体"/>
          <w:b/>
          <w:i w:val="0"/>
          <w:color w:val="000000"/>
          <w:sz w:val="26"/>
        </w:rPr>
        <w:t>3.3 生成式AI</w:t>
      </w:r>
    </w:p>
    <w:p>
      <w:pPr>
        <w:spacing w:line="360" w:lineRule="auto"/>
        <w:ind w:firstLine="480"/>
      </w:pPr>
      <w:r>
        <w:rPr>
          <w:rFonts w:ascii="宋体" w:hAnsi="宋体"/>
          <w:b w:val="0"/>
          <w:i w:val="0"/>
          <w:sz w:val="24"/>
        </w:rPr>
        <w:t>以ChatGPT为代表的生成式AI技术引起了营销领域的广泛关注。大语言模型（LLM）在营销文案生成、客户服务自动化和消费者洞察提取等方面展现了强大能力（Brown et al., 2020）。扩散模型在广告视觉素材生成等场景中也获得了越来越多的应用（Rombach et al., 2022）。生成式AI正在重新定义营销内容的生产方式，使得大规模个性化内容生成成为可能。</w:t>
      </w:r>
    </w:p>
    <w:p>
      <w:pPr>
        <w:spacing w:line="360" w:lineRule="auto"/>
        <w:ind w:firstLine="480"/>
      </w:pPr>
      <w:r>
        <w:rPr>
          <w:rFonts w:ascii="宋体" w:hAnsi="宋体"/>
          <w:b w:val="0"/>
          <w:i w:val="0"/>
          <w:sz w:val="24"/>
        </w:rPr>
        <w:t>从技术基础的概述出发，下文将逐一深入探讨AI在营销分析各核心领域的具体应用。</w:t>
      </w:r>
    </w:p>
    <w:p>
      <w:pPr>
        <w:pStyle w:val="Heading2"/>
      </w:pPr>
      <w:r>
        <w:rPr>
          <w:rFonts w:ascii="黑体" w:hAnsi="黑体"/>
          <w:b/>
          <w:i w:val="0"/>
          <w:color w:val="000000"/>
          <w:sz w:val="30"/>
        </w:rPr>
        <w:t>4 消费者行为分析与预测</w:t>
      </w:r>
    </w:p>
    <w:p>
      <w:pPr>
        <w:spacing w:line="360" w:lineRule="auto"/>
        <w:ind w:firstLine="480"/>
      </w:pPr>
      <w:r>
        <w:rPr>
          <w:rFonts w:ascii="宋体" w:hAnsi="宋体"/>
          <w:b w:val="0"/>
          <w:i w:val="0"/>
          <w:sz w:val="24"/>
        </w:rPr>
        <w:t>消费者行为分析是营销分析的核心议题。AI技术的引入使得企业能够从海量行为数据中捕捉消费者的深层偏好和行为模式，实现从"理解过去"到"预测未来"的跨越。</w:t>
      </w:r>
    </w:p>
    <w:p>
      <w:pPr>
        <w:pStyle w:val="Heading3"/>
      </w:pPr>
      <w:r>
        <w:rPr>
          <w:rFonts w:ascii="黑体" w:hAnsi="黑体"/>
          <w:b/>
          <w:i w:val="0"/>
          <w:color w:val="000000"/>
          <w:sz w:val="26"/>
        </w:rPr>
        <w:t>4.1 购买行为预测</w:t>
      </w:r>
    </w:p>
    <w:p>
      <w:pPr>
        <w:spacing w:line="360" w:lineRule="auto"/>
        <w:ind w:firstLine="480"/>
      </w:pPr>
      <w:r>
        <w:rPr>
          <w:rFonts w:ascii="宋体" w:hAnsi="宋体"/>
          <w:b w:val="0"/>
          <w:i w:val="0"/>
          <w:sz w:val="24"/>
        </w:rPr>
        <w:t>消费者购买行为预测是营销分析中最核心的应用之一。传统方法主要依赖于离散选择模型（如多项Logit模型）来分析消费者的品牌选择和购买决策（Guadagni &amp; Little, 1983）。AI技术的引入极大地提升了预测精度和模型灵活性。</w:t>
      </w:r>
    </w:p>
    <w:p>
      <w:pPr>
        <w:spacing w:line="360" w:lineRule="auto"/>
        <w:ind w:firstLine="480"/>
      </w:pPr>
      <w:r>
        <w:rPr>
          <w:rFonts w:ascii="宋体" w:hAnsi="宋体"/>
          <w:b w:val="0"/>
          <w:i w:val="0"/>
          <w:sz w:val="24"/>
        </w:rPr>
        <w:t>在电子商务环境中，深度学习模型被广泛应用于购买转化预测。Hidasi等人（2016）提出了基于GRU的会话推荐系统，通过对用户浏览行为序列的建模来预测购买意图。Zhou等人（2018）开发的Deep Interest Network（DIN）能够自适应地学习用户兴趣的动态变化，通过引入注意力机制对用户历史行为进行加权聚合，在阿里巴巴的电商场景中取得了显著的效果提升。近年来，基于Transformer的行为序列模型（如BERT4Rec）利用双向自注意力机制捕捉复杂的行为依赖关系，进一步提升了购买行为预测的性能（Sun et al., 2019）。</w:t>
      </w:r>
    </w:p>
    <w:p>
      <w:pPr>
        <w:spacing w:line="360" w:lineRule="auto"/>
        <w:ind w:firstLine="480"/>
      </w:pPr>
      <w:r>
        <w:rPr>
          <w:rFonts w:ascii="宋体" w:hAnsi="宋体"/>
          <w:b w:val="0"/>
          <w:i w:val="0"/>
          <w:sz w:val="24"/>
        </w:rPr>
        <w:t>机器学习方法在消费者购买时机预测方面也取得了重要进展。通过对消费者历史购买记录、浏览行为和外部环境变量（如节假日、天气）的综合分析，梯度提升模型和深度学习模型能够预测消费者下一次购买的时间窗口，为精准营销时机选择提供数据支持（Chamberlain et al., 2017）。</w:t>
      </w:r>
    </w:p>
    <w:p>
      <w:pPr>
        <w:pStyle w:val="Heading3"/>
      </w:pPr>
      <w:r>
        <w:rPr>
          <w:rFonts w:ascii="黑体" w:hAnsi="黑体"/>
          <w:b/>
          <w:i w:val="0"/>
          <w:color w:val="000000"/>
          <w:sz w:val="26"/>
        </w:rPr>
        <w:t>4.2 客户流失预测</w:t>
      </w:r>
    </w:p>
    <w:p>
      <w:pPr>
        <w:spacing w:line="360" w:lineRule="auto"/>
        <w:ind w:firstLine="480"/>
      </w:pPr>
      <w:r>
        <w:rPr>
          <w:rFonts w:ascii="宋体" w:hAnsi="宋体"/>
          <w:b w:val="0"/>
          <w:i w:val="0"/>
          <w:sz w:val="24"/>
        </w:rPr>
        <w:t>客户流失预测是AI在营销分析中应用最为成熟的领域之一。研究表明，客户挽留的成本显著低于新客户获取的成本（Reichheld &amp; Sasser, 1990），因此准确识别有流失风险的客户并采取挽留措施具有巨大的商业价值。</w:t>
      </w:r>
    </w:p>
    <w:p>
      <w:pPr>
        <w:spacing w:line="360" w:lineRule="auto"/>
        <w:ind w:firstLine="480"/>
      </w:pPr>
      <w:r>
        <w:rPr>
          <w:rFonts w:ascii="宋体" w:hAnsi="宋体"/>
          <w:b w:val="0"/>
          <w:i w:val="0"/>
          <w:sz w:val="24"/>
        </w:rPr>
        <w:t>早期的流失预测研究主要采用逻辑回归和决策树等传统机器学习方法（Neslin et al., 2006）。随着技术的发展，集成学习方法（如随机森林、XGBoost）因其更强的预测能力逐渐成为主流。Lessmann等人（2015）对主流分类算法进行了系统基准测试，为预测模型的选择提供了最佳实践指南。Verbeke等人（2012）的研究表明，面向利润的数据挖掘方法在电信行业的流失预测中能够兼顾预测精度和商业价值。近年来，深度学习方法被引入流失预测，特别是在处理序列行为数据和多源异构数据方面展现了优势。</w:t>
      </w:r>
    </w:p>
    <w:p>
      <w:pPr>
        <w:spacing w:line="360" w:lineRule="auto"/>
        <w:ind w:firstLine="480"/>
      </w:pPr>
      <w:r>
        <w:rPr>
          <w:rFonts w:ascii="宋体" w:hAnsi="宋体"/>
          <w:b w:val="0"/>
          <w:i w:val="0"/>
          <w:sz w:val="24"/>
        </w:rPr>
        <w:t>值得关注的是，流失预测不仅需要准确识别可能流失的客户，还需要理解流失的原因和干预的效果。Ascarza（2018）在《Journal of Marketing Research》上指出，单纯基于预测模型的"高概率流失客户"定向挽留策略可能并非最优，因为最容易流失的客户不一定是最容易被挽留的客户。这一发现推动了因果推断方法在客户挽留策略优化中的应用，即所谓的"uplift modeling"——通过估计营销干预对个体的增量效应来优化定向策略（Devriendt et al., 2018）。</w:t>
      </w:r>
    </w:p>
    <w:p>
      <w:pPr>
        <w:pStyle w:val="Heading3"/>
      </w:pPr>
      <w:r>
        <w:rPr>
          <w:rFonts w:ascii="黑体" w:hAnsi="黑体"/>
          <w:b/>
          <w:i w:val="0"/>
          <w:color w:val="000000"/>
          <w:sz w:val="26"/>
        </w:rPr>
        <w:t>4.3 消费者画像与行为理解</w:t>
      </w:r>
    </w:p>
    <w:p>
      <w:pPr>
        <w:spacing w:line="360" w:lineRule="auto"/>
        <w:ind w:firstLine="480"/>
      </w:pPr>
      <w:r>
        <w:rPr>
          <w:rFonts w:ascii="宋体" w:hAnsi="宋体"/>
          <w:b w:val="0"/>
          <w:i w:val="0"/>
          <w:sz w:val="24"/>
        </w:rPr>
        <w:t>AI技术使得构建精细化的消费者画像成为可能。通过整合多源数据（交易记录、线上行为、社交媒体活动、地理位置等），机器学习模型能够推断消费者的人口统计特征、兴趣偏好、生活方式和价值观等深层属性。Provost和Fawcett（2013）系统论述了如何从数据中提取可操作的商业洞察，为消费者画像的方法论奠定了基础。</w:t>
      </w:r>
    </w:p>
    <w:p>
      <w:pPr>
        <w:spacing w:line="360" w:lineRule="auto"/>
        <w:ind w:firstLine="480"/>
      </w:pPr>
      <w:r>
        <w:rPr>
          <w:rFonts w:ascii="宋体" w:hAnsi="宋体"/>
          <w:b w:val="0"/>
          <w:i w:val="0"/>
          <w:sz w:val="24"/>
        </w:rPr>
        <w:t>图神经网络（GNN）的发展为消费者社交关系建模提供了新工具。通过在消费者社交网络上进行信息传播和聚合，GNN能够捕捉社交影响力和同伴效应对消费者行为的影响（Wu et al., 2020）。此外，知识图谱技术将消费者、产品、品牌和行为之间的关系组织成结构化的知识网络，为营销决策提供了丰富的语义信息支持。</w:t>
      </w:r>
    </w:p>
    <w:p>
      <w:pPr>
        <w:spacing w:line="360" w:lineRule="auto"/>
        <w:ind w:firstLine="480"/>
      </w:pPr>
      <w:r>
        <w:rPr>
          <w:rFonts w:ascii="宋体" w:hAnsi="宋体"/>
          <w:b w:val="0"/>
          <w:i w:val="0"/>
          <w:sz w:val="24"/>
        </w:rPr>
        <w:t>在对消费者行为形成深入理解的基础上，下一步关键问题是如何将消费者有效地划分为不同群体并实施差异化的营销策略。</w:t>
      </w:r>
    </w:p>
    <w:p>
      <w:pPr>
        <w:pStyle w:val="Heading2"/>
      </w:pPr>
      <w:r>
        <w:rPr>
          <w:rFonts w:ascii="黑体" w:hAnsi="黑体"/>
          <w:b/>
          <w:i w:val="0"/>
          <w:color w:val="000000"/>
          <w:sz w:val="30"/>
        </w:rPr>
        <w:t>5 市场细分与目标定位</w:t>
      </w:r>
    </w:p>
    <w:p>
      <w:pPr>
        <w:spacing w:line="360" w:lineRule="auto"/>
        <w:ind w:firstLine="480"/>
      </w:pPr>
      <w:r>
        <w:rPr>
          <w:rFonts w:ascii="宋体" w:hAnsi="宋体"/>
          <w:b w:val="0"/>
          <w:i w:val="0"/>
          <w:sz w:val="24"/>
        </w:rPr>
        <w:t>市场细分是将具有相似特征的消费者划分为不同群体，并针对各群体制定差异化营销策略的过程。AI技术的引入使得市场细分从基于预定义规则的静态分组转向数据驱动的动态、精细化分群。</w:t>
      </w:r>
    </w:p>
    <w:p>
      <w:pPr>
        <w:pStyle w:val="Heading3"/>
      </w:pPr>
      <w:r>
        <w:rPr>
          <w:rFonts w:ascii="黑体" w:hAnsi="黑体"/>
          <w:b/>
          <w:i w:val="0"/>
          <w:color w:val="000000"/>
          <w:sz w:val="26"/>
        </w:rPr>
        <w:t>5.1 AI驱动的市场细分</w:t>
      </w:r>
    </w:p>
    <w:p>
      <w:pPr>
        <w:spacing w:line="360" w:lineRule="auto"/>
        <w:ind w:firstLine="480"/>
      </w:pPr>
      <w:r>
        <w:rPr>
          <w:rFonts w:ascii="宋体" w:hAnsi="宋体"/>
          <w:b w:val="0"/>
          <w:i w:val="0"/>
          <w:sz w:val="24"/>
        </w:rPr>
        <w:t>传统市场细分方法主要基于人口统计、地理和心理特征等预定义变量进行手动分组。AI技术使得数据驱动的动态市场细分成为可能。</w:t>
      </w:r>
    </w:p>
    <w:p>
      <w:pPr>
        <w:spacing w:line="360" w:lineRule="auto"/>
        <w:ind w:firstLine="480"/>
      </w:pPr>
      <w:r>
        <w:rPr>
          <w:rFonts w:ascii="宋体" w:hAnsi="宋体"/>
          <w:b w:val="0"/>
          <w:i w:val="0"/>
          <w:sz w:val="24"/>
        </w:rPr>
        <w:t>聚类算法是市场细分中最常用的无监督学习方法。除了经典的K-means算法外，基于密度的聚类（DBSCAN）、谱聚类和基于模型的聚类方法在处理复杂消费者数据时表现更为稳健（Dolnicar &amp; Leisch, 2010）。深度聚类方法将深度学习的特征提取能力与聚类目标相结合，能够从高维原始数据中直接学习有利于聚类的低维表示，在消费者细分中取得了更好的效果（Xie et al., 2016）。</w:t>
      </w:r>
    </w:p>
    <w:p>
      <w:pPr>
        <w:spacing w:line="360" w:lineRule="auto"/>
        <w:ind w:firstLine="480"/>
      </w:pPr>
      <w:r>
        <w:rPr>
          <w:rFonts w:ascii="宋体" w:hAnsi="宋体"/>
          <w:b w:val="0"/>
          <w:i w:val="0"/>
          <w:sz w:val="24"/>
        </w:rPr>
        <w:t>潜在类别模型（Latent Class Models）和有限混合模型在营销学术界有着深厚的传统。近年来，这些模型与深度学习的结合产生了变分自编码器（VAE）等生成式方法，能够在学习数据低维表示的同时发现消费者群体的潜在结构（Kingma &amp; Welling, 2014）。与传统聚类方法相比，VAE的优势在于能够生成新的消费者数据样本，支持数据增强和模拟分析。</w:t>
      </w:r>
    </w:p>
    <w:p>
      <w:pPr>
        <w:pStyle w:val="Heading3"/>
      </w:pPr>
      <w:r>
        <w:rPr>
          <w:rFonts w:ascii="黑体" w:hAnsi="黑体"/>
          <w:b/>
          <w:i w:val="0"/>
          <w:color w:val="000000"/>
          <w:sz w:val="26"/>
        </w:rPr>
        <w:t>5.2 个性化推荐与微目标定位</w:t>
      </w:r>
    </w:p>
    <w:p>
      <w:pPr>
        <w:spacing w:line="360" w:lineRule="auto"/>
        <w:ind w:firstLine="480"/>
      </w:pPr>
      <w:r>
        <w:rPr>
          <w:rFonts w:ascii="宋体" w:hAnsi="宋体"/>
          <w:b w:val="0"/>
          <w:i w:val="0"/>
          <w:sz w:val="24"/>
        </w:rPr>
        <w:t>推荐系统是AI在营销领域最成功的应用之一，本质上是对市场细分思想的极致推进——将细分粒度精确到个体消费者层面。从早期的协同过滤和基于内容的方法，到矩阵分解和因子分解机，再到深度学习推荐模型，推荐技术经历了持续的演进（Koren et al., 2009）。</w:t>
      </w:r>
    </w:p>
    <w:p>
      <w:pPr>
        <w:spacing w:line="360" w:lineRule="auto"/>
        <w:ind w:firstLine="480"/>
      </w:pPr>
      <w:r>
        <w:rPr>
          <w:rFonts w:ascii="宋体" w:hAnsi="宋体"/>
          <w:b w:val="0"/>
          <w:i w:val="0"/>
          <w:sz w:val="24"/>
        </w:rPr>
        <w:t>深度学习推荐系统已经成为工业界的主流方案。Wide &amp; Deep模型（Cheng et al., 2016）将线性模型的记忆化能力和深度网络的泛化能力相结合，在谷歌应用商店的推荐中取得了显著效果。DeepFM通过因子分解机和深度神经网络的融合来建模特征的高阶交互（Guo et al., 2017）。基于注意力机制的模型（如DIN、DIEN）能够捕捉用户兴趣的动态演化，已在阿里巴巴等电商平台得到广泛部署。</w:t>
      </w:r>
    </w:p>
    <w:p>
      <w:pPr>
        <w:spacing w:line="360" w:lineRule="auto"/>
        <w:ind w:firstLine="480"/>
      </w:pPr>
      <w:r>
        <w:rPr>
          <w:rFonts w:ascii="宋体" w:hAnsi="宋体"/>
          <w:b w:val="0"/>
          <w:i w:val="0"/>
          <w:sz w:val="24"/>
        </w:rPr>
        <w:t>多臂老虎机（Multi-Armed Bandit）和强化学习方法为推荐系统中的探索-利用权衡提供了理论框架。上下文老虎机算法（如LinUCB）被用于实时个性化新闻推荐和广告展示优化（Li et al., 2010）。深度强化学习则被应用于长期用户价值优化和推荐序列的全局规划，使推荐系统不仅关注即时点击率，更能优化用户的长期参与度和满意度。</w:t>
      </w:r>
    </w:p>
    <w:p>
      <w:pPr>
        <w:pStyle w:val="Heading3"/>
      </w:pPr>
      <w:r>
        <w:rPr>
          <w:rFonts w:ascii="黑体" w:hAnsi="黑体"/>
          <w:b/>
          <w:i w:val="0"/>
          <w:color w:val="000000"/>
          <w:sz w:val="26"/>
        </w:rPr>
        <w:t>5.3 实时个性化与个性化悖论</w:t>
      </w:r>
    </w:p>
    <w:p>
      <w:pPr>
        <w:spacing w:line="360" w:lineRule="auto"/>
        <w:ind w:firstLine="480"/>
      </w:pPr>
      <w:r>
        <w:rPr>
          <w:rFonts w:ascii="宋体" w:hAnsi="宋体"/>
          <w:b w:val="0"/>
          <w:i w:val="0"/>
          <w:sz w:val="24"/>
        </w:rPr>
        <w:t>AI使得营销个性化从批处理模式向实时模式转变。通过流式数据处理和在线学习算法，企业能够根据消费者的即时行为和上下文信息（如当前位置、浏览设备、时间段）动态调整营销内容和策略。Wedel和Kannan（2016）指出，数据丰富环境下的营销分析正在从回顾性报告转向预测性和规范性分析，实时个性化正是这一转变的典型体现。</w:t>
      </w:r>
    </w:p>
    <w:p>
      <w:pPr>
        <w:spacing w:line="360" w:lineRule="auto"/>
        <w:ind w:firstLine="480"/>
      </w:pPr>
      <w:r>
        <w:rPr>
          <w:rFonts w:ascii="宋体" w:hAnsi="宋体"/>
          <w:b w:val="0"/>
          <w:i w:val="0"/>
          <w:sz w:val="24"/>
        </w:rPr>
        <w:t>然而，个性化程度的提升也带来了"个性化悖论"——过度精准的个性化可能引起消费者的隐私担忧和反感。Aguirre等人（2015）的实验研究揭示了信息收集透明度与个性化广告效果之间的复杂关系：当消费者察觉到企业在其不知情的情况下收集个人信息时，个性化广告的效果反而会降低。这一发现表明，个性化策略需要在精准度和消费者接受度之间找到平衡点，AI系统的透明度和消费者控制权是影响个性化接受度的关键因素。此外，Puntoni等人（2021）从消费者体验的角度指出，AI驱动的个性化可能引发关于数据所有权、身份感知和消费自主性等深层次的消费者心理反应。</w:t>
      </w:r>
    </w:p>
    <w:p>
      <w:pPr>
        <w:spacing w:line="360" w:lineRule="auto"/>
        <w:ind w:firstLine="480"/>
      </w:pPr>
      <w:r>
        <w:rPr>
          <w:rFonts w:ascii="宋体" w:hAnsi="宋体"/>
          <w:b w:val="0"/>
          <w:i w:val="0"/>
          <w:sz w:val="24"/>
        </w:rPr>
        <w:t>市场细分和个性化定位为企业确定了"向谁营销"的问题，而接下来的关键决策是"以什么价格和促销方式"来触达目标消费者。</w:t>
      </w:r>
    </w:p>
    <w:p>
      <w:pPr>
        <w:pStyle w:val="Heading2"/>
      </w:pPr>
      <w:r>
        <w:rPr>
          <w:rFonts w:ascii="黑体" w:hAnsi="黑体"/>
          <w:b/>
          <w:i w:val="0"/>
          <w:color w:val="000000"/>
          <w:sz w:val="30"/>
        </w:rPr>
        <w:t>6 定价与促销优化</w:t>
      </w:r>
    </w:p>
    <w:p>
      <w:pPr>
        <w:spacing w:line="360" w:lineRule="auto"/>
        <w:ind w:firstLine="480"/>
      </w:pPr>
      <w:r>
        <w:rPr>
          <w:rFonts w:ascii="宋体" w:hAnsi="宋体"/>
          <w:b w:val="0"/>
          <w:i w:val="0"/>
          <w:sz w:val="24"/>
        </w:rPr>
        <w:t>定价和促销是营销组合（4P）中直接影响企业收入的核心要素。AI技术的引入使得企业能够超越传统的成本加成和竞争对标定价方法，实现基于实时数据的动态优化。</w:t>
      </w:r>
    </w:p>
    <w:p>
      <w:pPr>
        <w:pStyle w:val="Heading3"/>
      </w:pPr>
      <w:r>
        <w:rPr>
          <w:rFonts w:ascii="黑体" w:hAnsi="黑体"/>
          <w:b/>
          <w:i w:val="0"/>
          <w:color w:val="000000"/>
          <w:sz w:val="26"/>
        </w:rPr>
        <w:t>6.1 动态定价</w:t>
      </w:r>
    </w:p>
    <w:p>
      <w:pPr>
        <w:spacing w:line="360" w:lineRule="auto"/>
        <w:ind w:firstLine="480"/>
      </w:pPr>
      <w:r>
        <w:rPr>
          <w:rFonts w:ascii="宋体" w:hAnsi="宋体"/>
          <w:b w:val="0"/>
          <w:i w:val="0"/>
          <w:sz w:val="24"/>
        </w:rPr>
        <w:t>动态定价是AI在营销分析中极具价值的应用方向。AI驱动的动态定价能够综合考虑需求弹性、竞争环境、库存水平和消费者支付意愿等多维因素，实现实时价格优化（den Boer, 2015）。</w:t>
      </w:r>
    </w:p>
    <w:p>
      <w:pPr>
        <w:spacing w:line="360" w:lineRule="auto"/>
        <w:ind w:firstLine="480"/>
      </w:pPr>
      <w:r>
        <w:rPr>
          <w:rFonts w:ascii="宋体" w:hAnsi="宋体"/>
          <w:b w:val="0"/>
          <w:i w:val="0"/>
          <w:sz w:val="24"/>
        </w:rPr>
        <w:t>强化学习方法在动态定价中展现了独特优势。通过将定价问题建模为马尔可夫决策过程（MDP），Q-learning和策略梯度方法能够学习考虑长期收益的最优定价策略。例如，阿里巴巴利用深度强化学习优化其实时竞价策略，在保持广告效果的同时降低了广告主的投放成本（Cai et al., 2017）。</w:t>
      </w:r>
    </w:p>
    <w:p>
      <w:pPr>
        <w:spacing w:line="360" w:lineRule="auto"/>
        <w:ind w:firstLine="480"/>
      </w:pPr>
      <w:r>
        <w:rPr>
          <w:rFonts w:ascii="宋体" w:hAnsi="宋体"/>
          <w:b w:val="0"/>
          <w:i w:val="0"/>
          <w:sz w:val="24"/>
        </w:rPr>
        <w:t>需求预测是动态定价的基础。LSTM和Temporal Convolutional Network（TCN）等深度学习模型在销售预测中取得了超越传统时间序列方法（如ARIMA）的性能。近年来，基于Transformer的时间序列预测模型（如Informer、Autoformer）通过稀疏注意力机制和分解架构进一步提升了长期需求预测的准确性和计算效率（Zhou et al., 2021）。</w:t>
      </w:r>
    </w:p>
    <w:p>
      <w:pPr>
        <w:pStyle w:val="Heading3"/>
      </w:pPr>
      <w:r>
        <w:rPr>
          <w:rFonts w:ascii="黑体" w:hAnsi="黑体"/>
          <w:b/>
          <w:i w:val="0"/>
          <w:color w:val="000000"/>
          <w:sz w:val="26"/>
        </w:rPr>
        <w:t>6.2 促销策略优化</w:t>
      </w:r>
    </w:p>
    <w:p>
      <w:pPr>
        <w:spacing w:line="360" w:lineRule="auto"/>
        <w:ind w:firstLine="480"/>
      </w:pPr>
      <w:r>
        <w:rPr>
          <w:rFonts w:ascii="宋体" w:hAnsi="宋体"/>
          <w:b w:val="0"/>
          <w:i w:val="0"/>
          <w:sz w:val="24"/>
        </w:rPr>
        <w:t>AI技术在促销策略优化中的应用涵盖了促销时机选择、优惠力度设计和目标人群定向等多个方面。机器学习模型能够从历史促销数据中学习不同促销策略对不同消费者群体的效果差异，实现个性化促销优化。</w:t>
      </w:r>
    </w:p>
    <w:p>
      <w:pPr>
        <w:spacing w:line="360" w:lineRule="auto"/>
        <w:ind w:firstLine="480"/>
      </w:pPr>
      <w:r>
        <w:rPr>
          <w:rFonts w:ascii="宋体" w:hAnsi="宋体"/>
          <w:b w:val="0"/>
          <w:i w:val="0"/>
          <w:sz w:val="24"/>
        </w:rPr>
        <w:t>因果推断方法在促销效果评估中越来越受到重视。传统的A/B测试虽然是因果推断的"金标准"，但在实际营销场景中往往面临样本量不足、测试周期长和外溢效应等挑战。双重机器学习（Double Machine Learning）将高维控制变量的机器学习估计与因果参数的半参数估计相结合，能够在高维混淆因素存在的情况下获得无偏的处理效应估计（Chernozhukov et al., 2018）。因果森林（Causal Forest）则将随机森林的思想扩展到异质性处理效应估计，能够识别哪些消费者对促销活动最为敏感，从而实现精准的促销定向（Athey &amp; Imbens, 2019）。</w:t>
      </w:r>
    </w:p>
    <w:p>
      <w:pPr>
        <w:pStyle w:val="Heading3"/>
      </w:pPr>
      <w:r>
        <w:rPr>
          <w:rFonts w:ascii="黑体" w:hAnsi="黑体"/>
          <w:b/>
          <w:i w:val="0"/>
          <w:color w:val="000000"/>
          <w:sz w:val="26"/>
        </w:rPr>
        <w:t>6.3 营销组合建模</w:t>
      </w:r>
    </w:p>
    <w:p>
      <w:pPr>
        <w:spacing w:line="360" w:lineRule="auto"/>
        <w:ind w:firstLine="480"/>
      </w:pPr>
      <w:r>
        <w:rPr>
          <w:rFonts w:ascii="宋体" w:hAnsi="宋体"/>
          <w:b w:val="0"/>
          <w:i w:val="0"/>
          <w:sz w:val="24"/>
        </w:rPr>
        <w:t>营销组合模型（Marketing Mix Models, MMM）用于评估不同营销渠道和活动的投资回报率（ROI），指导营销预算分配。传统MMM主要基于线性回归模型，假设渠道效应独立且关系线性，这些假设在复杂的数字营销环境中往往难以成立。</w:t>
      </w:r>
    </w:p>
    <w:p>
      <w:pPr>
        <w:spacing w:line="360" w:lineRule="auto"/>
        <w:ind w:firstLine="480"/>
      </w:pPr>
      <w:r>
        <w:rPr>
          <w:rFonts w:ascii="宋体" w:hAnsi="宋体"/>
          <w:b w:val="0"/>
          <w:i w:val="0"/>
          <w:sz w:val="24"/>
        </w:rPr>
        <w:t>AI增强的MMM利用非线性机器学习模型（如梯度提升树和神经网络）来捕捉渠道间的交互效应和非线性响应关系。贝叶斯方法则在数据稀疏的情况下通过先验信息提供了更稳健的估计。Jin等人（2017）提出了结合滞后效应和形状效应的贝叶斯营销组合建模框架，能够更准确地量化不同媒体渠道的长短期效果。谷歌开发的开源工具Meridian和Meta的Robyn项目都基于这一思路，通过贝叶斯框架来改进传统MMM的局限性，为企业提供了更加透明和可复现的营销归因分析工具。</w:t>
      </w:r>
    </w:p>
    <w:p>
      <w:pPr>
        <w:spacing w:line="360" w:lineRule="auto"/>
        <w:ind w:firstLine="480"/>
      </w:pPr>
      <w:r>
        <w:rPr>
          <w:rFonts w:ascii="宋体" w:hAnsi="宋体"/>
          <w:b w:val="0"/>
          <w:i w:val="0"/>
          <w:sz w:val="24"/>
        </w:rPr>
        <w:t>在确定了定价和促销策略之后，企业需要通过广告和内容营销来传递营销信息。AI技术在这一环节同样发挥着关键作用。</w:t>
      </w:r>
    </w:p>
    <w:p>
      <w:pPr>
        <w:pStyle w:val="Heading2"/>
      </w:pPr>
      <w:r>
        <w:rPr>
          <w:rFonts w:ascii="黑体" w:hAnsi="黑体"/>
          <w:b/>
          <w:i w:val="0"/>
          <w:color w:val="000000"/>
          <w:sz w:val="30"/>
        </w:rPr>
        <w:t>7 广告与内容营销</w:t>
      </w:r>
    </w:p>
    <w:p>
      <w:pPr>
        <w:spacing w:line="360" w:lineRule="auto"/>
        <w:ind w:firstLine="480"/>
      </w:pPr>
      <w:r>
        <w:rPr>
          <w:rFonts w:ascii="宋体" w:hAnsi="宋体"/>
          <w:b w:val="0"/>
          <w:i w:val="0"/>
          <w:sz w:val="24"/>
        </w:rPr>
        <w:t>数字广告和内容营销是AI技术最早实现大规模商业部署的营销领域之一。从程序化广告的自动化竞价到AI驱动的创意生成，AI正在重塑广告产业链的各个环节。</w:t>
      </w:r>
    </w:p>
    <w:p>
      <w:pPr>
        <w:pStyle w:val="Heading3"/>
      </w:pPr>
      <w:r>
        <w:rPr>
          <w:rFonts w:ascii="黑体" w:hAnsi="黑体"/>
          <w:b/>
          <w:i w:val="0"/>
          <w:color w:val="000000"/>
          <w:sz w:val="26"/>
        </w:rPr>
        <w:t>7.1 程序化广告与实时竞价</w:t>
      </w:r>
    </w:p>
    <w:p>
      <w:pPr>
        <w:spacing w:line="360" w:lineRule="auto"/>
        <w:ind w:firstLine="480"/>
      </w:pPr>
      <w:r>
        <w:rPr>
          <w:rFonts w:ascii="宋体" w:hAnsi="宋体"/>
          <w:b w:val="0"/>
          <w:i w:val="0"/>
          <w:sz w:val="24"/>
        </w:rPr>
        <w:t>程序化广告（Programmatic Advertising）是AI在数字营销中最具规模的应用之一。在实时竞价（Real-Time Bidding, RTB）系统中，AI模型需要在毫秒级的时间内完成广告展示机会的评估和出价决策。</w:t>
      </w:r>
    </w:p>
    <w:p>
      <w:pPr>
        <w:spacing w:line="360" w:lineRule="auto"/>
        <w:ind w:firstLine="480"/>
      </w:pPr>
      <w:r>
        <w:rPr>
          <w:rFonts w:ascii="宋体" w:hAnsi="宋体"/>
          <w:b w:val="0"/>
          <w:i w:val="0"/>
          <w:sz w:val="24"/>
        </w:rPr>
        <w:t>点击率（CTR）预测是程序化广告的核心技术。从早期的逻辑回归模型到Deep Crossing（Shan et al., 2016）、DeepFM（Guo et al., 2017）等深度学习模型，CTR预测技术经历了持续演进。工业界的实践表明，特征工程和模型架构的创新对CTR预测性能的提升同等重要。近年来，基于Transformer的CTR模型通过自注意力机制自动学习特征间的高阶交互，进一步减少了人工特征工程的需求。</w:t>
      </w:r>
    </w:p>
    <w:p>
      <w:pPr>
        <w:spacing w:line="360" w:lineRule="auto"/>
        <w:ind w:firstLine="480"/>
      </w:pPr>
      <w:r>
        <w:rPr>
          <w:rFonts w:ascii="宋体" w:hAnsi="宋体"/>
          <w:b w:val="0"/>
          <w:i w:val="0"/>
          <w:sz w:val="24"/>
        </w:rPr>
        <w:t>归因建模（Attribution Modeling）是广告效果分析中的另一个关键问题。传统的最后点击归因模型严重低估了上层漏斗（如品牌展示广告）的贡献。Dalessandro等人（2012）提出了因果动机归因方法，利用反事实推理来更公平地分配转化功劳。基于Shapley值和马尔可夫链的数据驱动归因模型也在实践中得到了广泛应用，为多触点归因提供了理论上更为合理的解决方案。</w:t>
      </w:r>
    </w:p>
    <w:p>
      <w:pPr>
        <w:pStyle w:val="Heading3"/>
      </w:pPr>
      <w:r>
        <w:rPr>
          <w:rFonts w:ascii="黑体" w:hAnsi="黑体"/>
          <w:b/>
          <w:i w:val="0"/>
          <w:color w:val="000000"/>
          <w:sz w:val="26"/>
        </w:rPr>
        <w:t>7.2 广告创意优化</w:t>
      </w:r>
    </w:p>
    <w:p>
      <w:pPr>
        <w:spacing w:line="360" w:lineRule="auto"/>
        <w:ind w:firstLine="480"/>
      </w:pPr>
      <w:r>
        <w:rPr>
          <w:rFonts w:ascii="宋体" w:hAnsi="宋体"/>
          <w:b w:val="0"/>
          <w:i w:val="0"/>
          <w:sz w:val="24"/>
        </w:rPr>
        <w:t>AI技术正在革新广告创意的生产和优化过程。计算机视觉和NLP技术能够自动分析广告素材的视觉和文本特征，预测其吸引力和说服力。Liu等人（2020）开发了基于深度学习的"视觉聆听"方法，能够从社交媒体图片中自动提取品牌形象特征，为广告创意的视觉元素优化提供数据支撑。</w:t>
      </w:r>
    </w:p>
    <w:p>
      <w:pPr>
        <w:spacing w:line="360" w:lineRule="auto"/>
        <w:ind w:firstLine="480"/>
      </w:pPr>
      <w:r>
        <w:rPr>
          <w:rFonts w:ascii="宋体" w:hAnsi="宋体"/>
          <w:b w:val="0"/>
          <w:i w:val="0"/>
          <w:sz w:val="24"/>
        </w:rPr>
        <w:t>多臂老虎机算法被用于广告创意的自动测试和优化。Schwartz等人（2017）在《Marketing Science》上发表的研究展示了如何利用多臂老虎机实验来优化展示广告的创意组合，通过在线学习快速识别最优的广告标题、图片和行动号召（CTA）组合，实现广告创意的持续迭代优化。</w:t>
      </w:r>
    </w:p>
    <w:p>
      <w:pPr>
        <w:spacing w:line="360" w:lineRule="auto"/>
        <w:ind w:firstLine="480"/>
      </w:pPr>
      <w:r>
        <w:rPr>
          <w:rFonts w:ascii="宋体" w:hAnsi="宋体"/>
          <w:b w:val="0"/>
          <w:i w:val="0"/>
          <w:sz w:val="24"/>
        </w:rPr>
        <w:t>生成式AI的出现进一步加速了广告创意的革新。Reisenbichler等人（2022）在《Marketing Science》上的研究表明，基于自然语言生成技术的内容营销工具能够在保持内容质量的同时显著提高内容生产效率。大语言模型能够生成多样化的广告文案和营销内容，扩散模型则可以生成或编辑广告视觉素材，使得大规模个性化广告创意的快速生产成为可能。</w:t>
      </w:r>
    </w:p>
    <w:p>
      <w:pPr>
        <w:pStyle w:val="Heading3"/>
      </w:pPr>
      <w:r>
        <w:rPr>
          <w:rFonts w:ascii="黑体" w:hAnsi="黑体"/>
          <w:b/>
          <w:i w:val="0"/>
          <w:color w:val="000000"/>
          <w:sz w:val="26"/>
        </w:rPr>
        <w:t>7.3 内容营销与搜索优化</w:t>
      </w:r>
    </w:p>
    <w:p>
      <w:pPr>
        <w:spacing w:line="360" w:lineRule="auto"/>
        <w:ind w:firstLine="480"/>
      </w:pPr>
      <w:r>
        <w:rPr>
          <w:rFonts w:ascii="宋体" w:hAnsi="宋体"/>
          <w:b w:val="0"/>
          <w:i w:val="0"/>
          <w:sz w:val="24"/>
        </w:rPr>
        <w:t>在内容营销领域，AI技术被用于内容策略规划、内容创作和内容分发优化。NLP技术能够分析大量已有内容的表现数据，识别高效的内容主题、格式和风格特征，指导内容策略的制定。主题建模技术（如LDA）被用于从大规模文本语料中自动发现潜在主题，帮助营销人员了解消费者关注的热点话题和趋势变化（Blei et al., 2003）。</w:t>
      </w:r>
    </w:p>
    <w:p>
      <w:pPr>
        <w:spacing w:line="360" w:lineRule="auto"/>
        <w:ind w:firstLine="480"/>
      </w:pPr>
      <w:r>
        <w:rPr>
          <w:rFonts w:ascii="宋体" w:hAnsi="宋体"/>
          <w:b w:val="0"/>
          <w:i w:val="0"/>
          <w:sz w:val="24"/>
        </w:rPr>
        <w:t>搜索引擎优化（SEO）是内容营销的重要组成部分。随着搜索引擎自身大量采用AI技术（如谷歌的BERT和MUM算法用于理解搜索查询的语义意图），SEO策略也需要相应调整，从传统的关键词密度优化转向语义相关性和用户意图满足。AI驱动的SEO工具能够分析搜索意图、评估关键词竞争度、优化内容结构和预测排名变化，帮助企业在搜索结果中获得更高的可见度。</w:t>
      </w:r>
    </w:p>
    <w:p>
      <w:pPr>
        <w:spacing w:line="360" w:lineRule="auto"/>
        <w:ind w:firstLine="480"/>
      </w:pPr>
      <w:r>
        <w:rPr>
          <w:rFonts w:ascii="宋体" w:hAnsi="宋体"/>
          <w:b w:val="0"/>
          <w:i w:val="0"/>
          <w:sz w:val="24"/>
        </w:rPr>
        <w:t>此外，AI技术还支持内容的智能分发和渠道优化。通过分析不同渠道（社交媒体、电子邮件、搜索引擎）的受众特征和内容消费模式，机器学习模型能够为每篇内容推荐最佳的分发渠道、发布时间和目标受众组合，最大化内容的触达效果和转化率。</w:t>
      </w:r>
    </w:p>
    <w:p>
      <w:pPr>
        <w:spacing w:line="360" w:lineRule="auto"/>
        <w:ind w:firstLine="480"/>
      </w:pPr>
      <w:r>
        <w:rPr>
          <w:rFonts w:ascii="宋体" w:hAnsi="宋体"/>
          <w:b w:val="0"/>
          <w:i w:val="0"/>
          <w:sz w:val="24"/>
        </w:rPr>
        <w:t>广告和内容营销的效果在很大程度上取决于消费者在社交媒体上的反应和传播。因此，社交媒体分析成为评估和优化营销效果不可或缺的环节。</w:t>
      </w:r>
    </w:p>
    <w:p>
      <w:pPr>
        <w:pStyle w:val="Heading2"/>
      </w:pPr>
      <w:r>
        <w:rPr>
          <w:rFonts w:ascii="黑体" w:hAnsi="黑体"/>
          <w:b/>
          <w:i w:val="0"/>
          <w:color w:val="000000"/>
          <w:sz w:val="30"/>
        </w:rPr>
        <w:t>8 社交媒体与口碑分析</w:t>
      </w:r>
    </w:p>
    <w:p>
      <w:pPr>
        <w:spacing w:line="360" w:lineRule="auto"/>
        <w:ind w:firstLine="480"/>
      </w:pPr>
      <w:r>
        <w:rPr>
          <w:rFonts w:ascii="宋体" w:hAnsi="宋体"/>
          <w:b w:val="0"/>
          <w:i w:val="0"/>
          <w:sz w:val="24"/>
        </w:rPr>
        <w:t>社交媒体已经成为消费者表达意见、分享体验和交流信息的主要平台。AI技术使得企业能够从海量社交媒体数据中实时提取营销洞察，实现对品牌声誉、消费者情绪和市场趋势的精准监测。</w:t>
      </w:r>
    </w:p>
    <w:p>
      <w:pPr>
        <w:pStyle w:val="Heading3"/>
      </w:pPr>
      <w:r>
        <w:rPr>
          <w:rFonts w:ascii="黑体" w:hAnsi="黑体"/>
          <w:b/>
          <w:i w:val="0"/>
          <w:color w:val="000000"/>
          <w:sz w:val="26"/>
        </w:rPr>
        <w:t>8.1 社交媒体监听与趋势分析</w:t>
      </w:r>
    </w:p>
    <w:p>
      <w:pPr>
        <w:spacing w:line="360" w:lineRule="auto"/>
        <w:ind w:firstLine="480"/>
      </w:pPr>
      <w:r>
        <w:rPr>
          <w:rFonts w:ascii="宋体" w:hAnsi="宋体"/>
          <w:b w:val="0"/>
          <w:i w:val="0"/>
          <w:sz w:val="24"/>
        </w:rPr>
        <w:t>AI驱动的社交媒体监听（Social Listening）系统能够实时收集和分析来自微博、微信、抖音、Twitter、Instagram等平台的海量用户生成内容。</w:t>
      </w:r>
    </w:p>
    <w:p>
      <w:pPr>
        <w:spacing w:line="360" w:lineRule="auto"/>
        <w:ind w:firstLine="480"/>
      </w:pPr>
      <w:r>
        <w:rPr>
          <w:rFonts w:ascii="宋体" w:hAnsi="宋体"/>
          <w:b w:val="0"/>
          <w:i w:val="0"/>
          <w:sz w:val="24"/>
        </w:rPr>
        <w:t>情感分析是社交媒体监听的核心技术。从早期的词典方法和基于特征的机器学习方法，到基于深度学习的端到端模型，情感分析技术已经能够捕捉消费者文本中的细粒度情感信息（Pang &amp; Lee, 2008）。BERT等预训练语言模型在社交媒体情感分析中取得了显著进展，能够理解网络用语、表情符号和讽刺等复杂语言现象（Devlin et al., 2019）。多语言和跨文化情感分析的需求也推动了多语言NLP模型的发展，使得全球化品牌能够统一监测不同语言市场的消费者情绪。</w:t>
      </w:r>
    </w:p>
    <w:p>
      <w:pPr>
        <w:spacing w:line="360" w:lineRule="auto"/>
        <w:ind w:firstLine="480"/>
      </w:pPr>
      <w:r>
        <w:rPr>
          <w:rFonts w:ascii="宋体" w:hAnsi="宋体"/>
          <w:b w:val="0"/>
          <w:i w:val="0"/>
          <w:sz w:val="24"/>
        </w:rPr>
        <w:t>趋势检测和异常发现技术能够帮助品牌及时捕捉社交媒体上的热点话题和危机事件。时间序列异常检测算法和图神经网络被用于识别话题扩散模式和信息级联现象，为品牌的实时响应提供预警（Zubiaga et al., 2018）。这种能力在品牌危机管理中尤为重要——AI系统能够在负面事件发酵的早期阶段发出预警，为企业的公关团队争取宝贵的响应时间。</w:t>
      </w:r>
    </w:p>
    <w:p>
      <w:pPr>
        <w:pStyle w:val="Heading3"/>
      </w:pPr>
      <w:r>
        <w:rPr>
          <w:rFonts w:ascii="黑体" w:hAnsi="黑体"/>
          <w:b/>
          <w:i w:val="0"/>
          <w:color w:val="000000"/>
          <w:sz w:val="26"/>
        </w:rPr>
        <w:t>8.2 意见领袖识别与网红营销</w:t>
      </w:r>
    </w:p>
    <w:p>
      <w:pPr>
        <w:spacing w:line="360" w:lineRule="auto"/>
        <w:ind w:firstLine="480"/>
      </w:pPr>
      <w:r>
        <w:rPr>
          <w:rFonts w:ascii="宋体" w:hAnsi="宋体"/>
          <w:b w:val="0"/>
          <w:i w:val="0"/>
          <w:sz w:val="24"/>
        </w:rPr>
        <w:t>网红营销（Influencer Marketing）已经成为品牌营销策略的重要组成部分。AI技术在网红选择和效果评估中发挥着越来越重要的作用。</w:t>
      </w:r>
    </w:p>
    <w:p>
      <w:pPr>
        <w:spacing w:line="360" w:lineRule="auto"/>
        <w:ind w:firstLine="480"/>
      </w:pPr>
      <w:r>
        <w:rPr>
          <w:rFonts w:ascii="宋体" w:hAnsi="宋体"/>
          <w:b w:val="0"/>
          <w:i w:val="0"/>
          <w:sz w:val="24"/>
        </w:rPr>
        <w:t>图分析和社交网络分析方法被用于识别具有高影响力的意见领袖。PageRank、中心性度量和社区检测算法能够从网络结构中量化个体的影响力。De Veirman等人（2017）的研究揭示了Instagram网红的粉丝数量和产品类型对品牌态度的交互影响，表明"粉丝数最多"并不总是最优选择。深度学习方法则可以综合分析网红的内容质量、粉丝互动真实性和品牌契合度，构建多维度的网红评估体系来预测合作效果。</w:t>
      </w:r>
    </w:p>
    <w:p>
      <w:pPr>
        <w:spacing w:line="360" w:lineRule="auto"/>
        <w:ind w:firstLine="480"/>
      </w:pPr>
      <w:r>
        <w:rPr>
          <w:rFonts w:ascii="宋体" w:hAnsi="宋体"/>
          <w:b w:val="0"/>
          <w:i w:val="0"/>
          <w:sz w:val="24"/>
        </w:rPr>
        <w:t>虚假粉丝和水军检测是网红营销中的一个重要问题。机器学习模型通过分析账户行为模式（如互动时间分布、评论内容多样性）、社交网络结构特征（如粉丝网络的密度和连通性）和内容特征来识别虚假账户和异常互动行为，帮助品牌避免无效的网红合作投入。</w:t>
      </w:r>
    </w:p>
    <w:p>
      <w:pPr>
        <w:pStyle w:val="Heading3"/>
      </w:pPr>
      <w:r>
        <w:rPr>
          <w:rFonts w:ascii="黑体" w:hAnsi="黑体"/>
          <w:b/>
          <w:i w:val="0"/>
          <w:color w:val="000000"/>
          <w:sz w:val="26"/>
        </w:rPr>
        <w:t>8.3 在线口碑与用户生成内容分析</w:t>
      </w:r>
    </w:p>
    <w:p>
      <w:pPr>
        <w:spacing w:line="360" w:lineRule="auto"/>
        <w:ind w:firstLine="480"/>
      </w:pPr>
      <w:r>
        <w:rPr>
          <w:rFonts w:ascii="宋体" w:hAnsi="宋体"/>
          <w:b w:val="0"/>
          <w:i w:val="0"/>
          <w:sz w:val="24"/>
        </w:rPr>
        <w:t>在线口碑（electronic Word-of-Mouth, eWOM）对消费者购买决策具有重要影响。AI技术被广泛用于分析在线评论、评分和讨论的内容、情感和影响力。</w:t>
      </w:r>
    </w:p>
    <w:p>
      <w:pPr>
        <w:spacing w:line="360" w:lineRule="auto"/>
        <w:ind w:firstLine="480"/>
      </w:pPr>
      <w:r>
        <w:rPr>
          <w:rFonts w:ascii="宋体" w:hAnsi="宋体"/>
          <w:b w:val="0"/>
          <w:i w:val="0"/>
          <w:sz w:val="24"/>
        </w:rPr>
        <w:t>方面级情感分析（Aspect-Based Sentiment Analysis, ABSA）能够从评论文本中提取消费者对产品或服务各具体方面（如价格、质量、服务、物流）的评价，提供比整体评分更为细粒度的洞察（Pontiki et al., 2016）。例如，通过对数万条酒店评论的ABSA分析，营销人员可以精确识别"房间清洁度"评价的下降趋势，而这种信号在整体评分中可能被其他正面评价所掩盖。生成式AI还被应用于自动生成评论摘要和消费者洞察报告，提高营销人员处理大量用户反馈的效率。</w:t>
      </w:r>
    </w:p>
    <w:p>
      <w:pPr>
        <w:spacing w:line="360" w:lineRule="auto"/>
        <w:ind w:firstLine="480"/>
      </w:pPr>
      <w:r>
        <w:rPr>
          <w:rFonts w:ascii="宋体" w:hAnsi="宋体"/>
          <w:b w:val="0"/>
          <w:i w:val="0"/>
          <w:sz w:val="24"/>
        </w:rPr>
        <w:t>虚假评论检测是在线口碑分析中的另一个重要应用。Ott等人（2011）的开创性研究表明，人类很难区分真实评论和虚假评论，而基于NLP特征的机器学习模型能够以较高的准确率识别虚假评论。后续研究进一步引入评论者行为模式和评论网络结构特征，构建了多维度的虚假评论检测系统，维护在线评价系统的可信度。</w:t>
      </w:r>
    </w:p>
    <w:p>
      <w:pPr>
        <w:spacing w:line="360" w:lineRule="auto"/>
        <w:ind w:firstLine="480"/>
      </w:pPr>
      <w:r>
        <w:rPr>
          <w:rFonts w:ascii="宋体" w:hAnsi="宋体"/>
          <w:b w:val="0"/>
          <w:i w:val="0"/>
          <w:sz w:val="24"/>
        </w:rPr>
        <w:t>社交媒体和口碑分析为企业提供了聆听消费者声音的窗口，而要将这些洞察转化为持久的客户关系，则需要系统化的客户关系管理策略。</w:t>
      </w:r>
    </w:p>
    <w:p>
      <w:pPr>
        <w:pStyle w:val="Heading2"/>
      </w:pPr>
      <w:r>
        <w:rPr>
          <w:rFonts w:ascii="黑体" w:hAnsi="黑体"/>
          <w:b/>
          <w:i w:val="0"/>
          <w:color w:val="000000"/>
          <w:sz w:val="30"/>
        </w:rPr>
        <w:t>9 客户关系管理</w:t>
      </w:r>
    </w:p>
    <w:p>
      <w:pPr>
        <w:spacing w:line="360" w:lineRule="auto"/>
        <w:ind w:firstLine="480"/>
      </w:pPr>
      <w:r>
        <w:rPr>
          <w:rFonts w:ascii="宋体" w:hAnsi="宋体"/>
          <w:b w:val="0"/>
          <w:i w:val="0"/>
          <w:sz w:val="24"/>
        </w:rPr>
        <w:t>客户关系管理（CRM）是企业维护和发展客户关系的系统化方法。AI技术的引入使得CRM从规则驱动的自动化走向数据驱动的智能化，显著提升了客户服务质量和运营效率。</w:t>
      </w:r>
    </w:p>
    <w:p>
      <w:pPr>
        <w:pStyle w:val="Heading3"/>
      </w:pPr>
      <w:r>
        <w:rPr>
          <w:rFonts w:ascii="黑体" w:hAnsi="黑体"/>
          <w:b/>
          <w:i w:val="0"/>
          <w:color w:val="000000"/>
          <w:sz w:val="26"/>
        </w:rPr>
        <w:t>9.1 客户生命周期价值预测</w:t>
      </w:r>
    </w:p>
    <w:p>
      <w:pPr>
        <w:spacing w:line="360" w:lineRule="auto"/>
        <w:ind w:firstLine="480"/>
      </w:pPr>
      <w:r>
        <w:rPr>
          <w:rFonts w:ascii="宋体" w:hAnsi="宋体"/>
          <w:b w:val="0"/>
          <w:i w:val="0"/>
          <w:sz w:val="24"/>
        </w:rPr>
        <w:t>客户生命周期价值（Customer Lifetime Value, CLV）是客户关系管理的核心指标。传统的CLV模型（如BG/NBD和Pareto/NBD模型）基于概率假设来预测客户的未来购买行为（Fader et al., 2005）。这些模型的优势在于参数少、可解释性强，但在复杂的数字化场景中可能无法充分利用丰富的行为特征。</w:t>
      </w:r>
    </w:p>
    <w:p>
      <w:pPr>
        <w:spacing w:line="360" w:lineRule="auto"/>
        <w:ind w:firstLine="480"/>
      </w:pPr>
      <w:r>
        <w:rPr>
          <w:rFonts w:ascii="宋体" w:hAnsi="宋体"/>
          <w:b w:val="0"/>
          <w:i w:val="0"/>
          <w:sz w:val="24"/>
        </w:rPr>
        <w:t>机器学习方法为CLV预测提供了更灵活的建模框架。深度学习模型（特别是RNN和Transformer）能够对客户的行为序列进行端到端的建模，捕捉复杂的时间模式和非线性关系。Vanderveld等人（2016）的研究表明，结合传统概率模型的结构化先验和机器学习特征的混合方法在CLV预测中取得了最佳效果，这启示我们领域知识和数据驱动方法的融合往往优于单独使用任何一种方法。Chamberlain等人（2017）则提出利用深度学习嵌入表示来增强CLV预测的精度，在电商场景中取得了显著提升。</w:t>
      </w:r>
    </w:p>
    <w:p>
      <w:pPr>
        <w:pStyle w:val="Heading3"/>
      </w:pPr>
      <w:r>
        <w:rPr>
          <w:rFonts w:ascii="黑体" w:hAnsi="黑体"/>
          <w:b/>
          <w:i w:val="0"/>
          <w:color w:val="000000"/>
          <w:sz w:val="26"/>
        </w:rPr>
        <w:t>9.2 智能客服与对话系统</w:t>
      </w:r>
    </w:p>
    <w:p>
      <w:pPr>
        <w:spacing w:line="360" w:lineRule="auto"/>
        <w:ind w:firstLine="480"/>
      </w:pPr>
      <w:r>
        <w:rPr>
          <w:rFonts w:ascii="宋体" w:hAnsi="宋体"/>
          <w:b w:val="0"/>
          <w:i w:val="0"/>
          <w:sz w:val="24"/>
        </w:rPr>
        <w:t>AI驱动的智能客服系统是客户关系管理中增长最快的应用领域之一。从基于规则的聊天机器人到基于深度学习的对话系统，再到基于大语言模型的智能助手，技术进步极大地提升了自动化客户服务的质量和效率。</w:t>
      </w:r>
    </w:p>
    <w:p>
      <w:pPr>
        <w:spacing w:line="360" w:lineRule="auto"/>
        <w:ind w:firstLine="480"/>
      </w:pPr>
      <w:r>
        <w:rPr>
          <w:rFonts w:ascii="宋体" w:hAnsi="宋体"/>
          <w:b w:val="0"/>
          <w:i w:val="0"/>
          <w:sz w:val="24"/>
        </w:rPr>
        <w:t>Luo等人（2019）在《Marketing Science》上发表的实地实验研究提供了关于AI客服效果的重要实证证据。研究发现，当消费者不知道对方是AI时，AI聊天机器人的销售转化效果与人类客服相当；但当AI身份被披露后，消费者的购买意愿显著下降。这一发现揭示了AI透明度与消费者信任之间的微妙关系，对AI客服的部署策略具有重要的实践启示。</w:t>
      </w:r>
    </w:p>
    <w:p>
      <w:pPr>
        <w:spacing w:line="360" w:lineRule="auto"/>
        <w:ind w:firstLine="480"/>
      </w:pPr>
      <w:r>
        <w:rPr>
          <w:rFonts w:ascii="宋体" w:hAnsi="宋体"/>
          <w:b w:val="0"/>
          <w:i w:val="0"/>
          <w:sz w:val="24"/>
        </w:rPr>
        <w:t>Huang和Rust（2018）提出了AI在服务领域的"任务类型"分析框架，将服务任务分为机械性、思考性和感觉性三类。研究发现，AI在处理机械性和思考性任务方面已经能够匹配甚至超越人类，但在需要情感共鸣和创造性解决问题的感觉性任务中仍存在不足。这一框架为企业制定人机协作的客服策略提供了理论指导——将标准化查询交由AI处理，而将情感敏感的复杂投诉留给人工客服。</w:t>
      </w:r>
    </w:p>
    <w:p>
      <w:pPr>
        <w:pStyle w:val="Heading3"/>
      </w:pPr>
      <w:r>
        <w:rPr>
          <w:rFonts w:ascii="黑体" w:hAnsi="黑体"/>
          <w:b/>
          <w:i w:val="0"/>
          <w:color w:val="000000"/>
          <w:sz w:val="26"/>
        </w:rPr>
        <w:t>9.3 客户情绪管理与服务体验优化</w:t>
      </w:r>
    </w:p>
    <w:p>
      <w:pPr>
        <w:spacing w:line="360" w:lineRule="auto"/>
        <w:ind w:firstLine="480"/>
      </w:pPr>
      <w:r>
        <w:rPr>
          <w:rFonts w:ascii="宋体" w:hAnsi="宋体"/>
          <w:b w:val="0"/>
          <w:i w:val="0"/>
          <w:sz w:val="24"/>
        </w:rPr>
        <w:t>AI技术在客户情绪识别和管理方面的应用日益成熟。通过分析客服对话的文本、语音（语调、语速、音量）和视频（面部表情）信息，多模态情感识别系统能够实时评估客户的情绪状态，为客服人员提供情绪预警和应对建议（Poria et al., 2019）。</w:t>
      </w:r>
    </w:p>
    <w:p>
      <w:pPr>
        <w:spacing w:line="360" w:lineRule="auto"/>
        <w:ind w:firstLine="480"/>
      </w:pPr>
      <w:r>
        <w:rPr>
          <w:rFonts w:ascii="宋体" w:hAnsi="宋体"/>
          <w:b w:val="0"/>
          <w:i w:val="0"/>
          <w:sz w:val="24"/>
        </w:rPr>
        <w:t>语音分析（Speech Analytics）技术已被广泛应用于呼叫中心的质量管理和培训优化。AI系统能够自动分析通话录音，评估客服人员的沟通质量（如语速是否适当、是否表达了同理心、是否遵循了标准话术），识别客户不满的关键因素（如等待时间过长、问题未被解决、态度冷漠），并生成个性化的培训建议。这种基于AI的质量管理方法相较于传统的人工抽检，在覆盖率和一致性方面具有显著优势。</w:t>
      </w:r>
    </w:p>
    <w:p>
      <w:pPr>
        <w:spacing w:line="360" w:lineRule="auto"/>
        <w:ind w:firstLine="480"/>
      </w:pPr>
      <w:r>
        <w:rPr>
          <w:rFonts w:ascii="宋体" w:hAnsi="宋体"/>
          <w:b w:val="0"/>
          <w:i w:val="0"/>
          <w:sz w:val="24"/>
        </w:rPr>
        <w:t>此外，AI还被应用于客户旅程（Customer Journey）的全链路优化。通过对客户在各触点的行为数据进行序列分析，机器学习模型能够识别客户体验中的痛点和流失风险节点，帮助企业有针对性地改善服务流程和体验设计。</w:t>
      </w:r>
    </w:p>
    <w:p>
      <w:pPr>
        <w:pStyle w:val="Heading2"/>
      </w:pPr>
      <w:r>
        <w:rPr>
          <w:rFonts w:ascii="黑体" w:hAnsi="黑体"/>
          <w:b/>
          <w:i w:val="0"/>
          <w:color w:val="000000"/>
          <w:sz w:val="30"/>
        </w:rPr>
        <w:t>10 关键挑战与伦理问题</w:t>
      </w:r>
    </w:p>
    <w:p>
      <w:pPr>
        <w:spacing w:line="360" w:lineRule="auto"/>
        <w:ind w:firstLine="480"/>
      </w:pPr>
      <w:r>
        <w:rPr>
          <w:rFonts w:ascii="宋体" w:hAnsi="宋体"/>
          <w:b w:val="0"/>
          <w:i w:val="0"/>
          <w:sz w:val="24"/>
        </w:rPr>
        <w:t>尽管AI在营销分析中展现了巨大潜力，但其广泛应用也伴随着一系列技术和伦理挑战。表2总结了主要挑战及其可能的应对策略。</w:t>
      </w:r>
    </w:p>
    <w:p>
      <w:pPr>
        <w:spacing w:line="360" w:lineRule="auto"/>
        <w:ind w:firstLine="480"/>
      </w:pPr>
      <w:r>
        <w:rPr>
          <w:rFonts w:ascii="宋体" w:hAnsi="宋体"/>
          <w:b/>
          <w:i w:val="0"/>
          <w:sz w:val="24"/>
        </w:rPr>
        <w:t>表2：AI营销分析的主要挑战与应对策略</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val="clear"/>
          </w:tcPr>
          <w:p>
            <w:pPr>
              <w:jc w:val="left"/>
            </w:pPr>
            <w:r>
              <w:rPr>
                <w:rFonts w:ascii="宋体" w:hAnsi="宋体"/>
                <w:b/>
              </w:rPr>
            </w:r>
            <w:r>
              <w:rPr>
                <w:rFonts w:ascii="宋体" w:hAnsi="宋体"/>
                <w:b/>
                <w:i w:val="0"/>
                <w:sz w:val="18"/>
              </w:rPr>
              <w:t>挑战领域</w:t>
            </w:r>
          </w:p>
        </w:tc>
        <w:tc>
          <w:tcPr>
            <w:tcW w:type="dxa" w:w="2878"/>
            <w:shd w:fill="D9E2F3" w:val="clear"/>
          </w:tcPr>
          <w:p>
            <w:pPr>
              <w:jc w:val="left"/>
            </w:pPr>
            <w:r>
              <w:rPr>
                <w:rFonts w:ascii="宋体" w:hAnsi="宋体"/>
                <w:b/>
              </w:rPr>
            </w:r>
            <w:r>
              <w:rPr>
                <w:rFonts w:ascii="宋体" w:hAnsi="宋体"/>
                <w:b/>
                <w:i w:val="0"/>
                <w:sz w:val="18"/>
              </w:rPr>
              <w:t>核心问题</w:t>
            </w:r>
          </w:p>
        </w:tc>
        <w:tc>
          <w:tcPr>
            <w:tcW w:type="dxa" w:w="2878"/>
            <w:shd w:fill="D9E2F3" w:val="clear"/>
          </w:tcPr>
          <w:p>
            <w:pPr>
              <w:jc w:val="left"/>
            </w:pPr>
            <w:r>
              <w:rPr>
                <w:rFonts w:ascii="宋体" w:hAnsi="宋体"/>
                <w:b/>
              </w:rPr>
            </w:r>
            <w:r>
              <w:rPr>
                <w:rFonts w:ascii="宋体" w:hAnsi="宋体"/>
                <w:b/>
                <w:i w:val="0"/>
                <w:sz w:val="18"/>
              </w:rPr>
              <w:t>潜在应对策略</w:t>
            </w:r>
          </w:p>
        </w:tc>
      </w:tr>
      <w:tr>
        <w:tc>
          <w:tcPr>
            <w:tcW w:type="dxa" w:w="2878"/>
          </w:tcPr>
          <w:p>
            <w:pPr>
              <w:jc w:val="left"/>
            </w:pPr>
            <w:r>
              <w:rPr>
                <w:rFonts w:ascii="宋体" w:hAnsi="宋体"/>
              </w:rPr>
            </w:r>
            <w:r>
              <w:rPr>
                <w:rFonts w:ascii="宋体" w:hAnsi="宋体"/>
                <w:b w:val="0"/>
                <w:i w:val="0"/>
                <w:sz w:val="18"/>
              </w:rPr>
              <w:t>数据隐私</w:t>
            </w:r>
          </w:p>
        </w:tc>
        <w:tc>
          <w:tcPr>
            <w:tcW w:type="dxa" w:w="2878"/>
          </w:tcPr>
          <w:p>
            <w:pPr>
              <w:jc w:val="left"/>
            </w:pPr>
            <w:r>
              <w:rPr>
                <w:rFonts w:ascii="宋体" w:hAnsi="宋体"/>
              </w:rPr>
            </w:r>
            <w:r>
              <w:rPr>
                <w:rFonts w:ascii="宋体" w:hAnsi="宋体"/>
                <w:b w:val="0"/>
                <w:i w:val="0"/>
                <w:sz w:val="18"/>
              </w:rPr>
              <w:t>GDPR/CCPA等法规限制、第三方Cookie淘汰</w:t>
            </w:r>
          </w:p>
        </w:tc>
        <w:tc>
          <w:tcPr>
            <w:tcW w:type="dxa" w:w="2878"/>
          </w:tcPr>
          <w:p>
            <w:pPr>
              <w:jc w:val="left"/>
            </w:pPr>
            <w:r>
              <w:rPr>
                <w:rFonts w:ascii="宋体" w:hAnsi="宋体"/>
              </w:rPr>
            </w:r>
            <w:r>
              <w:rPr>
                <w:rFonts w:ascii="宋体" w:hAnsi="宋体"/>
                <w:b w:val="0"/>
                <w:i w:val="0"/>
                <w:sz w:val="18"/>
              </w:rPr>
              <w:t>联邦学习、差分隐私、合成数据</w:t>
            </w:r>
          </w:p>
        </w:tc>
      </w:tr>
      <w:tr>
        <w:tc>
          <w:tcPr>
            <w:tcW w:type="dxa" w:w="2878"/>
          </w:tcPr>
          <w:p>
            <w:pPr>
              <w:jc w:val="left"/>
            </w:pPr>
            <w:r>
              <w:rPr>
                <w:rFonts w:ascii="宋体" w:hAnsi="宋体"/>
              </w:rPr>
            </w:r>
            <w:r>
              <w:rPr>
                <w:rFonts w:ascii="宋体" w:hAnsi="宋体"/>
                <w:b w:val="0"/>
                <w:i w:val="0"/>
                <w:sz w:val="18"/>
              </w:rPr>
              <w:t>算法偏见</w:t>
            </w:r>
          </w:p>
        </w:tc>
        <w:tc>
          <w:tcPr>
            <w:tcW w:type="dxa" w:w="2878"/>
          </w:tcPr>
          <w:p>
            <w:pPr>
              <w:jc w:val="left"/>
            </w:pPr>
            <w:r>
              <w:rPr>
                <w:rFonts w:ascii="宋体" w:hAnsi="宋体"/>
              </w:rPr>
            </w:r>
            <w:r>
              <w:rPr>
                <w:rFonts w:ascii="宋体" w:hAnsi="宋体"/>
                <w:b w:val="0"/>
                <w:i w:val="0"/>
                <w:sz w:val="18"/>
              </w:rPr>
              <w:t>性别/种族歧视性投放、价格歧视</w:t>
            </w:r>
          </w:p>
        </w:tc>
        <w:tc>
          <w:tcPr>
            <w:tcW w:type="dxa" w:w="2878"/>
          </w:tcPr>
          <w:p>
            <w:pPr>
              <w:jc w:val="left"/>
            </w:pPr>
            <w:r>
              <w:rPr>
                <w:rFonts w:ascii="宋体" w:hAnsi="宋体"/>
              </w:rPr>
            </w:r>
            <w:r>
              <w:rPr>
                <w:rFonts w:ascii="宋体" w:hAnsi="宋体"/>
                <w:b w:val="0"/>
                <w:i w:val="0"/>
                <w:sz w:val="18"/>
              </w:rPr>
              <w:t>公平性约束、偏见审计、对抗去偏</w:t>
            </w:r>
          </w:p>
        </w:tc>
      </w:tr>
      <w:tr>
        <w:tc>
          <w:tcPr>
            <w:tcW w:type="dxa" w:w="2878"/>
          </w:tcPr>
          <w:p>
            <w:pPr>
              <w:jc w:val="left"/>
            </w:pPr>
            <w:r>
              <w:rPr>
                <w:rFonts w:ascii="宋体" w:hAnsi="宋体"/>
              </w:rPr>
            </w:r>
            <w:r>
              <w:rPr>
                <w:rFonts w:ascii="宋体" w:hAnsi="宋体"/>
                <w:b w:val="0"/>
                <w:i w:val="0"/>
                <w:sz w:val="18"/>
              </w:rPr>
              <w:t>可解释性</w:t>
            </w:r>
          </w:p>
        </w:tc>
        <w:tc>
          <w:tcPr>
            <w:tcW w:type="dxa" w:w="2878"/>
          </w:tcPr>
          <w:p>
            <w:pPr>
              <w:jc w:val="left"/>
            </w:pPr>
            <w:r>
              <w:rPr>
                <w:rFonts w:ascii="宋体" w:hAnsi="宋体"/>
              </w:rPr>
            </w:r>
            <w:r>
              <w:rPr>
                <w:rFonts w:ascii="宋体" w:hAnsi="宋体"/>
                <w:b w:val="0"/>
                <w:i w:val="0"/>
                <w:sz w:val="18"/>
              </w:rPr>
              <w:t>深度学习"黑箱"、决策者信任不足</w:t>
            </w:r>
          </w:p>
        </w:tc>
        <w:tc>
          <w:tcPr>
            <w:tcW w:type="dxa" w:w="2878"/>
          </w:tcPr>
          <w:p>
            <w:pPr>
              <w:jc w:val="left"/>
            </w:pPr>
            <w:r>
              <w:rPr>
                <w:rFonts w:ascii="宋体" w:hAnsi="宋体"/>
              </w:rPr>
            </w:r>
            <w:r>
              <w:rPr>
                <w:rFonts w:ascii="宋体" w:hAnsi="宋体"/>
                <w:b w:val="0"/>
                <w:i w:val="0"/>
                <w:sz w:val="18"/>
              </w:rPr>
              <w:t>SHAP/LIME、注意力可视化、GAM</w:t>
            </w:r>
          </w:p>
        </w:tc>
      </w:tr>
      <w:tr>
        <w:tc>
          <w:tcPr>
            <w:tcW w:type="dxa" w:w="2878"/>
          </w:tcPr>
          <w:p>
            <w:pPr>
              <w:jc w:val="left"/>
            </w:pPr>
            <w:r>
              <w:rPr>
                <w:rFonts w:ascii="宋体" w:hAnsi="宋体"/>
              </w:rPr>
            </w:r>
            <w:r>
              <w:rPr>
                <w:rFonts w:ascii="宋体" w:hAnsi="宋体"/>
                <w:b w:val="0"/>
                <w:i w:val="0"/>
                <w:sz w:val="18"/>
              </w:rPr>
              <w:t>数据整合</w:t>
            </w:r>
          </w:p>
        </w:tc>
        <w:tc>
          <w:tcPr>
            <w:tcW w:type="dxa" w:w="2878"/>
          </w:tcPr>
          <w:p>
            <w:pPr>
              <w:jc w:val="left"/>
            </w:pPr>
            <w:r>
              <w:rPr>
                <w:rFonts w:ascii="宋体" w:hAnsi="宋体"/>
              </w:rPr>
            </w:r>
            <w:r>
              <w:rPr>
                <w:rFonts w:ascii="宋体" w:hAnsi="宋体"/>
                <w:b w:val="0"/>
                <w:i w:val="0"/>
                <w:sz w:val="18"/>
              </w:rPr>
              <w:t>跨渠道身份匹配、数据孤岛</w:t>
            </w:r>
          </w:p>
        </w:tc>
        <w:tc>
          <w:tcPr>
            <w:tcW w:type="dxa" w:w="2878"/>
          </w:tcPr>
          <w:p>
            <w:pPr>
              <w:jc w:val="left"/>
            </w:pPr>
            <w:r>
              <w:rPr>
                <w:rFonts w:ascii="宋体" w:hAnsi="宋体"/>
              </w:rPr>
            </w:r>
            <w:r>
              <w:rPr>
                <w:rFonts w:ascii="宋体" w:hAnsi="宋体"/>
                <w:b w:val="0"/>
                <w:i w:val="0"/>
                <w:sz w:val="18"/>
              </w:rPr>
              <w:t>身份图谱、概率匹配、GNN</w:t>
            </w:r>
          </w:p>
        </w:tc>
      </w:tr>
      <w:tr>
        <w:tc>
          <w:tcPr>
            <w:tcW w:type="dxa" w:w="2878"/>
          </w:tcPr>
          <w:p>
            <w:pPr>
              <w:jc w:val="left"/>
            </w:pPr>
            <w:r>
              <w:rPr>
                <w:rFonts w:ascii="宋体" w:hAnsi="宋体"/>
              </w:rPr>
            </w:r>
            <w:r>
              <w:rPr>
                <w:rFonts w:ascii="宋体" w:hAnsi="宋体"/>
                <w:b w:val="0"/>
                <w:i w:val="0"/>
                <w:sz w:val="18"/>
              </w:rPr>
              <w:t>模型泛化</w:t>
            </w:r>
          </w:p>
        </w:tc>
        <w:tc>
          <w:tcPr>
            <w:tcW w:type="dxa" w:w="2878"/>
          </w:tcPr>
          <w:p>
            <w:pPr>
              <w:jc w:val="left"/>
            </w:pPr>
            <w:r>
              <w:rPr>
                <w:rFonts w:ascii="宋体" w:hAnsi="宋体"/>
              </w:rPr>
            </w:r>
            <w:r>
              <w:rPr>
                <w:rFonts w:ascii="宋体" w:hAnsi="宋体"/>
                <w:b w:val="0"/>
                <w:i w:val="0"/>
                <w:sz w:val="18"/>
              </w:rPr>
              <w:t>分布漂移、冷启动问题</w:t>
            </w:r>
          </w:p>
        </w:tc>
        <w:tc>
          <w:tcPr>
            <w:tcW w:type="dxa" w:w="2878"/>
          </w:tcPr>
          <w:p>
            <w:pPr>
              <w:jc w:val="left"/>
            </w:pPr>
            <w:r>
              <w:rPr>
                <w:rFonts w:ascii="宋体" w:hAnsi="宋体"/>
              </w:rPr>
            </w:r>
            <w:r>
              <w:rPr>
                <w:rFonts w:ascii="宋体" w:hAnsi="宋体"/>
                <w:b w:val="0"/>
                <w:i w:val="0"/>
                <w:sz w:val="18"/>
              </w:rPr>
              <w:t>迁移学习、元学习、在线学习</w:t>
            </w:r>
          </w:p>
        </w:tc>
      </w:tr>
    </w:tbl>
    <w:p/>
    <w:p>
      <w:pPr>
        <w:pStyle w:val="Heading3"/>
      </w:pPr>
      <w:r>
        <w:rPr>
          <w:rFonts w:ascii="黑体" w:hAnsi="黑体"/>
          <w:b/>
          <w:i w:val="0"/>
          <w:color w:val="000000"/>
          <w:sz w:val="26"/>
        </w:rPr>
        <w:t>10.1 数据隐私与合规</w:t>
      </w:r>
    </w:p>
    <w:p>
      <w:pPr>
        <w:spacing w:line="360" w:lineRule="auto"/>
        <w:ind w:firstLine="480"/>
      </w:pPr>
      <w:r>
        <w:rPr>
          <w:rFonts w:ascii="宋体" w:hAnsi="宋体"/>
          <w:b w:val="0"/>
          <w:i w:val="0"/>
          <w:sz w:val="24"/>
        </w:rPr>
        <w:t>数据是AI营销分析的基础，但消费者数据的收集和使用面临着日益严格的法律和伦理约束。欧盟《通用数据保护条例》（GDPR）、美国《加州消费者隐私法案》（CCPA）和中国《个人信息保护法》等法规要求企业在收集、处理和存储消费者数据时遵循知情同意、最小化收集和目的限制等原则（Martin &amp; Murphy, 2017）。</w:t>
      </w:r>
    </w:p>
    <w:p>
      <w:pPr>
        <w:spacing w:line="360" w:lineRule="auto"/>
        <w:ind w:firstLine="480"/>
      </w:pPr>
      <w:r>
        <w:rPr>
          <w:rFonts w:ascii="宋体" w:hAnsi="宋体"/>
          <w:b w:val="0"/>
          <w:i w:val="0"/>
          <w:sz w:val="24"/>
        </w:rPr>
        <w:t>苹果iOS 14.5引入的应用跟踪透明度（ATT）框架和谷歌逐步淘汰第三方Cookie的计划对数字营销的数据基础产生了深远影响。这些变化推动了隐私保护技术在营销分析中的应用，包括差分隐私（Differential Privacy）、联邦学习（Federated Learning）和安全多方计算（Secure Multi-Party Computation）等（Yang et al., 2019）。</w:t>
      </w:r>
    </w:p>
    <w:p>
      <w:pPr>
        <w:spacing w:line="360" w:lineRule="auto"/>
        <w:ind w:firstLine="480"/>
      </w:pPr>
      <w:r>
        <w:rPr>
          <w:rFonts w:ascii="宋体" w:hAnsi="宋体"/>
          <w:b w:val="0"/>
          <w:i w:val="0"/>
          <w:sz w:val="24"/>
        </w:rPr>
        <w:t>联邦学习允许多个参与方在不共享原始数据的情况下协作训练机器学习模型，为跨企业的营销数据协作提供了一种隐私保护解决方案。例如，多个零售商可以利用联邦学习共同训练客户流失预测模型，在保护各自客户数据隐私的同时提升模型性能。</w:t>
      </w:r>
    </w:p>
    <w:p>
      <w:pPr>
        <w:pStyle w:val="Heading3"/>
      </w:pPr>
      <w:r>
        <w:rPr>
          <w:rFonts w:ascii="黑体" w:hAnsi="黑体"/>
          <w:b/>
          <w:i w:val="0"/>
          <w:color w:val="000000"/>
          <w:sz w:val="26"/>
        </w:rPr>
        <w:t>10.2 算法偏见与公平性</w:t>
      </w:r>
    </w:p>
    <w:p>
      <w:pPr>
        <w:spacing w:line="360" w:lineRule="auto"/>
        <w:ind w:firstLine="480"/>
      </w:pPr>
      <w:r>
        <w:rPr>
          <w:rFonts w:ascii="宋体" w:hAnsi="宋体"/>
          <w:b w:val="0"/>
          <w:i w:val="0"/>
          <w:sz w:val="24"/>
        </w:rPr>
        <w:t>AI系统可能继承和放大训练数据中的偏见，导致不公平的营销实践。Lambrecht和Tucker（2019）的研究发现，在线广告投放算法可能因为优化效率的目标而对特定性别或种族群体产生系统性的差异化投放，即使广告主并未设定歧视性的定向条件。具体而言，该研究发现STEM职业广告更多地被展示给男性用户，原因并非算法被设计为歧视性的，而是因为女性用户在广告市场中的竞争更为激烈（女性是更多广告主争抢的受众），导致算法出于成本效率考量而偏向男性受众投放。</w:t>
      </w:r>
    </w:p>
    <w:p>
      <w:pPr>
        <w:spacing w:line="360" w:lineRule="auto"/>
        <w:ind w:firstLine="480"/>
      </w:pPr>
      <w:r>
        <w:rPr>
          <w:rFonts w:ascii="宋体" w:hAnsi="宋体"/>
          <w:b w:val="0"/>
          <w:i w:val="0"/>
          <w:sz w:val="24"/>
        </w:rPr>
        <w:t>价格歧视是AI定价中的另一个敏感问题。动态定价算法可能根据消费者的支付意愿进行个性化定价，这引发了关于定价公平性的伦理争议。确保AI营销系统的公平性需要在模型开发、评估和部署的全流程中引入公平性约束和审计机制（Barocas et al., 2019）。</w:t>
      </w:r>
    </w:p>
    <w:p>
      <w:pPr>
        <w:pStyle w:val="Heading3"/>
      </w:pPr>
      <w:r>
        <w:rPr>
          <w:rFonts w:ascii="黑体" w:hAnsi="黑体"/>
          <w:b/>
          <w:i w:val="0"/>
          <w:color w:val="000000"/>
          <w:sz w:val="26"/>
        </w:rPr>
        <w:t>10.3 模型可解释性</w:t>
      </w:r>
    </w:p>
    <w:p>
      <w:pPr>
        <w:spacing w:line="360" w:lineRule="auto"/>
        <w:ind w:firstLine="480"/>
      </w:pPr>
      <w:r>
        <w:rPr>
          <w:rFonts w:ascii="宋体" w:hAnsi="宋体"/>
          <w:b w:val="0"/>
          <w:i w:val="0"/>
          <w:sz w:val="24"/>
        </w:rPr>
        <w:t>许多高性能的AI模型（特别是深度学习模型）被视为"黑箱"，其决策过程难以被人类理解和解释。在营销领域，模型可解释性不仅是学术研究的要求，也是商业实践的需要——营销决策者需要理解模型推荐背后的逻辑才能做出有效的判断和行动（Rudin, 2019）。</w:t>
      </w:r>
    </w:p>
    <w:p>
      <w:pPr>
        <w:spacing w:line="360" w:lineRule="auto"/>
        <w:ind w:firstLine="480"/>
      </w:pPr>
      <w:r>
        <w:rPr>
          <w:rFonts w:ascii="宋体" w:hAnsi="宋体"/>
          <w:b w:val="0"/>
          <w:i w:val="0"/>
          <w:sz w:val="24"/>
        </w:rPr>
        <w:t>可解释AI（Explainable AI, XAI）技术为解决这一问题提供了多种途径。SHAP（SHapley Additive exPlanations）和LIME（Local Interpretable Model-agnostic Explanations）等事后解释方法能够为个别预测提供特征重要性分析（Lundberg &amp; Lee, 2017）。注意力可视化技术则可以展示深度学习模型在处理文本或图像时的关注焦点。此外，Rudin（2019）强调了在高风险决策中使用固有可解释模型（如广义加性模型GAM、可解释提升机EBM）的重要性，认为"事后解释不能替代模型本身的透明度"。</w:t>
      </w:r>
    </w:p>
    <w:p>
      <w:pPr>
        <w:pStyle w:val="Heading3"/>
      </w:pPr>
      <w:r>
        <w:rPr>
          <w:rFonts w:ascii="黑体" w:hAnsi="黑体"/>
          <w:b/>
          <w:i w:val="0"/>
          <w:color w:val="000000"/>
          <w:sz w:val="26"/>
        </w:rPr>
        <w:t>10.4 跨渠道数据整合</w:t>
      </w:r>
    </w:p>
    <w:p>
      <w:pPr>
        <w:spacing w:line="360" w:lineRule="auto"/>
        <w:ind w:firstLine="480"/>
      </w:pPr>
      <w:r>
        <w:rPr>
          <w:rFonts w:ascii="宋体" w:hAnsi="宋体"/>
          <w:b w:val="0"/>
          <w:i w:val="0"/>
          <w:sz w:val="24"/>
        </w:rPr>
        <w:t>现代消费者通过多个渠道和设备与品牌互动，构建统一的消费者视图（Single Customer View）是营销分析的一个重要挑战。跨渠道数据整合涉及实体解析（Entity Resolution）、数据匹配和身份图谱（Identity Graph）构建等技术问题。</w:t>
      </w:r>
    </w:p>
    <w:p>
      <w:pPr>
        <w:spacing w:line="360" w:lineRule="auto"/>
        <w:ind w:firstLine="480"/>
      </w:pPr>
      <w:r>
        <w:rPr>
          <w:rFonts w:ascii="宋体" w:hAnsi="宋体"/>
          <w:b w:val="0"/>
          <w:i w:val="0"/>
          <w:sz w:val="24"/>
        </w:rPr>
        <w:t>概率性匹配和确定性匹配方法被用于将来自不同渠道的消费者数据关联到同一个体。Christen（2012）系统论述了数据匹配的概念和技术，包括记录链接、实体解析和重复检测等核心方法。机器学习方法（如随机森林和图神经网络）在复杂场景下的实体解析任务中展现了优势，能够处理噪声数据、不完整记录和模糊匹配等挑战。然而，跨渠道数据整合在隐私法规日益收紧的背景下面临着额外的合规压力，如何在身份解析精度和隐私保护之间取得平衡是一个亟待解决的问题。</w:t>
      </w:r>
    </w:p>
    <w:p>
      <w:pPr>
        <w:pStyle w:val="Heading2"/>
      </w:pPr>
      <w:r>
        <w:rPr>
          <w:rFonts w:ascii="黑体" w:hAnsi="黑体"/>
          <w:b/>
          <w:i w:val="0"/>
          <w:color w:val="000000"/>
          <w:sz w:val="30"/>
        </w:rPr>
        <w:t>11 未来研究方向</w:t>
      </w:r>
    </w:p>
    <w:p>
      <w:pPr>
        <w:spacing w:line="360" w:lineRule="auto"/>
        <w:ind w:firstLine="480"/>
      </w:pPr>
      <w:r>
        <w:rPr>
          <w:rFonts w:ascii="宋体" w:hAnsi="宋体"/>
          <w:b w:val="0"/>
          <w:i w:val="0"/>
          <w:sz w:val="24"/>
        </w:rPr>
        <w:t>基于对现有文献的系统梳理和对当前挑战的分析，本节展望AI在营销分析领域的未来研究方向。</w:t>
      </w:r>
    </w:p>
    <w:p>
      <w:pPr>
        <w:pStyle w:val="Heading3"/>
      </w:pPr>
      <w:r>
        <w:rPr>
          <w:rFonts w:ascii="黑体" w:hAnsi="黑体"/>
          <w:b/>
          <w:i w:val="0"/>
          <w:color w:val="000000"/>
          <w:sz w:val="26"/>
        </w:rPr>
        <w:t>11.1 生成式AI与营销创新</w:t>
      </w:r>
    </w:p>
    <w:p>
      <w:pPr>
        <w:spacing w:line="360" w:lineRule="auto"/>
        <w:ind w:firstLine="480"/>
      </w:pPr>
      <w:r>
        <w:rPr>
          <w:rFonts w:ascii="宋体" w:hAnsi="宋体"/>
          <w:b w:val="0"/>
          <w:i w:val="0"/>
          <w:sz w:val="24"/>
        </w:rPr>
        <w:t>生成式AI正在重塑营销的各个环节。未来的研究需要深入探索：（1）大语言模型在营销策略制定和创意生成中的应用潜力与局限性；（2）AI生成内容（AIGC）对消费者感知和行为的影响机制；（3）人机协作的营销创意工作流设计；（4）生成式AI在市场调研和消费者洞察中的新方法论。</w:t>
      </w:r>
    </w:p>
    <w:p>
      <w:pPr>
        <w:spacing w:line="360" w:lineRule="auto"/>
        <w:ind w:firstLine="480"/>
      </w:pPr>
      <w:r>
        <w:rPr>
          <w:rFonts w:ascii="宋体" w:hAnsi="宋体"/>
          <w:b w:val="0"/>
          <w:i w:val="0"/>
          <w:sz w:val="24"/>
        </w:rPr>
        <w:t>Puntoni等人（2021）指出，AI生成内容与人类创作内容之间的界限日益模糊，这对品牌真实性和消费者信任提出了新的挑战。未来的研究需要关注消费者如何感知和评价AI生成的营销内容，以及AI披露对消费者态度和行为的影响。此外，生成式AI在个性化邮件营销、产品描述自动生成和多语言内容本地化等场景中的应用效果也值得深入研究。</w:t>
      </w:r>
    </w:p>
    <w:p>
      <w:pPr>
        <w:pStyle w:val="Heading3"/>
      </w:pPr>
      <w:r>
        <w:rPr>
          <w:rFonts w:ascii="黑体" w:hAnsi="黑体"/>
          <w:b/>
          <w:i w:val="0"/>
          <w:color w:val="000000"/>
          <w:sz w:val="26"/>
        </w:rPr>
        <w:t>11.2 因果推断与AI的融合</w:t>
      </w:r>
    </w:p>
    <w:p>
      <w:pPr>
        <w:spacing w:line="360" w:lineRule="auto"/>
        <w:ind w:firstLine="480"/>
      </w:pPr>
      <w:r>
        <w:rPr>
          <w:rFonts w:ascii="宋体" w:hAnsi="宋体"/>
          <w:b w:val="0"/>
          <w:i w:val="0"/>
          <w:sz w:val="24"/>
        </w:rPr>
        <w:t>因果推断正在成为营销分析的一个重要研究方向。传统的机器学习方法主要关注相关性和预测，但营销决策的制定往往需要理解因果关系。将因果推断与机器学习相结合（Causal ML）为回答"如果...会怎样"（What-if）和"为什么"（Why）等关键营销问题提供了新的方法论框架。</w:t>
      </w:r>
    </w:p>
    <w:p>
      <w:pPr>
        <w:spacing w:line="360" w:lineRule="auto"/>
        <w:ind w:firstLine="480"/>
      </w:pPr>
      <w:r>
        <w:rPr>
          <w:rFonts w:ascii="宋体" w:hAnsi="宋体"/>
          <w:b w:val="0"/>
          <w:i w:val="0"/>
          <w:sz w:val="24"/>
        </w:rPr>
        <w:t>因果森林、双重机器学习和工具变量的机器学习扩展等方法在估计异质性处理效应方面展现了巨大潜力（Athey &amp; Imbens, 2019）。这些方法能够帮助营销人员理解不同营销干预（如促销、广告、推荐）对不同消费者群体的差异化效果，实现真正的个性化营销策略优化。例如，因果森林可以回答"对哪些客户发放优惠券能带来最大的增量购买"这样的问题，这是传统预测模型无法直接回答的。</w:t>
      </w:r>
    </w:p>
    <w:p>
      <w:pPr>
        <w:pStyle w:val="Heading3"/>
      </w:pPr>
      <w:r>
        <w:rPr>
          <w:rFonts w:ascii="黑体" w:hAnsi="黑体"/>
          <w:b/>
          <w:i w:val="0"/>
          <w:color w:val="000000"/>
          <w:sz w:val="26"/>
        </w:rPr>
        <w:t>11.3 多模态AI与沉浸式营销</w:t>
      </w:r>
    </w:p>
    <w:p>
      <w:pPr>
        <w:spacing w:line="360" w:lineRule="auto"/>
        <w:ind w:firstLine="480"/>
      </w:pPr>
      <w:r>
        <w:rPr>
          <w:rFonts w:ascii="宋体" w:hAnsi="宋体"/>
          <w:b w:val="0"/>
          <w:i w:val="0"/>
          <w:sz w:val="24"/>
        </w:rPr>
        <w:t>随着AR（增强现实）、VR（虚拟现实）和空间计算技术的发展，营销正在走向更加沉浸式和多模态的方向。多模态AI技术（如CLIP等视觉-语言模型、跨模态检索和多模态生成）将在虚拟试穿、交互式广告和沉浸式品牌体验等领域发挥越来越重要的作用（Radford et al., 2021）。</w:t>
      </w:r>
    </w:p>
    <w:p>
      <w:pPr>
        <w:spacing w:line="360" w:lineRule="auto"/>
        <w:ind w:firstLine="480"/>
      </w:pPr>
      <w:r>
        <w:rPr>
          <w:rFonts w:ascii="宋体" w:hAnsi="宋体"/>
          <w:b w:val="0"/>
          <w:i w:val="0"/>
          <w:sz w:val="24"/>
        </w:rPr>
        <w:t>未来的研究可以关注以下问题：（1）多模态消费者数据（文本+图像+视频+行为）的融合建模方法；（2）AR/VR营销体验的效果评估框架；（3）空间计算和元宇宙环境中的新型营销模式与消费者行为特征。多模态AI还将推动营销内容从静态向动态、从二维向三维的演进，为消费者提供更加丰富和沉浸式的品牌体验。</w:t>
      </w:r>
    </w:p>
    <w:p>
      <w:pPr>
        <w:pStyle w:val="Heading3"/>
      </w:pPr>
      <w:r>
        <w:rPr>
          <w:rFonts w:ascii="黑体" w:hAnsi="黑体"/>
          <w:b/>
          <w:i w:val="0"/>
          <w:color w:val="000000"/>
          <w:sz w:val="26"/>
        </w:rPr>
        <w:t>11.4 隐私保护下的营销分析</w:t>
      </w:r>
    </w:p>
    <w:p>
      <w:pPr>
        <w:spacing w:line="360" w:lineRule="auto"/>
        <w:ind w:firstLine="480"/>
      </w:pPr>
      <w:r>
        <w:rPr>
          <w:rFonts w:ascii="宋体" w:hAnsi="宋体"/>
          <w:b w:val="0"/>
          <w:i w:val="0"/>
          <w:sz w:val="24"/>
        </w:rPr>
        <w:t>在隐私保护日益加强的背景下，如何在保护消费者隐私的同时有效利用数据进行营销分析成为一个关键问题。联邦学习、差分隐私和合成数据生成等隐私增强技术（Privacy-Enhancing Technologies, PETs）将成为未来营销分析的基础设施。</w:t>
      </w:r>
    </w:p>
    <w:p>
      <w:pPr>
        <w:spacing w:line="360" w:lineRule="auto"/>
        <w:ind w:firstLine="480"/>
      </w:pPr>
      <w:r>
        <w:rPr>
          <w:rFonts w:ascii="宋体" w:hAnsi="宋体"/>
          <w:b w:val="0"/>
          <w:i w:val="0"/>
          <w:sz w:val="24"/>
        </w:rPr>
        <w:t>零知识证明和安全多方计算等密码学技术在营销数据协作中的应用也值得关注。这些技术允许多方在不泄露原始数据的情况下进行联合分析和模型训练，为跨企业的营销合作提供了新的可能性。此外，合成数据技术（利用生成模型创建保持统计特性但不包含真实个人信息的数据集）在隐私保护营销分析中展现了独特的潜力，未来研究需要验证其在各营销分析任务中的有效性和局限性。</w:t>
      </w:r>
    </w:p>
    <w:p>
      <w:pPr>
        <w:pStyle w:val="Heading3"/>
      </w:pPr>
      <w:r>
        <w:rPr>
          <w:rFonts w:ascii="黑体" w:hAnsi="黑体"/>
          <w:b/>
          <w:i w:val="0"/>
          <w:color w:val="000000"/>
          <w:sz w:val="26"/>
        </w:rPr>
        <w:t>11.5 负责任AI与营销伦理</w:t>
      </w:r>
    </w:p>
    <w:p>
      <w:pPr>
        <w:spacing w:line="360" w:lineRule="auto"/>
        <w:ind w:firstLine="480"/>
      </w:pPr>
      <w:r>
        <w:rPr>
          <w:rFonts w:ascii="宋体" w:hAnsi="宋体"/>
          <w:b w:val="0"/>
          <w:i w:val="0"/>
          <w:sz w:val="24"/>
        </w:rPr>
        <w:t>随着AI在营销中的深入应用，建立负责任AI的治理框架变得越来越重要。这包括算法透明度、公平性审计、偏见检测和纠正、以及AI决策的问责机制。未来的研究需要发展更加完善的AI伦理准则和实践指南，确保AI驱动的营销活动既有效又公正。</w:t>
      </w:r>
    </w:p>
    <w:p>
      <w:pPr>
        <w:spacing w:line="360" w:lineRule="auto"/>
        <w:ind w:firstLine="480"/>
      </w:pPr>
      <w:r>
        <w:rPr>
          <w:rFonts w:ascii="宋体" w:hAnsi="宋体"/>
          <w:b w:val="0"/>
          <w:i w:val="0"/>
          <w:sz w:val="24"/>
        </w:rPr>
        <w:t>特别值得关注的是AI对消费者自主权的影响。过于精准的个性化推荐和说服性AI可能限制消费者的选择自由和信息多样性（所谓"过滤气泡"效应），未来的研究需要探索如何在个性化效率和消费者自主权之间取得平衡（Pariser, 2011）。此外，深度伪造（Deepfake）技术在营销中的潜在滥用（如虚假代言人、伪造的用户评价视频）也是一个需要前瞻性研究的伦理议题。</w:t>
      </w:r>
    </w:p>
    <w:p>
      <w:pPr>
        <w:pStyle w:val="Heading2"/>
      </w:pPr>
      <w:r>
        <w:rPr>
          <w:rFonts w:ascii="黑体" w:hAnsi="黑体"/>
          <w:b/>
          <w:i w:val="0"/>
          <w:color w:val="000000"/>
          <w:sz w:val="30"/>
        </w:rPr>
        <w:t>12 结论</w:t>
      </w:r>
    </w:p>
    <w:p>
      <w:pPr>
        <w:spacing w:line="360" w:lineRule="auto"/>
        <w:ind w:firstLine="480"/>
      </w:pPr>
      <w:r>
        <w:rPr>
          <w:rFonts w:ascii="宋体" w:hAnsi="宋体"/>
          <w:b w:val="0"/>
          <w:i w:val="0"/>
          <w:sz w:val="24"/>
        </w:rPr>
        <w:t>本文系统回顾了人工智能技术在营销分析各核心领域的应用研究，涵盖了从消费者行为分析到客户关系管理的完整营销链路。通过对77篇文献的全面梳理，可以得出以下主要结论。</w:t>
      </w:r>
    </w:p>
    <w:p>
      <w:pPr>
        <w:spacing w:line="360" w:lineRule="auto"/>
        <w:ind w:firstLine="480"/>
      </w:pPr>
      <w:r>
        <w:rPr>
          <w:rFonts w:ascii="宋体" w:hAnsi="宋体"/>
          <w:b w:val="0"/>
          <w:i w:val="0"/>
          <w:sz w:val="24"/>
        </w:rPr>
        <w:t>第一，AI技术已经在营销分析的各个环节得到了广泛应用，从消费者行为预测、市场细分、定价优化到广告投放和客户关系管理，AI显著提升了营销决策的精准度和效率。特别是深度学习和大语言模型的发展，为处理非结构化数据和生成个性化营销内容提供了强大的技术支撑。</w:t>
      </w:r>
    </w:p>
    <w:p>
      <w:pPr>
        <w:spacing w:line="360" w:lineRule="auto"/>
        <w:ind w:firstLine="480"/>
      </w:pPr>
      <w:r>
        <w:rPr>
          <w:rFonts w:ascii="宋体" w:hAnsi="宋体"/>
          <w:b w:val="0"/>
          <w:i w:val="0"/>
          <w:sz w:val="24"/>
        </w:rPr>
        <w:t>第二，AI在营销分析中的应用正在从单点优化走向全链路智能化。推荐系统、程序化广告和动态定价等成熟应用展示了AI大规模部署的商业价值，而生成式AI和多模态技术则在营销内容创作和消费者体验方面开辟了新的可能性。值得注意的是，因果推断与机器学习的融合正在推动营销分析从"预测什么会发生"向"理解为什么发生以及如何干预"的更高层次演进。</w:t>
      </w:r>
    </w:p>
    <w:p>
      <w:pPr>
        <w:spacing w:line="360" w:lineRule="auto"/>
        <w:ind w:firstLine="480"/>
      </w:pPr>
      <w:r>
        <w:rPr>
          <w:rFonts w:ascii="宋体" w:hAnsi="宋体"/>
          <w:b w:val="0"/>
          <w:i w:val="0"/>
          <w:sz w:val="24"/>
        </w:rPr>
        <w:t>第三，AI营销分析面临着数据隐私、算法偏见、模型可解释性和跨渠道数据整合等多方面的挑战。这些挑战不仅是技术问题，更涉及伦理和社会层面的深层考量。隐私保护技术、公平性约束和可解释AI等方向的发展将有助于构建更加负责任的AI营销体系。</w:t>
      </w:r>
    </w:p>
    <w:p>
      <w:pPr>
        <w:spacing w:line="360" w:lineRule="auto"/>
        <w:ind w:firstLine="480"/>
      </w:pPr>
      <w:r>
        <w:rPr>
          <w:rFonts w:ascii="宋体" w:hAnsi="宋体"/>
          <w:b w:val="0"/>
          <w:i w:val="0"/>
          <w:sz w:val="24"/>
        </w:rPr>
        <w:t>第四，未来的研究应重点关注以下议程：（1）生成式AI与营销创新的深度融合，特别是AIGC对消费者信任和品牌真实性的影响；（2）因果推断在营销决策中的应用，实现从相关性预测到因果性理解的跨越；（3）隐私保护下的营销分析新范式，包括联邦学习、合成数据和差分隐私等技术路径；（4）负责任AI的治理框架，确保AI驱动的营销活动在效率与公平、个性化与自主权之间取得平衡。</w:t>
      </w:r>
    </w:p>
    <w:p>
      <w:pPr>
        <w:spacing w:line="360" w:lineRule="auto"/>
        <w:ind w:firstLine="480"/>
      </w:pPr>
      <w:r>
        <w:rPr>
          <w:rFonts w:ascii="宋体" w:hAnsi="宋体"/>
          <w:b w:val="0"/>
          <w:i w:val="0"/>
          <w:sz w:val="24"/>
        </w:rPr>
        <w:t>总而言之，AI正在深刻重塑营销分析的理论和实践。在技术快速演进和监管环境不断变化的背景下，研究者和实践者需要持续关注AI的最新发展，积极探索技术创新与营销应用的有效结合，同时始终保持对伦理和社会责任的关注。只有实现技术效能、商业价值和社会责任的有机统一，AI驱动的营销分析才能可持续地为企业和消费者创造真正的价值。</w:t>
      </w:r>
    </w:p>
    <w:p>
      <w:pPr>
        <w:pStyle w:val="Heading2"/>
      </w:pPr>
      <w:r>
        <w:rPr>
          <w:rFonts w:ascii="黑体" w:hAnsi="黑体"/>
          <w:b/>
          <w:i w:val="0"/>
          <w:color w:val="000000"/>
          <w:sz w:val="30"/>
        </w:rPr>
        <w:t>参考文献</w:t>
      </w:r>
    </w:p>
    <w:p>
      <w:pPr>
        <w:pStyle w:val="ListNumber"/>
        <w:spacing w:line="360" w:lineRule="auto"/>
      </w:pPr>
      <w:r>
        <w:rPr>
          <w:rFonts w:ascii="宋体" w:hAnsi="宋体"/>
          <w:b w:val="0"/>
          <w:i w:val="0"/>
          <w:sz w:val="24"/>
        </w:rPr>
        <w:t xml:space="preserve">Aguirre, E., Mahr, D., Grewal, D., de Ruyter, K., &amp; Wetzels, M. (2015). Unraveling the personalization paradox: The effect of information collection and trust-building strategies on online advertisement effectiveness. </w:t>
      </w:r>
      <w:r>
        <w:rPr>
          <w:rFonts w:ascii="宋体" w:hAnsi="宋体"/>
          <w:b w:val="0"/>
          <w:i/>
          <w:sz w:val="24"/>
        </w:rPr>
        <w:t>Journal of Retailing</w:t>
      </w:r>
      <w:r>
        <w:rPr>
          <w:rFonts w:ascii="宋体" w:hAnsi="宋体"/>
          <w:b w:val="0"/>
          <w:i w:val="0"/>
          <w:sz w:val="24"/>
        </w:rPr>
        <w:t>, 91(1), 34-49.</w:t>
      </w:r>
    </w:p>
    <w:p>
      <w:pPr>
        <w:pStyle w:val="ListNumber"/>
        <w:spacing w:line="360" w:lineRule="auto"/>
      </w:pPr>
      <w:r>
        <w:rPr>
          <w:rFonts w:ascii="宋体" w:hAnsi="宋体"/>
          <w:b w:val="0"/>
          <w:i w:val="0"/>
          <w:sz w:val="24"/>
        </w:rPr>
        <w:t xml:space="preserve">Ascarza, E. (2018). Retention futility: Targeting high-risk customers might be ineffective. </w:t>
      </w:r>
      <w:r>
        <w:rPr>
          <w:rFonts w:ascii="宋体" w:hAnsi="宋体"/>
          <w:b w:val="0"/>
          <w:i/>
          <w:sz w:val="24"/>
        </w:rPr>
        <w:t>Journal of Marketing Research</w:t>
      </w:r>
      <w:r>
        <w:rPr>
          <w:rFonts w:ascii="宋体" w:hAnsi="宋体"/>
          <w:b w:val="0"/>
          <w:i w:val="0"/>
          <w:sz w:val="24"/>
        </w:rPr>
        <w:t>, 55(1), 80-98.</w:t>
      </w:r>
    </w:p>
    <w:p>
      <w:pPr>
        <w:pStyle w:val="ListNumber"/>
        <w:spacing w:line="360" w:lineRule="auto"/>
      </w:pPr>
      <w:r>
        <w:rPr>
          <w:rFonts w:ascii="宋体" w:hAnsi="宋体"/>
          <w:b w:val="0"/>
          <w:i w:val="0"/>
          <w:sz w:val="24"/>
        </w:rPr>
        <w:t xml:space="preserve">Athey, S., &amp; Imbens, G. W. (2019). Machine learning methods that economists should know about. </w:t>
      </w:r>
      <w:r>
        <w:rPr>
          <w:rFonts w:ascii="宋体" w:hAnsi="宋体"/>
          <w:b w:val="0"/>
          <w:i/>
          <w:sz w:val="24"/>
        </w:rPr>
        <w:t>Annual Review of Economics</w:t>
      </w:r>
      <w:r>
        <w:rPr>
          <w:rFonts w:ascii="宋体" w:hAnsi="宋体"/>
          <w:b w:val="0"/>
          <w:i w:val="0"/>
          <w:sz w:val="24"/>
        </w:rPr>
        <w:t>, 11, 685-725.</w:t>
      </w:r>
    </w:p>
    <w:p>
      <w:pPr>
        <w:pStyle w:val="ListNumber"/>
        <w:spacing w:line="360" w:lineRule="auto"/>
      </w:pPr>
      <w:r>
        <w:rPr>
          <w:rFonts w:ascii="宋体" w:hAnsi="宋体"/>
          <w:b w:val="0"/>
          <w:i w:val="0"/>
          <w:sz w:val="24"/>
        </w:rPr>
        <w:t xml:space="preserve">Barocas, S., Hardt, M., &amp; Narayanan, A. (2019). </w:t>
      </w:r>
      <w:r>
        <w:rPr>
          <w:rFonts w:ascii="宋体" w:hAnsi="宋体"/>
          <w:b w:val="0"/>
          <w:i/>
          <w:sz w:val="24"/>
        </w:rPr>
        <w:t>Fairness and machine learning: Limitations and opportunities</w:t>
      </w:r>
      <w:r>
        <w:rPr>
          <w:rFonts w:ascii="宋体" w:hAnsi="宋体"/>
          <w:b w:val="0"/>
          <w:i w:val="0"/>
          <w:sz w:val="24"/>
        </w:rPr>
        <w:t>. MIT Press.</w:t>
      </w:r>
    </w:p>
    <w:p>
      <w:pPr>
        <w:pStyle w:val="ListNumber"/>
        <w:spacing w:line="360" w:lineRule="auto"/>
      </w:pPr>
      <w:r>
        <w:rPr>
          <w:rFonts w:ascii="宋体" w:hAnsi="宋体"/>
          <w:b w:val="0"/>
          <w:i w:val="0"/>
          <w:sz w:val="24"/>
        </w:rPr>
        <w:t xml:space="preserve">Blei, D. M., Ng, A. Y., &amp; Jordan, M. I. (2003). Latent Dirichlet allocation. </w:t>
      </w:r>
      <w:r>
        <w:rPr>
          <w:rFonts w:ascii="宋体" w:hAnsi="宋体"/>
          <w:b w:val="0"/>
          <w:i/>
          <w:sz w:val="24"/>
        </w:rPr>
        <w:t>Journal of Machine Learning Research</w:t>
      </w:r>
      <w:r>
        <w:rPr>
          <w:rFonts w:ascii="宋体" w:hAnsi="宋体"/>
          <w:b w:val="0"/>
          <w:i w:val="0"/>
          <w:sz w:val="24"/>
        </w:rPr>
        <w:t>, 3, 993-1022.</w:t>
      </w:r>
    </w:p>
    <w:p>
      <w:pPr>
        <w:pStyle w:val="ListNumber"/>
        <w:spacing w:line="360" w:lineRule="auto"/>
      </w:pPr>
      <w:r>
        <w:rPr>
          <w:rFonts w:ascii="宋体" w:hAnsi="宋体"/>
          <w:b w:val="0"/>
          <w:i w:val="0"/>
          <w:sz w:val="24"/>
        </w:rPr>
        <w:t xml:space="preserve">Brown, T. B., Mann, B., Ryder, N., Subbiah, M., Kaplan, J., et al. (2020). Language models are few-shot learners. </w:t>
      </w:r>
      <w:r>
        <w:rPr>
          <w:rFonts w:ascii="宋体" w:hAnsi="宋体"/>
          <w:b w:val="0"/>
          <w:i/>
          <w:sz w:val="24"/>
        </w:rPr>
        <w:t>Advances in Neural Information Processing Systems</w:t>
      </w:r>
      <w:r>
        <w:rPr>
          <w:rFonts w:ascii="宋体" w:hAnsi="宋体"/>
          <w:b w:val="0"/>
          <w:i w:val="0"/>
          <w:sz w:val="24"/>
        </w:rPr>
        <w:t>, 33, 1877-1901.</w:t>
      </w:r>
    </w:p>
    <w:p>
      <w:pPr>
        <w:pStyle w:val="ListNumber"/>
        <w:spacing w:line="360" w:lineRule="auto"/>
      </w:pPr>
      <w:r>
        <w:rPr>
          <w:rFonts w:ascii="宋体" w:hAnsi="宋体"/>
          <w:b w:val="0"/>
          <w:i w:val="0"/>
          <w:sz w:val="24"/>
        </w:rPr>
        <w:t xml:space="preserve">Cai, H., Ren, K., Zhang, W., Malber, K., Wang, J., Yu, Y., &amp; He, D. (2017). Real-time bidding by reinforcement learning in display advertising. </w:t>
      </w:r>
      <w:r>
        <w:rPr>
          <w:rFonts w:ascii="宋体" w:hAnsi="宋体"/>
          <w:b w:val="0"/>
          <w:i/>
          <w:sz w:val="24"/>
        </w:rPr>
        <w:t>Proceedings of the 10th ACM International Conference on Web Search and Data Mining</w:t>
      </w:r>
      <w:r>
        <w:rPr>
          <w:rFonts w:ascii="宋体" w:hAnsi="宋体"/>
          <w:b w:val="0"/>
          <w:i w:val="0"/>
          <w:sz w:val="24"/>
        </w:rPr>
        <w:t>, 661-670.</w:t>
      </w:r>
    </w:p>
    <w:p>
      <w:pPr>
        <w:pStyle w:val="ListNumber"/>
        <w:spacing w:line="360" w:lineRule="auto"/>
      </w:pPr>
      <w:r>
        <w:rPr>
          <w:rFonts w:ascii="宋体" w:hAnsi="宋体"/>
          <w:b w:val="0"/>
          <w:i w:val="0"/>
          <w:sz w:val="24"/>
        </w:rPr>
        <w:t xml:space="preserve">Campbell, C., Sands, S., Ferraro, C., Tsao, H. Y., &amp; Mavrommatis, A. (2020). From data to action: How marketers can leverage AI. </w:t>
      </w:r>
      <w:r>
        <w:rPr>
          <w:rFonts w:ascii="宋体" w:hAnsi="宋体"/>
          <w:b w:val="0"/>
          <w:i/>
          <w:sz w:val="24"/>
        </w:rPr>
        <w:t>Business Horizons</w:t>
      </w:r>
      <w:r>
        <w:rPr>
          <w:rFonts w:ascii="宋体" w:hAnsi="宋体"/>
          <w:b w:val="0"/>
          <w:i w:val="0"/>
          <w:sz w:val="24"/>
        </w:rPr>
        <w:t>, 63(2), 227-243.</w:t>
      </w:r>
    </w:p>
    <w:p>
      <w:pPr>
        <w:pStyle w:val="ListNumber"/>
        <w:spacing w:line="360" w:lineRule="auto"/>
      </w:pPr>
      <w:r>
        <w:rPr>
          <w:rFonts w:ascii="宋体" w:hAnsi="宋体"/>
          <w:b w:val="0"/>
          <w:i w:val="0"/>
          <w:sz w:val="24"/>
        </w:rPr>
        <w:t xml:space="preserve">Chamberlain, B. P., Cardoso, A., Liu, C. H., Pagliari, R., &amp; Sherr, M. (2017). Customer lifetime value prediction using embeddings. </w:t>
      </w:r>
      <w:r>
        <w:rPr>
          <w:rFonts w:ascii="宋体" w:hAnsi="宋体"/>
          <w:b w:val="0"/>
          <w:i/>
          <w:sz w:val="24"/>
        </w:rPr>
        <w:t>Proceedings of the 23rd ACM SIGKDD International Conference on Knowledge Discovery and Data Mining</w:t>
      </w:r>
      <w:r>
        <w:rPr>
          <w:rFonts w:ascii="宋体" w:hAnsi="宋体"/>
          <w:b w:val="0"/>
          <w:i w:val="0"/>
          <w:sz w:val="24"/>
        </w:rPr>
        <w:t>, 1753-1762.</w:t>
      </w:r>
    </w:p>
    <w:p>
      <w:pPr>
        <w:pStyle w:val="ListNumber"/>
        <w:spacing w:line="360" w:lineRule="auto"/>
      </w:pPr>
      <w:r>
        <w:rPr>
          <w:rFonts w:ascii="宋体" w:hAnsi="宋体"/>
          <w:b w:val="0"/>
          <w:i w:val="0"/>
          <w:sz w:val="24"/>
        </w:rPr>
        <w:t xml:space="preserve">Chen, T., &amp; Guestrin, C. (2016). XGBoost: A scalable tree boosting system. </w:t>
      </w:r>
      <w:r>
        <w:rPr>
          <w:rFonts w:ascii="宋体" w:hAnsi="宋体"/>
          <w:b w:val="0"/>
          <w:i/>
          <w:sz w:val="24"/>
        </w:rPr>
        <w:t>Proceedings of the 22nd ACM SIGKDD International Conference on Knowledge Discovery and Data Mining</w:t>
      </w:r>
      <w:r>
        <w:rPr>
          <w:rFonts w:ascii="宋体" w:hAnsi="宋体"/>
          <w:b w:val="0"/>
          <w:i w:val="0"/>
          <w:sz w:val="24"/>
        </w:rPr>
        <w:t>, 785-794.</w:t>
      </w:r>
    </w:p>
    <w:p>
      <w:pPr>
        <w:pStyle w:val="ListNumber"/>
        <w:spacing w:line="360" w:lineRule="auto"/>
      </w:pPr>
      <w:r>
        <w:rPr>
          <w:rFonts w:ascii="宋体" w:hAnsi="宋体"/>
          <w:b w:val="0"/>
          <w:i w:val="0"/>
          <w:sz w:val="24"/>
        </w:rPr>
        <w:t xml:space="preserve">Cheng, H. T., Koc, L., Harmsen, J., Shaked, T., Chandra, T., et al. (2016). Wide &amp; deep learning for recommender systems. </w:t>
      </w:r>
      <w:r>
        <w:rPr>
          <w:rFonts w:ascii="宋体" w:hAnsi="宋体"/>
          <w:b w:val="0"/>
          <w:i/>
          <w:sz w:val="24"/>
        </w:rPr>
        <w:t>Proceedings of the 1st Workshop on Deep Learning for Recommender Systems</w:t>
      </w:r>
      <w:r>
        <w:rPr>
          <w:rFonts w:ascii="宋体" w:hAnsi="宋体"/>
          <w:b w:val="0"/>
          <w:i w:val="0"/>
          <w:sz w:val="24"/>
        </w:rPr>
        <w:t>, 7-10.</w:t>
      </w:r>
    </w:p>
    <w:p>
      <w:pPr>
        <w:pStyle w:val="ListNumber"/>
        <w:spacing w:line="360" w:lineRule="auto"/>
      </w:pPr>
      <w:r>
        <w:rPr>
          <w:rFonts w:ascii="宋体" w:hAnsi="宋体"/>
          <w:b w:val="0"/>
          <w:i w:val="0"/>
          <w:sz w:val="24"/>
        </w:rPr>
        <w:t xml:space="preserve">Chernozhukov, V., Chetverikov, D., Demirer, M., Duflo, E., Hansen, C., Newey, W., &amp; Robins, J. (2018). Double/debiased machine learning for treatment and structural parameters. </w:t>
      </w:r>
      <w:r>
        <w:rPr>
          <w:rFonts w:ascii="宋体" w:hAnsi="宋体"/>
          <w:b w:val="0"/>
          <w:i/>
          <w:sz w:val="24"/>
        </w:rPr>
        <w:t>The Econometrics Journal</w:t>
      </w:r>
      <w:r>
        <w:rPr>
          <w:rFonts w:ascii="宋体" w:hAnsi="宋体"/>
          <w:b w:val="0"/>
          <w:i w:val="0"/>
          <w:sz w:val="24"/>
        </w:rPr>
        <w:t>, 21(1), C1-C68.</w:t>
      </w:r>
    </w:p>
    <w:p>
      <w:pPr>
        <w:pStyle w:val="ListNumber"/>
        <w:spacing w:line="360" w:lineRule="auto"/>
      </w:pPr>
      <w:r>
        <w:rPr>
          <w:rFonts w:ascii="宋体" w:hAnsi="宋体"/>
          <w:b w:val="0"/>
          <w:i w:val="0"/>
          <w:sz w:val="24"/>
        </w:rPr>
        <w:t xml:space="preserve">Chintagunta, P. K., Hanssens, D. M., &amp; Hauser, J. R. (2016). Marketing science and big data. </w:t>
      </w:r>
      <w:r>
        <w:rPr>
          <w:rFonts w:ascii="宋体" w:hAnsi="宋体"/>
          <w:b w:val="0"/>
          <w:i/>
          <w:sz w:val="24"/>
        </w:rPr>
        <w:t>Marketing Science</w:t>
      </w:r>
      <w:r>
        <w:rPr>
          <w:rFonts w:ascii="宋体" w:hAnsi="宋体"/>
          <w:b w:val="0"/>
          <w:i w:val="0"/>
          <w:sz w:val="24"/>
        </w:rPr>
        <w:t>, 35(3), 341-342.</w:t>
      </w:r>
    </w:p>
    <w:p>
      <w:pPr>
        <w:pStyle w:val="ListNumber"/>
        <w:spacing w:line="360" w:lineRule="auto"/>
      </w:pPr>
      <w:r>
        <w:rPr>
          <w:rFonts w:ascii="宋体" w:hAnsi="宋体"/>
          <w:b w:val="0"/>
          <w:i w:val="0"/>
          <w:sz w:val="24"/>
        </w:rPr>
        <w:t xml:space="preserve">Choi, H., Mela, C. F., Balseiro, S. R., &amp; Leary, A. (2020). Online display advertising markets: A literature review and future directions. </w:t>
      </w:r>
      <w:r>
        <w:rPr>
          <w:rFonts w:ascii="宋体" w:hAnsi="宋体"/>
          <w:b w:val="0"/>
          <w:i/>
          <w:sz w:val="24"/>
        </w:rPr>
        <w:t>Information Systems Research</w:t>
      </w:r>
      <w:r>
        <w:rPr>
          <w:rFonts w:ascii="宋体" w:hAnsi="宋体"/>
          <w:b w:val="0"/>
          <w:i w:val="0"/>
          <w:sz w:val="24"/>
        </w:rPr>
        <w:t>, 31(2), 556-575.</w:t>
      </w:r>
    </w:p>
    <w:p>
      <w:pPr>
        <w:pStyle w:val="ListNumber"/>
        <w:spacing w:line="360" w:lineRule="auto"/>
      </w:pPr>
      <w:r>
        <w:rPr>
          <w:rFonts w:ascii="宋体" w:hAnsi="宋体"/>
          <w:b w:val="0"/>
          <w:i w:val="0"/>
          <w:sz w:val="24"/>
        </w:rPr>
        <w:t xml:space="preserve">Christen, P. (2012). </w:t>
      </w:r>
      <w:r>
        <w:rPr>
          <w:rFonts w:ascii="宋体" w:hAnsi="宋体"/>
          <w:b w:val="0"/>
          <w:i/>
          <w:sz w:val="24"/>
        </w:rPr>
        <w:t>Data matching: Concepts and techniques for record linkage, entity resolution, and duplicate detection</w:t>
      </w:r>
      <w:r>
        <w:rPr>
          <w:rFonts w:ascii="宋体" w:hAnsi="宋体"/>
          <w:b w:val="0"/>
          <w:i w:val="0"/>
          <w:sz w:val="24"/>
        </w:rPr>
        <w:t>. Springer.</w:t>
      </w:r>
    </w:p>
    <w:p>
      <w:pPr>
        <w:pStyle w:val="ListNumber"/>
        <w:spacing w:line="360" w:lineRule="auto"/>
      </w:pPr>
      <w:r>
        <w:rPr>
          <w:rFonts w:ascii="宋体" w:hAnsi="宋体"/>
          <w:b w:val="0"/>
          <w:i w:val="0"/>
          <w:sz w:val="24"/>
        </w:rPr>
        <w:t xml:space="preserve">Dalessandro, B., Perlich, C., Stitelman, O., &amp; Provost, F. (2012). Causally motivated attribution for online advertising. </w:t>
      </w:r>
      <w:r>
        <w:rPr>
          <w:rFonts w:ascii="宋体" w:hAnsi="宋体"/>
          <w:b w:val="0"/>
          <w:i/>
          <w:sz w:val="24"/>
        </w:rPr>
        <w:t>Proceedings of the 6th International Workshop on Data Mining for Online Advertising</w:t>
      </w:r>
      <w:r>
        <w:rPr>
          <w:rFonts w:ascii="宋体" w:hAnsi="宋体"/>
          <w:b w:val="0"/>
          <w:i w:val="0"/>
          <w:sz w:val="24"/>
        </w:rPr>
        <w:t>, 1-9.</w:t>
      </w:r>
    </w:p>
    <w:p>
      <w:pPr>
        <w:pStyle w:val="ListNumber"/>
        <w:spacing w:line="360" w:lineRule="auto"/>
      </w:pPr>
      <w:r>
        <w:rPr>
          <w:rFonts w:ascii="宋体" w:hAnsi="宋体"/>
          <w:b w:val="0"/>
          <w:i w:val="0"/>
          <w:sz w:val="24"/>
        </w:rPr>
        <w:t xml:space="preserve">Davenport, T., Guha, A., Grewal, D., &amp; Bressgott, T. (2020). How artificial intelligence will change the future of marketing. </w:t>
      </w:r>
      <w:r>
        <w:rPr>
          <w:rFonts w:ascii="宋体" w:hAnsi="宋体"/>
          <w:b w:val="0"/>
          <w:i/>
          <w:sz w:val="24"/>
        </w:rPr>
        <w:t>Journal of the Academy of Marketing Science</w:t>
      </w:r>
      <w:r>
        <w:rPr>
          <w:rFonts w:ascii="宋体" w:hAnsi="宋体"/>
          <w:b w:val="0"/>
          <w:i w:val="0"/>
          <w:sz w:val="24"/>
        </w:rPr>
        <w:t>, 48(1), 24-42.</w:t>
      </w:r>
    </w:p>
    <w:p>
      <w:pPr>
        <w:pStyle w:val="ListNumber"/>
        <w:spacing w:line="360" w:lineRule="auto"/>
      </w:pPr>
      <w:r>
        <w:rPr>
          <w:rFonts w:ascii="宋体" w:hAnsi="宋体"/>
          <w:b w:val="0"/>
          <w:i w:val="0"/>
          <w:sz w:val="24"/>
        </w:rPr>
        <w:t xml:space="preserve">De Veirman, M., Cauberghe, V., &amp; Hudders, L. (2017). Marketing through Instagram influencers: The impact of number of followers and product divergence on brand attitude. </w:t>
      </w:r>
      <w:r>
        <w:rPr>
          <w:rFonts w:ascii="宋体" w:hAnsi="宋体"/>
          <w:b w:val="0"/>
          <w:i/>
          <w:sz w:val="24"/>
        </w:rPr>
        <w:t>International Journal of Advertising</w:t>
      </w:r>
      <w:r>
        <w:rPr>
          <w:rFonts w:ascii="宋体" w:hAnsi="宋体"/>
          <w:b w:val="0"/>
          <w:i w:val="0"/>
          <w:sz w:val="24"/>
        </w:rPr>
        <w:t>, 36(5), 798-828.</w:t>
      </w:r>
    </w:p>
    <w:p>
      <w:pPr>
        <w:pStyle w:val="ListNumber"/>
        <w:spacing w:line="360" w:lineRule="auto"/>
      </w:pPr>
      <w:r>
        <w:rPr>
          <w:rFonts w:ascii="宋体" w:hAnsi="宋体"/>
          <w:b w:val="0"/>
          <w:i w:val="0"/>
          <w:sz w:val="24"/>
        </w:rPr>
        <w:t xml:space="preserve">den Boer, A. V. (2015). Dynamic pricing and learning: Historical origins, current research, and new directions. </w:t>
      </w:r>
      <w:r>
        <w:rPr>
          <w:rFonts w:ascii="宋体" w:hAnsi="宋体"/>
          <w:b w:val="0"/>
          <w:i/>
          <w:sz w:val="24"/>
        </w:rPr>
        <w:t>Surveys in Operations Research and Management Science</w:t>
      </w:r>
      <w:r>
        <w:rPr>
          <w:rFonts w:ascii="宋体" w:hAnsi="宋体"/>
          <w:b w:val="0"/>
          <w:i w:val="0"/>
          <w:sz w:val="24"/>
        </w:rPr>
        <w:t>, 20(1), 1-18.</w:t>
      </w:r>
    </w:p>
    <w:p>
      <w:pPr>
        <w:pStyle w:val="ListNumber"/>
        <w:spacing w:line="360" w:lineRule="auto"/>
      </w:pPr>
      <w:r>
        <w:rPr>
          <w:rFonts w:ascii="宋体" w:hAnsi="宋体"/>
          <w:b w:val="0"/>
          <w:i w:val="0"/>
          <w:sz w:val="24"/>
        </w:rPr>
        <w:t xml:space="preserve">Devlin, J., Chang, M. W., Lee, K., &amp; Toutanova, K. (2019). BERT: Pre-training of deep bidirectional transformers for language understanding. </w:t>
      </w:r>
      <w:r>
        <w:rPr>
          <w:rFonts w:ascii="宋体" w:hAnsi="宋体"/>
          <w:b w:val="0"/>
          <w:i/>
          <w:sz w:val="24"/>
        </w:rPr>
        <w:t>Proceedings of NAACL-HLT</w:t>
      </w:r>
      <w:r>
        <w:rPr>
          <w:rFonts w:ascii="宋体" w:hAnsi="宋体"/>
          <w:b w:val="0"/>
          <w:i w:val="0"/>
          <w:sz w:val="24"/>
        </w:rPr>
        <w:t>, 4171-4186.</w:t>
      </w:r>
    </w:p>
    <w:p>
      <w:pPr>
        <w:pStyle w:val="ListNumber"/>
        <w:spacing w:line="360" w:lineRule="auto"/>
      </w:pPr>
      <w:r>
        <w:rPr>
          <w:rFonts w:ascii="宋体" w:hAnsi="宋体"/>
          <w:b w:val="0"/>
          <w:i w:val="0"/>
          <w:sz w:val="24"/>
        </w:rPr>
        <w:t xml:space="preserve">Devriendt, F., Moldovan, D., &amp; Verbeke, W. (2018). A literature survey and experimental evaluation of the state-of-the-art in uplift modeling. </w:t>
      </w:r>
      <w:r>
        <w:rPr>
          <w:rFonts w:ascii="宋体" w:hAnsi="宋体"/>
          <w:b w:val="0"/>
          <w:i/>
          <w:sz w:val="24"/>
        </w:rPr>
        <w:t>Journal of Big Data</w:t>
      </w:r>
      <w:r>
        <w:rPr>
          <w:rFonts w:ascii="宋体" w:hAnsi="宋体"/>
          <w:b w:val="0"/>
          <w:i w:val="0"/>
          <w:sz w:val="24"/>
        </w:rPr>
        <w:t>, 5(1), 1-20.</w:t>
      </w:r>
    </w:p>
    <w:p>
      <w:pPr>
        <w:pStyle w:val="ListNumber"/>
        <w:spacing w:line="360" w:lineRule="auto"/>
      </w:pPr>
      <w:r>
        <w:rPr>
          <w:rFonts w:ascii="宋体" w:hAnsi="宋体"/>
          <w:b w:val="0"/>
          <w:i w:val="0"/>
          <w:sz w:val="24"/>
        </w:rPr>
        <w:t xml:space="preserve">Dolnicar, S., &amp; Leisch, F. (2010). Evaluation of structure and reproducibility of cluster solutions using the bootstrap. </w:t>
      </w:r>
      <w:r>
        <w:rPr>
          <w:rFonts w:ascii="宋体" w:hAnsi="宋体"/>
          <w:b w:val="0"/>
          <w:i/>
          <w:sz w:val="24"/>
        </w:rPr>
        <w:t>Marketing Letters</w:t>
      </w:r>
      <w:r>
        <w:rPr>
          <w:rFonts w:ascii="宋体" w:hAnsi="宋体"/>
          <w:b w:val="0"/>
          <w:i w:val="0"/>
          <w:sz w:val="24"/>
        </w:rPr>
        <w:t>, 21(1), 83-101.</w:t>
      </w:r>
    </w:p>
    <w:p>
      <w:pPr>
        <w:pStyle w:val="ListNumber"/>
        <w:spacing w:line="360" w:lineRule="auto"/>
      </w:pPr>
      <w:r>
        <w:rPr>
          <w:rFonts w:ascii="宋体" w:hAnsi="宋体"/>
          <w:b w:val="0"/>
          <w:i w:val="0"/>
          <w:sz w:val="24"/>
        </w:rPr>
        <w:t xml:space="preserve">Dosovitskiy, A., Beyer, L., Kolesnikov, A., Weissenbruch, D., Zhai, X., et al. (2020). An image is worth 16x16 words: Transformers for image recognition at scale. </w:t>
      </w:r>
      <w:r>
        <w:rPr>
          <w:rFonts w:ascii="宋体" w:hAnsi="宋体"/>
          <w:b w:val="0"/>
          <w:i/>
          <w:sz w:val="24"/>
        </w:rPr>
        <w:t>Proceedings of ICLR 2021</w:t>
      </w:r>
      <w:r>
        <w:rPr>
          <w:rFonts w:ascii="宋体" w:hAnsi="宋体"/>
          <w:b w:val="0"/>
          <w:i w:val="0"/>
          <w:sz w:val="24"/>
        </w:rPr>
        <w:t>.</w:t>
      </w:r>
    </w:p>
    <w:p>
      <w:pPr>
        <w:pStyle w:val="ListNumber"/>
        <w:spacing w:line="360" w:lineRule="auto"/>
      </w:pPr>
      <w:r>
        <w:rPr>
          <w:rFonts w:ascii="宋体" w:hAnsi="宋体"/>
          <w:b w:val="0"/>
          <w:i w:val="0"/>
          <w:sz w:val="24"/>
        </w:rPr>
        <w:t xml:space="preserve">Fader, P. S., Hardie, B. G., &amp; Lee, K. L. (2005). RFM and CLV: Using iso-value curves for customer base analysis. </w:t>
      </w:r>
      <w:r>
        <w:rPr>
          <w:rFonts w:ascii="宋体" w:hAnsi="宋体"/>
          <w:b w:val="0"/>
          <w:i/>
          <w:sz w:val="24"/>
        </w:rPr>
        <w:t>Journal of Marketing Research</w:t>
      </w:r>
      <w:r>
        <w:rPr>
          <w:rFonts w:ascii="宋体" w:hAnsi="宋体"/>
          <w:b w:val="0"/>
          <w:i w:val="0"/>
          <w:sz w:val="24"/>
        </w:rPr>
        <w:t>, 42(4), 415-430.</w:t>
      </w:r>
    </w:p>
    <w:p>
      <w:pPr>
        <w:pStyle w:val="ListNumber"/>
        <w:spacing w:line="360" w:lineRule="auto"/>
      </w:pPr>
      <w:r>
        <w:rPr>
          <w:rFonts w:ascii="宋体" w:hAnsi="宋体"/>
          <w:b w:val="0"/>
          <w:i w:val="0"/>
          <w:sz w:val="24"/>
        </w:rPr>
        <w:t xml:space="preserve">Goodfellow, I., Bengio, Y., &amp; Courville, A. (2016). </w:t>
      </w:r>
      <w:r>
        <w:rPr>
          <w:rFonts w:ascii="宋体" w:hAnsi="宋体"/>
          <w:b w:val="0"/>
          <w:i/>
          <w:sz w:val="24"/>
        </w:rPr>
        <w:t>Deep learning</w:t>
      </w:r>
      <w:r>
        <w:rPr>
          <w:rFonts w:ascii="宋体" w:hAnsi="宋体"/>
          <w:b w:val="0"/>
          <w:i w:val="0"/>
          <w:sz w:val="24"/>
        </w:rPr>
        <w:t>. MIT Press.</w:t>
      </w:r>
    </w:p>
    <w:p>
      <w:pPr>
        <w:pStyle w:val="ListNumber"/>
        <w:spacing w:line="360" w:lineRule="auto"/>
      </w:pPr>
      <w:r>
        <w:rPr>
          <w:rFonts w:ascii="宋体" w:hAnsi="宋体"/>
          <w:b w:val="0"/>
          <w:i w:val="0"/>
          <w:sz w:val="24"/>
        </w:rPr>
        <w:t xml:space="preserve">Guadagni, P. M., &amp; Little, J. D. C. (1983). A logit model of brand choice calibrated on scanner data. </w:t>
      </w:r>
      <w:r>
        <w:rPr>
          <w:rFonts w:ascii="宋体" w:hAnsi="宋体"/>
          <w:b w:val="0"/>
          <w:i/>
          <w:sz w:val="24"/>
        </w:rPr>
        <w:t>Marketing Science</w:t>
      </w:r>
      <w:r>
        <w:rPr>
          <w:rFonts w:ascii="宋体" w:hAnsi="宋体"/>
          <w:b w:val="0"/>
          <w:i w:val="0"/>
          <w:sz w:val="24"/>
        </w:rPr>
        <w:t>, 2(3), 203-238.</w:t>
      </w:r>
    </w:p>
    <w:p>
      <w:pPr>
        <w:pStyle w:val="ListNumber"/>
        <w:spacing w:line="360" w:lineRule="auto"/>
      </w:pPr>
      <w:r>
        <w:rPr>
          <w:rFonts w:ascii="宋体" w:hAnsi="宋体"/>
          <w:b w:val="0"/>
          <w:i w:val="0"/>
          <w:sz w:val="24"/>
        </w:rPr>
        <w:t xml:space="preserve">Guo, H., Tang, R., Ye, Y., Li, Z., &amp; He, X. (2017). DeepFM: A factorization-machine based neural network for CTR prediction. </w:t>
      </w:r>
      <w:r>
        <w:rPr>
          <w:rFonts w:ascii="宋体" w:hAnsi="宋体"/>
          <w:b w:val="0"/>
          <w:i/>
          <w:sz w:val="24"/>
        </w:rPr>
        <w:t>Proceedings of the 26th International Joint Conference on Artificial Intelligence</w:t>
      </w:r>
      <w:r>
        <w:rPr>
          <w:rFonts w:ascii="宋体" w:hAnsi="宋体"/>
          <w:b w:val="0"/>
          <w:i w:val="0"/>
          <w:sz w:val="24"/>
        </w:rPr>
        <w:t>, 1725-1731.</w:t>
      </w:r>
    </w:p>
    <w:p>
      <w:pPr>
        <w:pStyle w:val="ListNumber"/>
        <w:spacing w:line="360" w:lineRule="auto"/>
      </w:pPr>
      <w:r>
        <w:rPr>
          <w:rFonts w:ascii="宋体" w:hAnsi="宋体"/>
          <w:b w:val="0"/>
          <w:i w:val="0"/>
          <w:sz w:val="24"/>
        </w:rPr>
        <w:t xml:space="preserve">Hidasi, B., Karatzoglou, A., Baltrunas, L., &amp; Tikk, D. (2016). Session-based recommendations with recurrent neural networks. </w:t>
      </w:r>
      <w:r>
        <w:rPr>
          <w:rFonts w:ascii="宋体" w:hAnsi="宋体"/>
          <w:b w:val="0"/>
          <w:i/>
          <w:sz w:val="24"/>
        </w:rPr>
        <w:t>Proceedings of ICLR 2016</w:t>
      </w:r>
      <w:r>
        <w:rPr>
          <w:rFonts w:ascii="宋体" w:hAnsi="宋体"/>
          <w:b w:val="0"/>
          <w:i w:val="0"/>
          <w:sz w:val="24"/>
        </w:rPr>
        <w:t>.</w:t>
      </w:r>
    </w:p>
    <w:p>
      <w:pPr>
        <w:pStyle w:val="ListNumber"/>
        <w:spacing w:line="360" w:lineRule="auto"/>
      </w:pPr>
      <w:r>
        <w:rPr>
          <w:rFonts w:ascii="宋体" w:hAnsi="宋体"/>
          <w:b w:val="0"/>
          <w:i w:val="0"/>
          <w:sz w:val="24"/>
        </w:rPr>
        <w:t xml:space="preserve">Hochreiter, S., &amp; Schmidhuber, J. (1997). Long short-term memory. </w:t>
      </w:r>
      <w:r>
        <w:rPr>
          <w:rFonts w:ascii="宋体" w:hAnsi="宋体"/>
          <w:b w:val="0"/>
          <w:i/>
          <w:sz w:val="24"/>
        </w:rPr>
        <w:t>Neural Computation</w:t>
      </w:r>
      <w:r>
        <w:rPr>
          <w:rFonts w:ascii="宋体" w:hAnsi="宋体"/>
          <w:b w:val="0"/>
          <w:i w:val="0"/>
          <w:sz w:val="24"/>
        </w:rPr>
        <w:t>, 9(8), 1735-1780.</w:t>
      </w:r>
    </w:p>
    <w:p>
      <w:pPr>
        <w:pStyle w:val="ListNumber"/>
        <w:spacing w:line="360" w:lineRule="auto"/>
      </w:pPr>
      <w:r>
        <w:rPr>
          <w:rFonts w:ascii="宋体" w:hAnsi="宋体"/>
          <w:b w:val="0"/>
          <w:i w:val="0"/>
          <w:sz w:val="24"/>
        </w:rPr>
        <w:t xml:space="preserve">Huang, M. H., &amp; Rust, R. T. (2018). Artificial intelligence in service. </w:t>
      </w:r>
      <w:r>
        <w:rPr>
          <w:rFonts w:ascii="宋体" w:hAnsi="宋体"/>
          <w:b w:val="0"/>
          <w:i/>
          <w:sz w:val="24"/>
        </w:rPr>
        <w:t>Journal of Service Research</w:t>
      </w:r>
      <w:r>
        <w:rPr>
          <w:rFonts w:ascii="宋体" w:hAnsi="宋体"/>
          <w:b w:val="0"/>
          <w:i w:val="0"/>
          <w:sz w:val="24"/>
        </w:rPr>
        <w:t>, 21(2), 155-172.</w:t>
      </w:r>
    </w:p>
    <w:p>
      <w:pPr>
        <w:pStyle w:val="ListNumber"/>
        <w:spacing w:line="360" w:lineRule="auto"/>
      </w:pPr>
      <w:r>
        <w:rPr>
          <w:rFonts w:ascii="宋体" w:hAnsi="宋体"/>
          <w:b w:val="0"/>
          <w:i w:val="0"/>
          <w:sz w:val="24"/>
        </w:rPr>
        <w:t xml:space="preserve">Huang, M. H., &amp; Rust, R. T. (2021). A strategic framework for artificial intelligence in marketing. </w:t>
      </w:r>
      <w:r>
        <w:rPr>
          <w:rFonts w:ascii="宋体" w:hAnsi="宋体"/>
          <w:b w:val="0"/>
          <w:i/>
          <w:sz w:val="24"/>
        </w:rPr>
        <w:t>Journal of the Academy of Marketing Science</w:t>
      </w:r>
      <w:r>
        <w:rPr>
          <w:rFonts w:ascii="宋体" w:hAnsi="宋体"/>
          <w:b w:val="0"/>
          <w:i w:val="0"/>
          <w:sz w:val="24"/>
        </w:rPr>
        <w:t>, 49(1), 30-50.</w:t>
      </w:r>
    </w:p>
    <w:p>
      <w:pPr>
        <w:pStyle w:val="ListNumber"/>
        <w:spacing w:line="360" w:lineRule="auto"/>
      </w:pPr>
      <w:r>
        <w:rPr>
          <w:rFonts w:ascii="宋体" w:hAnsi="宋体"/>
          <w:b w:val="0"/>
          <w:i w:val="0"/>
          <w:sz w:val="24"/>
        </w:rPr>
        <w:t xml:space="preserve">Jin, Y., Wang, Y., Sun, Y., Chan, D., &amp; Koehler, J. (2017). Bayesian methods for media mix modeling with carryover and shape effects. </w:t>
      </w:r>
      <w:r>
        <w:rPr>
          <w:rFonts w:ascii="宋体" w:hAnsi="宋体"/>
          <w:b w:val="0"/>
          <w:i/>
          <w:sz w:val="24"/>
        </w:rPr>
        <w:t>Google Technical Report</w:t>
      </w:r>
      <w:r>
        <w:rPr>
          <w:rFonts w:ascii="宋体" w:hAnsi="宋体"/>
          <w:b w:val="0"/>
          <w:i w:val="0"/>
          <w:sz w:val="24"/>
        </w:rPr>
        <w:t>.</w:t>
      </w:r>
    </w:p>
    <w:p>
      <w:pPr>
        <w:pStyle w:val="ListNumber"/>
        <w:spacing w:line="360" w:lineRule="auto"/>
      </w:pPr>
      <w:r>
        <w:rPr>
          <w:rFonts w:ascii="宋体" w:hAnsi="宋体"/>
          <w:b w:val="0"/>
          <w:i w:val="0"/>
          <w:sz w:val="24"/>
        </w:rPr>
        <w:t xml:space="preserve">Kingma, D. P., &amp; Welling, M. (2014). Auto-encoding variational Bayes. </w:t>
      </w:r>
      <w:r>
        <w:rPr>
          <w:rFonts w:ascii="宋体" w:hAnsi="宋体"/>
          <w:b w:val="0"/>
          <w:i/>
          <w:sz w:val="24"/>
        </w:rPr>
        <w:t>Proceedings of ICLR 2014</w:t>
      </w:r>
      <w:r>
        <w:rPr>
          <w:rFonts w:ascii="宋体" w:hAnsi="宋体"/>
          <w:b w:val="0"/>
          <w:i w:val="0"/>
          <w:sz w:val="24"/>
        </w:rPr>
        <w:t>.</w:t>
      </w:r>
    </w:p>
    <w:p>
      <w:pPr>
        <w:pStyle w:val="ListNumber"/>
        <w:spacing w:line="360" w:lineRule="auto"/>
      </w:pPr>
      <w:r>
        <w:rPr>
          <w:rFonts w:ascii="宋体" w:hAnsi="宋体"/>
          <w:b w:val="0"/>
          <w:i w:val="0"/>
          <w:sz w:val="24"/>
        </w:rPr>
        <w:t xml:space="preserve">Koren, Y., Bell, R., &amp; Volinsky, C. (2009). Matrix factorization techniques for recommender systems. </w:t>
      </w:r>
      <w:r>
        <w:rPr>
          <w:rFonts w:ascii="宋体" w:hAnsi="宋体"/>
          <w:b w:val="0"/>
          <w:i/>
          <w:sz w:val="24"/>
        </w:rPr>
        <w:t>Computer</w:t>
      </w:r>
      <w:r>
        <w:rPr>
          <w:rFonts w:ascii="宋体" w:hAnsi="宋体"/>
          <w:b w:val="0"/>
          <w:i w:val="0"/>
          <w:sz w:val="24"/>
        </w:rPr>
        <w:t>, 42(8), 30-37.</w:t>
      </w:r>
    </w:p>
    <w:p>
      <w:pPr>
        <w:pStyle w:val="ListNumber"/>
        <w:spacing w:line="360" w:lineRule="auto"/>
      </w:pPr>
      <w:r>
        <w:rPr>
          <w:rFonts w:ascii="宋体" w:hAnsi="宋体"/>
          <w:b w:val="0"/>
          <w:i w:val="0"/>
          <w:sz w:val="24"/>
        </w:rPr>
        <w:t xml:space="preserve">Kumar, V., Chattaraman, V., Neghina, C., Skiera, B., Aksoy, L., Buoye, A., &amp; Henseler, J. (2013). Data-driven services marketing in a connected world. </w:t>
      </w:r>
      <w:r>
        <w:rPr>
          <w:rFonts w:ascii="宋体" w:hAnsi="宋体"/>
          <w:b w:val="0"/>
          <w:i/>
          <w:sz w:val="24"/>
        </w:rPr>
        <w:t>Journal of Service Management</w:t>
      </w:r>
      <w:r>
        <w:rPr>
          <w:rFonts w:ascii="宋体" w:hAnsi="宋体"/>
          <w:b w:val="0"/>
          <w:i w:val="0"/>
          <w:sz w:val="24"/>
        </w:rPr>
        <w:t>, 24(3), 330-352.</w:t>
      </w:r>
    </w:p>
    <w:p>
      <w:pPr>
        <w:pStyle w:val="ListNumber"/>
        <w:spacing w:line="360" w:lineRule="auto"/>
      </w:pPr>
      <w:r>
        <w:rPr>
          <w:rFonts w:ascii="宋体" w:hAnsi="宋体"/>
          <w:b w:val="0"/>
          <w:i w:val="0"/>
          <w:sz w:val="24"/>
        </w:rPr>
        <w:t xml:space="preserve">Lambrecht, A., &amp; Tucker, C. (2019). Algorithmic bias? An empirical study of apparent gender-based discrimination in the display of STEM career ads. </w:t>
      </w:r>
      <w:r>
        <w:rPr>
          <w:rFonts w:ascii="宋体" w:hAnsi="宋体"/>
          <w:b w:val="0"/>
          <w:i/>
          <w:sz w:val="24"/>
        </w:rPr>
        <w:t>Management Science</w:t>
      </w:r>
      <w:r>
        <w:rPr>
          <w:rFonts w:ascii="宋体" w:hAnsi="宋体"/>
          <w:b w:val="0"/>
          <w:i w:val="0"/>
          <w:sz w:val="24"/>
        </w:rPr>
        <w:t>, 65(7), 2966-2981.</w:t>
      </w:r>
    </w:p>
    <w:p>
      <w:pPr>
        <w:pStyle w:val="ListNumber"/>
        <w:spacing w:line="360" w:lineRule="auto"/>
      </w:pPr>
      <w:r>
        <w:rPr>
          <w:rFonts w:ascii="宋体" w:hAnsi="宋体"/>
          <w:b w:val="0"/>
          <w:i w:val="0"/>
          <w:sz w:val="24"/>
        </w:rPr>
        <w:t xml:space="preserve">LeCun, Y., Bengio, Y., &amp; Hinton, G. (2015). Deep learning. </w:t>
      </w:r>
      <w:r>
        <w:rPr>
          <w:rFonts w:ascii="宋体" w:hAnsi="宋体"/>
          <w:b w:val="0"/>
          <w:i/>
          <w:sz w:val="24"/>
        </w:rPr>
        <w:t>Nature</w:t>
      </w:r>
      <w:r>
        <w:rPr>
          <w:rFonts w:ascii="宋体" w:hAnsi="宋体"/>
          <w:b w:val="0"/>
          <w:i w:val="0"/>
          <w:sz w:val="24"/>
        </w:rPr>
        <w:t>, 521(7553), 436-444.</w:t>
      </w:r>
    </w:p>
    <w:p>
      <w:pPr>
        <w:pStyle w:val="ListNumber"/>
        <w:spacing w:line="360" w:lineRule="auto"/>
      </w:pPr>
      <w:r>
        <w:rPr>
          <w:rFonts w:ascii="宋体" w:hAnsi="宋体"/>
          <w:b w:val="0"/>
          <w:i w:val="0"/>
          <w:sz w:val="24"/>
        </w:rPr>
        <w:t xml:space="preserve">Lessmann, S., Baesens, B., Seow, H. V., &amp; Thomas, L. C. (2015). Benchmarking state-of-the-art classification algorithms for credit scoring: An update of research. </w:t>
      </w:r>
      <w:r>
        <w:rPr>
          <w:rFonts w:ascii="宋体" w:hAnsi="宋体"/>
          <w:b w:val="0"/>
          <w:i/>
          <w:sz w:val="24"/>
        </w:rPr>
        <w:t>European Journal of Operational Research</w:t>
      </w:r>
      <w:r>
        <w:rPr>
          <w:rFonts w:ascii="宋体" w:hAnsi="宋体"/>
          <w:b w:val="0"/>
          <w:i w:val="0"/>
          <w:sz w:val="24"/>
        </w:rPr>
        <w:t>, 247(1), 124-136.</w:t>
      </w:r>
    </w:p>
    <w:p>
      <w:pPr>
        <w:pStyle w:val="ListNumber"/>
        <w:spacing w:line="360" w:lineRule="auto"/>
      </w:pPr>
      <w:r>
        <w:rPr>
          <w:rFonts w:ascii="宋体" w:hAnsi="宋体"/>
          <w:b w:val="0"/>
          <w:i w:val="0"/>
          <w:sz w:val="24"/>
        </w:rPr>
        <w:t xml:space="preserve">Li, L., Chu, W., Langford, J., &amp; Schapire, R. E. (2010). A contextual-bandit approach to personalized news article recommendation. </w:t>
      </w:r>
      <w:r>
        <w:rPr>
          <w:rFonts w:ascii="宋体" w:hAnsi="宋体"/>
          <w:b w:val="0"/>
          <w:i/>
          <w:sz w:val="24"/>
        </w:rPr>
        <w:t>Proceedings of the 19th International Conference on World Wide Web</w:t>
      </w:r>
      <w:r>
        <w:rPr>
          <w:rFonts w:ascii="宋体" w:hAnsi="宋体"/>
          <w:b w:val="0"/>
          <w:i w:val="0"/>
          <w:sz w:val="24"/>
        </w:rPr>
        <w:t>, 661-670.</w:t>
      </w:r>
    </w:p>
    <w:p>
      <w:pPr>
        <w:pStyle w:val="ListNumber"/>
        <w:spacing w:line="360" w:lineRule="auto"/>
      </w:pPr>
      <w:r>
        <w:rPr>
          <w:rFonts w:ascii="宋体" w:hAnsi="宋体"/>
          <w:b w:val="0"/>
          <w:i w:val="0"/>
          <w:sz w:val="24"/>
        </w:rPr>
        <w:t xml:space="preserve">Liu, L., Dzyabura, D., &amp; Mizik, N. (2020). Visual listening in: Extracting brand image portrayed on social media. </w:t>
      </w:r>
      <w:r>
        <w:rPr>
          <w:rFonts w:ascii="宋体" w:hAnsi="宋体"/>
          <w:b w:val="0"/>
          <w:i/>
          <w:sz w:val="24"/>
        </w:rPr>
        <w:t>Marketing Science</w:t>
      </w:r>
      <w:r>
        <w:rPr>
          <w:rFonts w:ascii="宋体" w:hAnsi="宋体"/>
          <w:b w:val="0"/>
          <w:i w:val="0"/>
          <w:sz w:val="24"/>
        </w:rPr>
        <w:t>, 39(4), 669-686.</w:t>
      </w:r>
    </w:p>
    <w:p>
      <w:pPr>
        <w:pStyle w:val="ListNumber"/>
        <w:spacing w:line="360" w:lineRule="auto"/>
      </w:pPr>
      <w:r>
        <w:rPr>
          <w:rFonts w:ascii="宋体" w:hAnsi="宋体"/>
          <w:b w:val="0"/>
          <w:i w:val="0"/>
          <w:sz w:val="24"/>
        </w:rPr>
        <w:t xml:space="preserve">Lundberg, S. M., &amp; Lee, S. I. (2017). A unified approach to interpreting model predictions. </w:t>
      </w:r>
      <w:r>
        <w:rPr>
          <w:rFonts w:ascii="宋体" w:hAnsi="宋体"/>
          <w:b w:val="0"/>
          <w:i/>
          <w:sz w:val="24"/>
        </w:rPr>
        <w:t>Advances in Neural Information Processing Systems</w:t>
      </w:r>
      <w:r>
        <w:rPr>
          <w:rFonts w:ascii="宋体" w:hAnsi="宋体"/>
          <w:b w:val="0"/>
          <w:i w:val="0"/>
          <w:sz w:val="24"/>
        </w:rPr>
        <w:t>, 30, 4765-4774.</w:t>
      </w:r>
    </w:p>
    <w:p>
      <w:pPr>
        <w:pStyle w:val="ListNumber"/>
        <w:spacing w:line="360" w:lineRule="auto"/>
      </w:pPr>
      <w:r>
        <w:rPr>
          <w:rFonts w:ascii="宋体" w:hAnsi="宋体"/>
          <w:b w:val="0"/>
          <w:i w:val="0"/>
          <w:sz w:val="24"/>
        </w:rPr>
        <w:t xml:space="preserve">Luo, X., Tong, S., Fang, Z., &amp; Qu, Z. (2019). Frontiers: Machines vs. humans: The impact of artificial intelligence chatbot disclosure on customer purchases. </w:t>
      </w:r>
      <w:r>
        <w:rPr>
          <w:rFonts w:ascii="宋体" w:hAnsi="宋体"/>
          <w:b w:val="0"/>
          <w:i/>
          <w:sz w:val="24"/>
        </w:rPr>
        <w:t>Marketing Science</w:t>
      </w:r>
      <w:r>
        <w:rPr>
          <w:rFonts w:ascii="宋体" w:hAnsi="宋体"/>
          <w:b w:val="0"/>
          <w:i w:val="0"/>
          <w:sz w:val="24"/>
        </w:rPr>
        <w:t>, 38(6), 937-947.</w:t>
      </w:r>
    </w:p>
    <w:p>
      <w:pPr>
        <w:pStyle w:val="ListNumber"/>
        <w:spacing w:line="360" w:lineRule="auto"/>
      </w:pPr>
      <w:r>
        <w:rPr>
          <w:rFonts w:ascii="宋体" w:hAnsi="宋体"/>
          <w:b w:val="0"/>
          <w:i w:val="0"/>
          <w:sz w:val="24"/>
        </w:rPr>
        <w:t xml:space="preserve">Ma, L., &amp; Sun, B. (2020). Machine learning and AI in marketing—Connecting computing power to human insights. </w:t>
      </w:r>
      <w:r>
        <w:rPr>
          <w:rFonts w:ascii="宋体" w:hAnsi="宋体"/>
          <w:b w:val="0"/>
          <w:i/>
          <w:sz w:val="24"/>
        </w:rPr>
        <w:t>International Journal of Research in Marketing</w:t>
      </w:r>
      <w:r>
        <w:rPr>
          <w:rFonts w:ascii="宋体" w:hAnsi="宋体"/>
          <w:b w:val="0"/>
          <w:i w:val="0"/>
          <w:sz w:val="24"/>
        </w:rPr>
        <w:t>, 37(3), 481-504.</w:t>
      </w:r>
    </w:p>
    <w:p>
      <w:pPr>
        <w:pStyle w:val="ListNumber"/>
        <w:spacing w:line="360" w:lineRule="auto"/>
      </w:pPr>
      <w:r>
        <w:rPr>
          <w:rFonts w:ascii="宋体" w:hAnsi="宋体"/>
          <w:b w:val="0"/>
          <w:i w:val="0"/>
          <w:sz w:val="24"/>
        </w:rPr>
        <w:t xml:space="preserve">Martin, K. D., &amp; Murphy, P. E. (2017). The role of data privacy in marketing. </w:t>
      </w:r>
      <w:r>
        <w:rPr>
          <w:rFonts w:ascii="宋体" w:hAnsi="宋体"/>
          <w:b w:val="0"/>
          <w:i/>
          <w:sz w:val="24"/>
        </w:rPr>
        <w:t>Journal of the Academy of Marketing Science</w:t>
      </w:r>
      <w:r>
        <w:rPr>
          <w:rFonts w:ascii="宋体" w:hAnsi="宋体"/>
          <w:b w:val="0"/>
          <w:i w:val="0"/>
          <w:sz w:val="24"/>
        </w:rPr>
        <w:t>, 45(2), 135-155.</w:t>
      </w:r>
    </w:p>
    <w:p>
      <w:pPr>
        <w:pStyle w:val="ListNumber"/>
        <w:spacing w:line="360" w:lineRule="auto"/>
      </w:pPr>
      <w:r>
        <w:rPr>
          <w:rFonts w:ascii="宋体" w:hAnsi="宋体"/>
          <w:b w:val="0"/>
          <w:i w:val="0"/>
          <w:sz w:val="24"/>
        </w:rPr>
        <w:t xml:space="preserve">Mitchell, T. M. (1997). </w:t>
      </w:r>
      <w:r>
        <w:rPr>
          <w:rFonts w:ascii="宋体" w:hAnsi="宋体"/>
          <w:b w:val="0"/>
          <w:i/>
          <w:sz w:val="24"/>
        </w:rPr>
        <w:t>Machine learning</w:t>
      </w:r>
      <w:r>
        <w:rPr>
          <w:rFonts w:ascii="宋体" w:hAnsi="宋体"/>
          <w:b w:val="0"/>
          <w:i w:val="0"/>
          <w:sz w:val="24"/>
        </w:rPr>
        <w:t>. McGraw-Hill.</w:t>
      </w:r>
    </w:p>
    <w:p>
      <w:pPr>
        <w:pStyle w:val="ListNumber"/>
        <w:spacing w:line="360" w:lineRule="auto"/>
      </w:pPr>
      <w:r>
        <w:rPr>
          <w:rFonts w:ascii="宋体" w:hAnsi="宋体"/>
          <w:b w:val="0"/>
          <w:i w:val="0"/>
          <w:sz w:val="24"/>
        </w:rPr>
        <w:t xml:space="preserve">Mustak, M., Salminen, J., Plé, L., &amp; Wirtz, J. (2021). Artificial intelligence in marketing: Topic modeling, scientometric analysis, and research agenda. </w:t>
      </w:r>
      <w:r>
        <w:rPr>
          <w:rFonts w:ascii="宋体" w:hAnsi="宋体"/>
          <w:b w:val="0"/>
          <w:i/>
          <w:sz w:val="24"/>
        </w:rPr>
        <w:t>Journal of Business Research</w:t>
      </w:r>
      <w:r>
        <w:rPr>
          <w:rFonts w:ascii="宋体" w:hAnsi="宋体"/>
          <w:b w:val="0"/>
          <w:i w:val="0"/>
          <w:sz w:val="24"/>
        </w:rPr>
        <w:t>, 124, 389-404.</w:t>
      </w:r>
    </w:p>
    <w:p>
      <w:pPr>
        <w:pStyle w:val="ListNumber"/>
        <w:spacing w:line="360" w:lineRule="auto"/>
      </w:pPr>
      <w:r>
        <w:rPr>
          <w:rFonts w:ascii="宋体" w:hAnsi="宋体"/>
          <w:b w:val="0"/>
          <w:i w:val="0"/>
          <w:sz w:val="24"/>
        </w:rPr>
        <w:t xml:space="preserve">Neslin, S. A., Gupta, S., Kamakura, W., Lu, J., &amp; Mason, C. H. (2006). Defection detection: Measuring and understanding the predictive accuracy of customer churn models. </w:t>
      </w:r>
      <w:r>
        <w:rPr>
          <w:rFonts w:ascii="宋体" w:hAnsi="宋体"/>
          <w:b w:val="0"/>
          <w:i/>
          <w:sz w:val="24"/>
        </w:rPr>
        <w:t>Journal of Marketing Research</w:t>
      </w:r>
      <w:r>
        <w:rPr>
          <w:rFonts w:ascii="宋体" w:hAnsi="宋体"/>
          <w:b w:val="0"/>
          <w:i w:val="0"/>
          <w:sz w:val="24"/>
        </w:rPr>
        <w:t>, 43(2), 204-211.</w:t>
      </w:r>
    </w:p>
    <w:p>
      <w:pPr>
        <w:pStyle w:val="ListNumber"/>
        <w:spacing w:line="360" w:lineRule="auto"/>
      </w:pPr>
      <w:r>
        <w:rPr>
          <w:rFonts w:ascii="宋体" w:hAnsi="宋体"/>
          <w:b w:val="0"/>
          <w:i w:val="0"/>
          <w:sz w:val="24"/>
        </w:rPr>
        <w:t xml:space="preserve">Ott, M., Choi, Y., Cardie, C., &amp; Hancock, J. T. (2011). Finding deceptive opinion spam by any stretch of the imagination. </w:t>
      </w:r>
      <w:r>
        <w:rPr>
          <w:rFonts w:ascii="宋体" w:hAnsi="宋体"/>
          <w:b w:val="0"/>
          <w:i/>
          <w:sz w:val="24"/>
        </w:rPr>
        <w:t>Proceedings of the 49th Annual Meeting of the Association for Computational Linguistics</w:t>
      </w:r>
      <w:r>
        <w:rPr>
          <w:rFonts w:ascii="宋体" w:hAnsi="宋体"/>
          <w:b w:val="0"/>
          <w:i w:val="0"/>
          <w:sz w:val="24"/>
        </w:rPr>
        <w:t>, 309-319.</w:t>
      </w:r>
    </w:p>
    <w:p>
      <w:pPr>
        <w:pStyle w:val="ListNumber"/>
        <w:spacing w:line="360" w:lineRule="auto"/>
      </w:pPr>
      <w:r>
        <w:rPr>
          <w:rFonts w:ascii="宋体" w:hAnsi="宋体"/>
          <w:b w:val="0"/>
          <w:i w:val="0"/>
          <w:sz w:val="24"/>
        </w:rPr>
        <w:t xml:space="preserve">Pang, B., &amp; Lee, L. (2008). Opinion mining and sentiment analysis. </w:t>
      </w:r>
      <w:r>
        <w:rPr>
          <w:rFonts w:ascii="宋体" w:hAnsi="宋体"/>
          <w:b w:val="0"/>
          <w:i/>
          <w:sz w:val="24"/>
        </w:rPr>
        <w:t>Foundations and Trends in Information Retrieval</w:t>
      </w:r>
      <w:r>
        <w:rPr>
          <w:rFonts w:ascii="宋体" w:hAnsi="宋体"/>
          <w:b w:val="0"/>
          <w:i w:val="0"/>
          <w:sz w:val="24"/>
        </w:rPr>
        <w:t>, 2(1-2), 1-135.</w:t>
      </w:r>
    </w:p>
    <w:p>
      <w:pPr>
        <w:pStyle w:val="ListNumber"/>
        <w:spacing w:line="360" w:lineRule="auto"/>
      </w:pPr>
      <w:r>
        <w:rPr>
          <w:rFonts w:ascii="宋体" w:hAnsi="宋体"/>
          <w:b w:val="0"/>
          <w:i w:val="0"/>
          <w:sz w:val="24"/>
        </w:rPr>
        <w:t xml:space="preserve">Pariser, E. (2011). </w:t>
      </w:r>
      <w:r>
        <w:rPr>
          <w:rFonts w:ascii="宋体" w:hAnsi="宋体"/>
          <w:b w:val="0"/>
          <w:i/>
          <w:sz w:val="24"/>
        </w:rPr>
        <w:t>The filter bubble: What the Internet is hiding from you</w:t>
      </w:r>
      <w:r>
        <w:rPr>
          <w:rFonts w:ascii="宋体" w:hAnsi="宋体"/>
          <w:b w:val="0"/>
          <w:i w:val="0"/>
          <w:sz w:val="24"/>
        </w:rPr>
        <w:t>. Penguin Press.</w:t>
      </w:r>
    </w:p>
    <w:p>
      <w:pPr>
        <w:pStyle w:val="ListNumber"/>
        <w:spacing w:line="360" w:lineRule="auto"/>
      </w:pPr>
      <w:r>
        <w:rPr>
          <w:rFonts w:ascii="宋体" w:hAnsi="宋体"/>
          <w:b w:val="0"/>
          <w:i w:val="0"/>
          <w:sz w:val="24"/>
        </w:rPr>
        <w:t xml:space="preserve">Pontiki, M., Galanis, D., Papageorgiou, H., Androutsopoulos, I., Manandhar, S., et al. (2016). SemEval-2016 task 5: Aspect based sentiment analysis. </w:t>
      </w:r>
      <w:r>
        <w:rPr>
          <w:rFonts w:ascii="宋体" w:hAnsi="宋体"/>
          <w:b w:val="0"/>
          <w:i/>
          <w:sz w:val="24"/>
        </w:rPr>
        <w:t>Proceedings of the 10th International Workshop on Semantic Evaluation</w:t>
      </w:r>
      <w:r>
        <w:rPr>
          <w:rFonts w:ascii="宋体" w:hAnsi="宋体"/>
          <w:b w:val="0"/>
          <w:i w:val="0"/>
          <w:sz w:val="24"/>
        </w:rPr>
        <w:t>, 19-30.</w:t>
      </w:r>
    </w:p>
    <w:p>
      <w:pPr>
        <w:pStyle w:val="ListNumber"/>
        <w:spacing w:line="360" w:lineRule="auto"/>
      </w:pPr>
      <w:r>
        <w:rPr>
          <w:rFonts w:ascii="宋体" w:hAnsi="宋体"/>
          <w:b w:val="0"/>
          <w:i w:val="0"/>
          <w:sz w:val="24"/>
        </w:rPr>
        <w:t xml:space="preserve">Poria, S., Majumder, N., Mihalcea, R., &amp; Hasan, E. (2019). Emotion recognition in conversation: Research challenges, datasets, and recent advances. </w:t>
      </w:r>
      <w:r>
        <w:rPr>
          <w:rFonts w:ascii="宋体" w:hAnsi="宋体"/>
          <w:b w:val="0"/>
          <w:i/>
          <w:sz w:val="24"/>
        </w:rPr>
        <w:t>IEEE Access</w:t>
      </w:r>
      <w:r>
        <w:rPr>
          <w:rFonts w:ascii="宋体" w:hAnsi="宋体"/>
          <w:b w:val="0"/>
          <w:i w:val="0"/>
          <w:sz w:val="24"/>
        </w:rPr>
        <w:t>, 7, 166894-166916.</w:t>
      </w:r>
    </w:p>
    <w:p>
      <w:pPr>
        <w:pStyle w:val="ListNumber"/>
        <w:spacing w:line="360" w:lineRule="auto"/>
      </w:pPr>
      <w:r>
        <w:rPr>
          <w:rFonts w:ascii="宋体" w:hAnsi="宋体"/>
          <w:b w:val="0"/>
          <w:i w:val="0"/>
          <w:sz w:val="24"/>
        </w:rPr>
        <w:t xml:space="preserve">Provost, F., &amp; Fawcett, T. (2013). </w:t>
      </w:r>
      <w:r>
        <w:rPr>
          <w:rFonts w:ascii="宋体" w:hAnsi="宋体"/>
          <w:b w:val="0"/>
          <w:i/>
          <w:sz w:val="24"/>
        </w:rPr>
        <w:t>Data science for business</w:t>
      </w:r>
      <w:r>
        <w:rPr>
          <w:rFonts w:ascii="宋体" w:hAnsi="宋体"/>
          <w:b w:val="0"/>
          <w:i w:val="0"/>
          <w:sz w:val="24"/>
        </w:rPr>
        <w:t>. O'Reilly Media.</w:t>
      </w:r>
    </w:p>
    <w:p>
      <w:pPr>
        <w:pStyle w:val="ListNumber"/>
        <w:spacing w:line="360" w:lineRule="auto"/>
      </w:pPr>
      <w:r>
        <w:rPr>
          <w:rFonts w:ascii="宋体" w:hAnsi="宋体"/>
          <w:b w:val="0"/>
          <w:i w:val="0"/>
          <w:sz w:val="24"/>
        </w:rPr>
        <w:t xml:space="preserve">Punj, G., &amp; Stewart, D. W. (1983). Cluster analysis in marketing research: Review and suggestions for application. </w:t>
      </w:r>
      <w:r>
        <w:rPr>
          <w:rFonts w:ascii="宋体" w:hAnsi="宋体"/>
          <w:b w:val="0"/>
          <w:i/>
          <w:sz w:val="24"/>
        </w:rPr>
        <w:t>Journal of Marketing Research</w:t>
      </w:r>
      <w:r>
        <w:rPr>
          <w:rFonts w:ascii="宋体" w:hAnsi="宋体"/>
          <w:b w:val="0"/>
          <w:i w:val="0"/>
          <w:sz w:val="24"/>
        </w:rPr>
        <w:t>, 20(2), 134-148.</w:t>
      </w:r>
    </w:p>
    <w:p>
      <w:pPr>
        <w:pStyle w:val="ListNumber"/>
        <w:spacing w:line="360" w:lineRule="auto"/>
      </w:pPr>
      <w:r>
        <w:rPr>
          <w:rFonts w:ascii="宋体" w:hAnsi="宋体"/>
          <w:b w:val="0"/>
          <w:i w:val="0"/>
          <w:sz w:val="24"/>
        </w:rPr>
        <w:t xml:space="preserve">Puntoni, S., Reczek, R. W., Giesler, M., &amp; Botti, S. (2021). Consumers and artificial intelligence: An experiential perspective. </w:t>
      </w:r>
      <w:r>
        <w:rPr>
          <w:rFonts w:ascii="宋体" w:hAnsi="宋体"/>
          <w:b w:val="0"/>
          <w:i/>
          <w:sz w:val="24"/>
        </w:rPr>
        <w:t>Journal of Marketing</w:t>
      </w:r>
      <w:r>
        <w:rPr>
          <w:rFonts w:ascii="宋体" w:hAnsi="宋体"/>
          <w:b w:val="0"/>
          <w:i w:val="0"/>
          <w:sz w:val="24"/>
        </w:rPr>
        <w:t>, 85(1), 131-151.</w:t>
      </w:r>
    </w:p>
    <w:p>
      <w:pPr>
        <w:pStyle w:val="ListNumber"/>
        <w:spacing w:line="360" w:lineRule="auto"/>
      </w:pPr>
      <w:r>
        <w:rPr>
          <w:rFonts w:ascii="宋体" w:hAnsi="宋体"/>
          <w:b w:val="0"/>
          <w:i w:val="0"/>
          <w:sz w:val="24"/>
        </w:rPr>
        <w:t xml:space="preserve">Radford, A., Kim, J. W., Hallacy, C., Ramesh, A., Goh, G., et al. (2021). Learning transferable visual models from natural language supervision. </w:t>
      </w:r>
      <w:r>
        <w:rPr>
          <w:rFonts w:ascii="宋体" w:hAnsi="宋体"/>
          <w:b w:val="0"/>
          <w:i/>
          <w:sz w:val="24"/>
        </w:rPr>
        <w:t>Proceedings of ICML 2021</w:t>
      </w:r>
      <w:r>
        <w:rPr>
          <w:rFonts w:ascii="宋体" w:hAnsi="宋体"/>
          <w:b w:val="0"/>
          <w:i w:val="0"/>
          <w:sz w:val="24"/>
        </w:rPr>
        <w:t>, 8748-8763.</w:t>
      </w:r>
    </w:p>
    <w:p>
      <w:pPr>
        <w:pStyle w:val="ListNumber"/>
        <w:spacing w:line="360" w:lineRule="auto"/>
      </w:pPr>
      <w:r>
        <w:rPr>
          <w:rFonts w:ascii="宋体" w:hAnsi="宋体"/>
          <w:b w:val="0"/>
          <w:i w:val="0"/>
          <w:sz w:val="24"/>
        </w:rPr>
        <w:t xml:space="preserve">Reichheld, F. F., &amp; Sasser, W. E. (1990). Zero defections: Quality comes to services. </w:t>
      </w:r>
      <w:r>
        <w:rPr>
          <w:rFonts w:ascii="宋体" w:hAnsi="宋体"/>
          <w:b w:val="0"/>
          <w:i/>
          <w:sz w:val="24"/>
        </w:rPr>
        <w:t>Harvard Business Review</w:t>
      </w:r>
      <w:r>
        <w:rPr>
          <w:rFonts w:ascii="宋体" w:hAnsi="宋体"/>
          <w:b w:val="0"/>
          <w:i w:val="0"/>
          <w:sz w:val="24"/>
        </w:rPr>
        <w:t>, 68(5), 105-111.</w:t>
      </w:r>
    </w:p>
    <w:p>
      <w:pPr>
        <w:pStyle w:val="ListNumber"/>
        <w:spacing w:line="360" w:lineRule="auto"/>
      </w:pPr>
      <w:r>
        <w:rPr>
          <w:rFonts w:ascii="宋体" w:hAnsi="宋体"/>
          <w:b w:val="0"/>
          <w:i w:val="0"/>
          <w:sz w:val="24"/>
        </w:rPr>
        <w:t xml:space="preserve">Reisenbichler, M., Reutterer, T., Schweidel, D. A., &amp; Dan, D. (2022). Frontiers: Supporting content marketing with natural language generation. </w:t>
      </w:r>
      <w:r>
        <w:rPr>
          <w:rFonts w:ascii="宋体" w:hAnsi="宋体"/>
          <w:b w:val="0"/>
          <w:i/>
          <w:sz w:val="24"/>
        </w:rPr>
        <w:t>Marketing Science</w:t>
      </w:r>
      <w:r>
        <w:rPr>
          <w:rFonts w:ascii="宋体" w:hAnsi="宋体"/>
          <w:b w:val="0"/>
          <w:i w:val="0"/>
          <w:sz w:val="24"/>
        </w:rPr>
        <w:t>, 41(3), 441-452.</w:t>
      </w:r>
    </w:p>
    <w:p>
      <w:pPr>
        <w:pStyle w:val="ListNumber"/>
        <w:spacing w:line="360" w:lineRule="auto"/>
      </w:pPr>
      <w:r>
        <w:rPr>
          <w:rFonts w:ascii="宋体" w:hAnsi="宋体"/>
          <w:b w:val="0"/>
          <w:i w:val="0"/>
          <w:sz w:val="24"/>
        </w:rPr>
        <w:t xml:space="preserve">Rombach, R., Blattmann, A., Lorenz, D., Esser, P., &amp; Ommer, B. (2022). High-resolution image synthesis with latent diffusion models. </w:t>
      </w:r>
      <w:r>
        <w:rPr>
          <w:rFonts w:ascii="宋体" w:hAnsi="宋体"/>
          <w:b w:val="0"/>
          <w:i/>
          <w:sz w:val="24"/>
        </w:rPr>
        <w:t>Proceedings of the IEEE/CVF Conference on Computer Vision and Pattern Recognition</w:t>
      </w:r>
      <w:r>
        <w:rPr>
          <w:rFonts w:ascii="宋体" w:hAnsi="宋体"/>
          <w:b w:val="0"/>
          <w:i w:val="0"/>
          <w:sz w:val="24"/>
        </w:rPr>
        <w:t>, 10684-10695.</w:t>
      </w:r>
    </w:p>
    <w:p>
      <w:pPr>
        <w:pStyle w:val="ListNumber"/>
        <w:spacing w:line="360" w:lineRule="auto"/>
      </w:pPr>
      <w:r>
        <w:rPr>
          <w:rFonts w:ascii="宋体" w:hAnsi="宋体"/>
          <w:b w:val="0"/>
          <w:i w:val="0"/>
          <w:sz w:val="24"/>
        </w:rPr>
        <w:t xml:space="preserve">Rudin, C. (2019). Stop explaining black box machine learning models for high stakes decisions and use interpretable models instead. </w:t>
      </w:r>
      <w:r>
        <w:rPr>
          <w:rFonts w:ascii="宋体" w:hAnsi="宋体"/>
          <w:b w:val="0"/>
          <w:i/>
          <w:sz w:val="24"/>
        </w:rPr>
        <w:t>Nature Machine Intelligence</w:t>
      </w:r>
      <w:r>
        <w:rPr>
          <w:rFonts w:ascii="宋体" w:hAnsi="宋体"/>
          <w:b w:val="0"/>
          <w:i w:val="0"/>
          <w:sz w:val="24"/>
        </w:rPr>
        <w:t>, 1(5), 206-215.</w:t>
      </w:r>
    </w:p>
    <w:p>
      <w:pPr>
        <w:pStyle w:val="ListNumber"/>
        <w:spacing w:line="360" w:lineRule="auto"/>
      </w:pPr>
      <w:r>
        <w:rPr>
          <w:rFonts w:ascii="宋体" w:hAnsi="宋体"/>
          <w:b w:val="0"/>
          <w:i w:val="0"/>
          <w:sz w:val="24"/>
        </w:rPr>
        <w:t xml:space="preserve">Schwartz, E. M., Bradlow, E. T., &amp; Fader, P. S. (2017). Customer acquisition via display advertising using multi-armed bandit experiments. </w:t>
      </w:r>
      <w:r>
        <w:rPr>
          <w:rFonts w:ascii="宋体" w:hAnsi="宋体"/>
          <w:b w:val="0"/>
          <w:i/>
          <w:sz w:val="24"/>
        </w:rPr>
        <w:t>Marketing Science</w:t>
      </w:r>
      <w:r>
        <w:rPr>
          <w:rFonts w:ascii="宋体" w:hAnsi="宋体"/>
          <w:b w:val="0"/>
          <w:i w:val="0"/>
          <w:sz w:val="24"/>
        </w:rPr>
        <w:t>, 36(4), 500-522.</w:t>
      </w:r>
    </w:p>
    <w:p>
      <w:pPr>
        <w:pStyle w:val="ListNumber"/>
        <w:spacing w:line="360" w:lineRule="auto"/>
      </w:pPr>
      <w:r>
        <w:rPr>
          <w:rFonts w:ascii="宋体" w:hAnsi="宋体"/>
          <w:b w:val="0"/>
          <w:i w:val="0"/>
          <w:sz w:val="24"/>
        </w:rPr>
        <w:t xml:space="preserve">Shan, Y., Hoens, T. R., Jiao, J., Wang, H., Yu, D., &amp; Mao, J. C. (2016). Deep crossing: Web-scale modeling without manually crafted combinatorial features. </w:t>
      </w:r>
      <w:r>
        <w:rPr>
          <w:rFonts w:ascii="宋体" w:hAnsi="宋体"/>
          <w:b w:val="0"/>
          <w:i/>
          <w:sz w:val="24"/>
        </w:rPr>
        <w:t>Proceedings of the 22nd ACM SIGKDD International Conference on Knowledge Discovery and Data Mining</w:t>
      </w:r>
      <w:r>
        <w:rPr>
          <w:rFonts w:ascii="宋体" w:hAnsi="宋体"/>
          <w:b w:val="0"/>
          <w:i w:val="0"/>
          <w:sz w:val="24"/>
        </w:rPr>
        <w:t>, 255-262.</w:t>
      </w:r>
    </w:p>
    <w:p>
      <w:pPr>
        <w:pStyle w:val="ListNumber"/>
        <w:spacing w:line="360" w:lineRule="auto"/>
      </w:pPr>
      <w:r>
        <w:rPr>
          <w:rFonts w:ascii="宋体" w:hAnsi="宋体"/>
          <w:b w:val="0"/>
          <w:i w:val="0"/>
          <w:sz w:val="24"/>
        </w:rPr>
        <w:t xml:space="preserve">Smith, B., &amp; Linden, G. (2017). Two decades of recommender systems at Amazon.com. </w:t>
      </w:r>
      <w:r>
        <w:rPr>
          <w:rFonts w:ascii="宋体" w:hAnsi="宋体"/>
          <w:b w:val="0"/>
          <w:i/>
          <w:sz w:val="24"/>
        </w:rPr>
        <w:t>IEEE Internet Computing</w:t>
      </w:r>
      <w:r>
        <w:rPr>
          <w:rFonts w:ascii="宋体" w:hAnsi="宋体"/>
          <w:b w:val="0"/>
          <w:i w:val="0"/>
          <w:sz w:val="24"/>
        </w:rPr>
        <w:t>, 21(3), 12-18.</w:t>
      </w:r>
    </w:p>
    <w:p>
      <w:pPr>
        <w:pStyle w:val="ListNumber"/>
        <w:spacing w:line="360" w:lineRule="auto"/>
      </w:pPr>
      <w:r>
        <w:rPr>
          <w:rFonts w:ascii="宋体" w:hAnsi="宋体"/>
          <w:b w:val="0"/>
          <w:i w:val="0"/>
          <w:sz w:val="24"/>
        </w:rPr>
        <w:t xml:space="preserve">Sun, F., Liu, J., Wu, J., Pei, C., Lin, X., Ou, W., &amp; Jiang, P. (2019). BERT4Rec: Sequential recommendation with bidirectional encoder representations from Transformers. </w:t>
      </w:r>
      <w:r>
        <w:rPr>
          <w:rFonts w:ascii="宋体" w:hAnsi="宋体"/>
          <w:b w:val="0"/>
          <w:i/>
          <w:sz w:val="24"/>
        </w:rPr>
        <w:t>Proceedings of the 28th ACM International Conference on Information and Knowledge Management</w:t>
      </w:r>
      <w:r>
        <w:rPr>
          <w:rFonts w:ascii="宋体" w:hAnsi="宋体"/>
          <w:b w:val="0"/>
          <w:i w:val="0"/>
          <w:sz w:val="24"/>
        </w:rPr>
        <w:t>, 1441-1450.</w:t>
      </w:r>
    </w:p>
    <w:p>
      <w:pPr>
        <w:pStyle w:val="ListNumber"/>
        <w:spacing w:line="360" w:lineRule="auto"/>
      </w:pPr>
      <w:r>
        <w:rPr>
          <w:rFonts w:ascii="宋体" w:hAnsi="宋体"/>
          <w:b w:val="0"/>
          <w:i w:val="0"/>
          <w:sz w:val="24"/>
        </w:rPr>
        <w:t xml:space="preserve">Sutton, R. S., &amp; Barto, A. G. (2018). </w:t>
      </w:r>
      <w:r>
        <w:rPr>
          <w:rFonts w:ascii="宋体" w:hAnsi="宋体"/>
          <w:b w:val="0"/>
          <w:i/>
          <w:sz w:val="24"/>
        </w:rPr>
        <w:t>Reinforcement learning: An introduction</w:t>
      </w:r>
      <w:r>
        <w:rPr>
          <w:rFonts w:ascii="宋体" w:hAnsi="宋体"/>
          <w:b w:val="0"/>
          <w:i w:val="0"/>
          <w:sz w:val="24"/>
        </w:rPr>
        <w:t xml:space="preserve"> (2nd ed.). MIT Press.</w:t>
      </w:r>
    </w:p>
    <w:p>
      <w:pPr>
        <w:pStyle w:val="ListNumber"/>
        <w:spacing w:line="360" w:lineRule="auto"/>
      </w:pPr>
      <w:r>
        <w:rPr>
          <w:rFonts w:ascii="宋体" w:hAnsi="宋体"/>
          <w:b w:val="0"/>
          <w:i w:val="0"/>
          <w:sz w:val="24"/>
        </w:rPr>
        <w:t xml:space="preserve">Vanderveld, A., Pandey, A., Han, A., &amp; Parekh, R. (2016). An engagement-based customer lifetime value system for e-commerce. </w:t>
      </w:r>
      <w:r>
        <w:rPr>
          <w:rFonts w:ascii="宋体" w:hAnsi="宋体"/>
          <w:b w:val="0"/>
          <w:i/>
          <w:sz w:val="24"/>
        </w:rPr>
        <w:t>Proceedings of the 22nd ACM SIGKDD International Conference on Knowledge Discovery and Data Mining</w:t>
      </w:r>
      <w:r>
        <w:rPr>
          <w:rFonts w:ascii="宋体" w:hAnsi="宋体"/>
          <w:b w:val="0"/>
          <w:i w:val="0"/>
          <w:sz w:val="24"/>
        </w:rPr>
        <w:t>, 293-302.</w:t>
      </w:r>
    </w:p>
    <w:p>
      <w:pPr>
        <w:pStyle w:val="ListNumber"/>
        <w:spacing w:line="360" w:lineRule="auto"/>
      </w:pPr>
      <w:r>
        <w:rPr>
          <w:rFonts w:ascii="宋体" w:hAnsi="宋体"/>
          <w:b w:val="0"/>
          <w:i w:val="0"/>
          <w:sz w:val="24"/>
        </w:rPr>
        <w:t xml:space="preserve">Vaswani, A., Shazeer, N., Parmar, N., Uszkoreit, J., Jones, L., et al. (2017). Attention is all you need. </w:t>
      </w:r>
      <w:r>
        <w:rPr>
          <w:rFonts w:ascii="宋体" w:hAnsi="宋体"/>
          <w:b w:val="0"/>
          <w:i/>
          <w:sz w:val="24"/>
        </w:rPr>
        <w:t>Advances in Neural Information Processing Systems</w:t>
      </w:r>
      <w:r>
        <w:rPr>
          <w:rFonts w:ascii="宋体" w:hAnsi="宋体"/>
          <w:b w:val="0"/>
          <w:i w:val="0"/>
          <w:sz w:val="24"/>
        </w:rPr>
        <w:t>, 30, 5998-6008.</w:t>
      </w:r>
    </w:p>
    <w:p>
      <w:pPr>
        <w:pStyle w:val="ListNumber"/>
        <w:spacing w:line="360" w:lineRule="auto"/>
      </w:pPr>
      <w:r>
        <w:rPr>
          <w:rFonts w:ascii="宋体" w:hAnsi="宋体"/>
          <w:b w:val="0"/>
          <w:i w:val="0"/>
          <w:sz w:val="24"/>
        </w:rPr>
        <w:t xml:space="preserve">Verbeke, W., Dejaeger, K., Martens, D., Hur, J., &amp; Baesens, B. (2012). New insights into churn prediction in the telecommunication sector: A profit driven data mining approach. </w:t>
      </w:r>
      <w:r>
        <w:rPr>
          <w:rFonts w:ascii="宋体" w:hAnsi="宋体"/>
          <w:b w:val="0"/>
          <w:i/>
          <w:sz w:val="24"/>
        </w:rPr>
        <w:t>European Journal of Operational Research</w:t>
      </w:r>
      <w:r>
        <w:rPr>
          <w:rFonts w:ascii="宋体" w:hAnsi="宋体"/>
          <w:b w:val="0"/>
          <w:i w:val="0"/>
          <w:sz w:val="24"/>
        </w:rPr>
        <w:t>, 218(1), 211-229.</w:t>
      </w:r>
    </w:p>
    <w:p>
      <w:pPr>
        <w:pStyle w:val="ListNumber"/>
        <w:spacing w:line="360" w:lineRule="auto"/>
      </w:pPr>
      <w:r>
        <w:rPr>
          <w:rFonts w:ascii="宋体" w:hAnsi="宋体"/>
          <w:b w:val="0"/>
          <w:i w:val="0"/>
          <w:sz w:val="24"/>
        </w:rPr>
        <w:t xml:space="preserve">Verhoef, P. C., Broekhuizen, T., Bart, Y., Bhattacharya, A., Qi Dong, J., Fabian, N., &amp; Haenlein, M. (2021). Digital transformation: A multidisciplinary reflection and research agenda. </w:t>
      </w:r>
      <w:r>
        <w:rPr>
          <w:rFonts w:ascii="宋体" w:hAnsi="宋体"/>
          <w:b w:val="0"/>
          <w:i/>
          <w:sz w:val="24"/>
        </w:rPr>
        <w:t>Journal of Business Research</w:t>
      </w:r>
      <w:r>
        <w:rPr>
          <w:rFonts w:ascii="宋体" w:hAnsi="宋体"/>
          <w:b w:val="0"/>
          <w:i w:val="0"/>
          <w:sz w:val="24"/>
        </w:rPr>
        <w:t>, 122, 889-901.</w:t>
      </w:r>
    </w:p>
    <w:p>
      <w:pPr>
        <w:pStyle w:val="ListNumber"/>
        <w:spacing w:line="360" w:lineRule="auto"/>
      </w:pPr>
      <w:r>
        <w:rPr>
          <w:rFonts w:ascii="宋体" w:hAnsi="宋体"/>
          <w:b w:val="0"/>
          <w:i w:val="0"/>
          <w:sz w:val="24"/>
        </w:rPr>
        <w:t xml:space="preserve">Wedel, M., &amp; Kannan, P. K. (2016). Marketing analytics for data-rich environments. </w:t>
      </w:r>
      <w:r>
        <w:rPr>
          <w:rFonts w:ascii="宋体" w:hAnsi="宋体"/>
          <w:b w:val="0"/>
          <w:i/>
          <w:sz w:val="24"/>
        </w:rPr>
        <w:t>Journal of Marketing</w:t>
      </w:r>
      <w:r>
        <w:rPr>
          <w:rFonts w:ascii="宋体" w:hAnsi="宋体"/>
          <w:b w:val="0"/>
          <w:i w:val="0"/>
          <w:sz w:val="24"/>
        </w:rPr>
        <w:t>, 80(6), 97-121.</w:t>
      </w:r>
    </w:p>
    <w:p>
      <w:pPr>
        <w:pStyle w:val="ListNumber"/>
        <w:spacing w:line="360" w:lineRule="auto"/>
      </w:pPr>
      <w:r>
        <w:rPr>
          <w:rFonts w:ascii="宋体" w:hAnsi="宋体"/>
          <w:b w:val="0"/>
          <w:i w:val="0"/>
          <w:sz w:val="24"/>
        </w:rPr>
        <w:t xml:space="preserve">Wirth, N. (2018). Hello marketing, what can artificial intelligence help you with? </w:t>
      </w:r>
      <w:r>
        <w:rPr>
          <w:rFonts w:ascii="宋体" w:hAnsi="宋体"/>
          <w:b w:val="0"/>
          <w:i/>
          <w:sz w:val="24"/>
        </w:rPr>
        <w:t>International Journal of Market Research</w:t>
      </w:r>
      <w:r>
        <w:rPr>
          <w:rFonts w:ascii="宋体" w:hAnsi="宋体"/>
          <w:b w:val="0"/>
          <w:i w:val="0"/>
          <w:sz w:val="24"/>
        </w:rPr>
        <w:t>, 60(5), 435-438.</w:t>
      </w:r>
    </w:p>
    <w:p>
      <w:pPr>
        <w:pStyle w:val="ListNumber"/>
        <w:spacing w:line="360" w:lineRule="auto"/>
      </w:pPr>
      <w:r>
        <w:rPr>
          <w:rFonts w:ascii="宋体" w:hAnsi="宋体"/>
          <w:b w:val="0"/>
          <w:i w:val="0"/>
          <w:sz w:val="24"/>
        </w:rPr>
        <w:t xml:space="preserve">Wu, Z., Pan, S., Chen, F., Long, G., Zhang, C., &amp; Yu, P. S. (2020). A comprehensive survey on graph neural networks. </w:t>
      </w:r>
      <w:r>
        <w:rPr>
          <w:rFonts w:ascii="宋体" w:hAnsi="宋体"/>
          <w:b w:val="0"/>
          <w:i/>
          <w:sz w:val="24"/>
        </w:rPr>
        <w:t>IEEE Transactions on Neural Networks and Learning Systems</w:t>
      </w:r>
      <w:r>
        <w:rPr>
          <w:rFonts w:ascii="宋体" w:hAnsi="宋体"/>
          <w:b w:val="0"/>
          <w:i w:val="0"/>
          <w:sz w:val="24"/>
        </w:rPr>
        <w:t>, 32(1), 4-24.</w:t>
      </w:r>
    </w:p>
    <w:p>
      <w:pPr>
        <w:pStyle w:val="ListNumber"/>
        <w:spacing w:line="360" w:lineRule="auto"/>
      </w:pPr>
      <w:r>
        <w:rPr>
          <w:rFonts w:ascii="宋体" w:hAnsi="宋体"/>
          <w:b w:val="0"/>
          <w:i w:val="0"/>
          <w:sz w:val="24"/>
        </w:rPr>
        <w:t xml:space="preserve">Xie, J., Girshick, R., &amp; Farhadi, A. (2016). Unsupervised deep embedding for clustering analysis. </w:t>
      </w:r>
      <w:r>
        <w:rPr>
          <w:rFonts w:ascii="宋体" w:hAnsi="宋体"/>
          <w:b w:val="0"/>
          <w:i/>
          <w:sz w:val="24"/>
        </w:rPr>
        <w:t>Proceedings of the 33rd International Conference on Machine Learning</w:t>
      </w:r>
      <w:r>
        <w:rPr>
          <w:rFonts w:ascii="宋体" w:hAnsi="宋体"/>
          <w:b w:val="0"/>
          <w:i w:val="0"/>
          <w:sz w:val="24"/>
        </w:rPr>
        <w:t>, 478-487.</w:t>
      </w:r>
    </w:p>
    <w:p>
      <w:pPr>
        <w:pStyle w:val="ListNumber"/>
        <w:spacing w:line="360" w:lineRule="auto"/>
      </w:pPr>
      <w:r>
        <w:rPr>
          <w:rFonts w:ascii="宋体" w:hAnsi="宋体"/>
          <w:b w:val="0"/>
          <w:i w:val="0"/>
          <w:sz w:val="24"/>
        </w:rPr>
        <w:t xml:space="preserve">Yang, Q., Liu, Y., Chen, T., &amp; Tong, Y. (2019). Federated machine learning: Concept and applications. </w:t>
      </w:r>
      <w:r>
        <w:rPr>
          <w:rFonts w:ascii="宋体" w:hAnsi="宋体"/>
          <w:b w:val="0"/>
          <w:i/>
          <w:sz w:val="24"/>
        </w:rPr>
        <w:t>ACM Transactions on Intelligent Systems and Technology</w:t>
      </w:r>
      <w:r>
        <w:rPr>
          <w:rFonts w:ascii="宋体" w:hAnsi="宋体"/>
          <w:b w:val="0"/>
          <w:i w:val="0"/>
          <w:sz w:val="24"/>
        </w:rPr>
        <w:t>, 10(2), 1-19.</w:t>
      </w:r>
    </w:p>
    <w:p>
      <w:pPr>
        <w:pStyle w:val="ListNumber"/>
        <w:spacing w:line="360" w:lineRule="auto"/>
      </w:pPr>
      <w:r>
        <w:rPr>
          <w:rFonts w:ascii="宋体" w:hAnsi="宋体"/>
          <w:b w:val="0"/>
          <w:i w:val="0"/>
          <w:sz w:val="24"/>
        </w:rPr>
        <w:t xml:space="preserve">Zhou, G., Zhu, X., Song, C., Fan, Y., Zhu, H., et al. (2018). Deep interest network for click-through rate prediction. </w:t>
      </w:r>
      <w:r>
        <w:rPr>
          <w:rFonts w:ascii="宋体" w:hAnsi="宋体"/>
          <w:b w:val="0"/>
          <w:i/>
          <w:sz w:val="24"/>
        </w:rPr>
        <w:t>Proceedings of the 24th ACM SIGKDD International Conference on Knowledge Discovery and Data Mining</w:t>
      </w:r>
      <w:r>
        <w:rPr>
          <w:rFonts w:ascii="宋体" w:hAnsi="宋体"/>
          <w:b w:val="0"/>
          <w:i w:val="0"/>
          <w:sz w:val="24"/>
        </w:rPr>
        <w:t>, 1059-1068.</w:t>
      </w:r>
    </w:p>
    <w:p>
      <w:pPr>
        <w:pStyle w:val="ListNumber"/>
        <w:spacing w:line="360" w:lineRule="auto"/>
      </w:pPr>
      <w:r>
        <w:rPr>
          <w:rFonts w:ascii="宋体" w:hAnsi="宋体"/>
          <w:b w:val="0"/>
          <w:i w:val="0"/>
          <w:sz w:val="24"/>
        </w:rPr>
        <w:t xml:space="preserve">Zhou, H., Zhang, S., Peng, J., Zhang, S., Li, J., Xiong, H., &amp; Zhang, W. (2021). Informer: Beyond efficient Transformer for long sequence time-series forecasting. </w:t>
      </w:r>
      <w:r>
        <w:rPr>
          <w:rFonts w:ascii="宋体" w:hAnsi="宋体"/>
          <w:b w:val="0"/>
          <w:i/>
          <w:sz w:val="24"/>
        </w:rPr>
        <w:t>Proceedings of AAAI 2021</w:t>
      </w:r>
      <w:r>
        <w:rPr>
          <w:rFonts w:ascii="宋体" w:hAnsi="宋体"/>
          <w:b w:val="0"/>
          <w:i w:val="0"/>
          <w:sz w:val="24"/>
        </w:rPr>
        <w:t>, 35(12), 11106-11115.</w:t>
      </w:r>
    </w:p>
    <w:p>
      <w:pPr>
        <w:pStyle w:val="ListNumber"/>
        <w:spacing w:line="360" w:lineRule="auto"/>
      </w:pPr>
      <w:r>
        <w:rPr>
          <w:rFonts w:ascii="宋体" w:hAnsi="宋体"/>
          <w:b w:val="0"/>
          <w:i w:val="0"/>
          <w:sz w:val="24"/>
        </w:rPr>
        <w:t xml:space="preserve">Zubiaga, A., Aker, A., Bontcheva, K., Liakata, M., &amp; Procter, R. (2018). Detection and resolution of rumours in social media: A survey. </w:t>
      </w:r>
      <w:r>
        <w:rPr>
          <w:rFonts w:ascii="宋体" w:hAnsi="宋体"/>
          <w:b w:val="0"/>
          <w:i/>
          <w:sz w:val="24"/>
        </w:rPr>
        <w:t>ACM Computing Surveys</w:t>
      </w:r>
      <w:r>
        <w:rPr>
          <w:rFonts w:ascii="宋体" w:hAnsi="宋体"/>
          <w:b w:val="0"/>
          <w:i w:val="0"/>
          <w:sz w:val="24"/>
        </w:rPr>
        <w:t>, 51(2), 1-36.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