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i w:val="0"/>
          <w:color w:val="000000"/>
          <w:sz w:val="36"/>
        </w:rPr>
        <w:t>Artificial Intelligence in Marketing Analytics: Technological Evolution, Core Domains, and Future Prospects</w:t>
      </w:r>
    </w:p>
    <w:p>
      <w:pPr>
        <w:pStyle w:val="Heading2"/>
      </w:pPr>
      <w:r>
        <w:rPr>
          <w:rFonts w:ascii="黑体" w:hAnsi="黑体"/>
          <w:b/>
          <w:i w:val="0"/>
          <w:color w:val="000000"/>
          <w:sz w:val="30"/>
        </w:rPr>
        <w:t>Abstract</w:t>
      </w:r>
    </w:p>
    <w:p>
      <w:pPr>
        <w:spacing w:line="360" w:lineRule="auto"/>
        <w:ind w:firstLine="480"/>
      </w:pPr>
      <w:r>
        <w:rPr>
          <w:rFonts w:ascii="宋体" w:hAnsi="宋体"/>
          <w:b w:val="0"/>
          <w:i w:val="0"/>
          <w:sz w:val="24"/>
        </w:rPr>
        <w:t>With the advent of the big data era and the rapid advancement of artificial intelligence (AI) technologies, marketing analytics is undergoing a profound paradigm shift. Traditional marketing analytics methods rely on descriptive statistics and simple regression models, whereas AI-driven marketing analytics can process massive, multi-source, heterogeneous data, enabling end-to-end intelligence from consumer behavior prediction to real-time personalized recommendation. We systematically review the research progress and practical applications of AI technologies in marketing analytics, covering core techniques—including machine learning, deep learning, natural language processing, computer vision, and generative AI—and their applications in key domains such as consumer behavior analysis, market segmentation, pricing optimization, advertising, social media marketing, and customer relationship management. Building on this foundation, the paper analyzes the major challenges facing current research, including data privacy and ethical issues, model interpretability, cross-channel data integration, and AI bias, and look ahead to the potential impact of emerging directions such as generative AI, causal inference, and federated learning on the future of marketing analytics. This survey aims to provide researchers and practitioners with a comprehensive knowledge map, fostering deeper integration and innovative development at the intersection of AI and marketing analytics.</w:t>
      </w:r>
    </w:p>
    <w:p>
      <w:pPr>
        <w:spacing w:line="360" w:lineRule="auto"/>
        <w:ind w:firstLine="480"/>
      </w:pPr>
      <w:r>
        <w:rPr>
          <w:rFonts w:ascii="宋体" w:hAnsi="宋体"/>
          <w:b/>
          <w:i w:val="0"/>
          <w:sz w:val="24"/>
        </w:rPr>
        <w:t>Keywords:</w:t>
      </w:r>
      <w:r>
        <w:rPr>
          <w:rFonts w:ascii="宋体" w:hAnsi="宋体"/>
          <w:b w:val="0"/>
          <w:i w:val="0"/>
          <w:sz w:val="24"/>
        </w:rPr>
        <w:t xml:space="preserve"> Artificial Intelligence; Marketing Analytics; Machine Learning; Consumer Behavior; Personalized Recommendation; Generative AI</w:t>
      </w:r>
    </w:p>
    <w:p>
      <w:pPr>
        <w:pStyle w:val="Heading2"/>
      </w:pPr>
      <w:r>
        <w:rPr>
          <w:rFonts w:ascii="黑体" w:hAnsi="黑体"/>
          <w:b/>
          <w:i w:val="0"/>
          <w:color w:val="000000"/>
          <w:sz w:val="30"/>
        </w:rPr>
        <w:t>1 Introduction</w:t>
      </w:r>
    </w:p>
    <w:p>
      <w:pPr>
        <w:spacing w:line="360" w:lineRule="auto"/>
        <w:ind w:firstLine="480"/>
      </w:pPr>
      <w:r>
        <w:rPr>
          <w:rFonts w:ascii="宋体" w:hAnsi="宋体"/>
          <w:b w:val="0"/>
          <w:i w:val="0"/>
          <w:sz w:val="24"/>
        </w:rPr>
        <w:t>Marketing analytics refers to the process of using data and analytical techniques to evaluate the effectiveness of marketing activities, understand consumer behavior, and optimize marketing decisions (Wedel &amp; Kannan, 2016). In the digital economy era, enterprises face an unprecedented data explosion: consumers leave vast behavioral traces across e-commerce platforms, social media, search engines, and offline stores. These data hold immense commercial value but also pose serious challenges to traditional analytical methods (Kumar et al., 2013). Traditional marketing analytics relies primarily on econometric models and descriptive statistical methods, which perform well on small-scale structured data but struggle to cope with the complexity introduced by high-dimensional, nonlinear, and unstructured data (Chintagunta et al., 2016).</w:t>
      </w:r>
    </w:p>
    <w:p>
      <w:pPr>
        <w:spacing w:line="360" w:lineRule="auto"/>
        <w:ind w:firstLine="480"/>
      </w:pPr>
      <w:r>
        <w:rPr>
          <w:rFonts w:ascii="宋体" w:hAnsi="宋体"/>
          <w:b w:val="0"/>
          <w:i w:val="0"/>
          <w:sz w:val="24"/>
        </w:rPr>
        <w:t>Breakthroughs in artificial intelligence (AI) have provided entirely new solutions for marketing analytics. Machine learning algorithms can automatically discover complex patterns and relationships from massive datasets, deep learning has demonstrated superhuman capabilities in image, text, and speech processing, and reinforcement learning provides powerful tools for dynamic decision optimization (LeCun et al., 2015). In recent years, large language models (LLMs) such as GPT and BERT have triggered a new wave of technological revolution, bringing disruptive changes to marketing content generation, consumer insights, and intelligent customer service (Vaswani et al., 2017).</w:t>
      </w:r>
    </w:p>
    <w:p>
      <w:pPr>
        <w:spacing w:line="360" w:lineRule="auto"/>
        <w:ind w:firstLine="480"/>
      </w:pPr>
      <w:r>
        <w:rPr>
          <w:rFonts w:ascii="宋体" w:hAnsi="宋体"/>
          <w:b w:val="0"/>
          <w:i w:val="0"/>
          <w:sz w:val="24"/>
        </w:rPr>
        <w:t xml:space="preserve">The academic community has paid close attention to research at the intersection of AI and marketing. Huang and Rust (2021), in a seminal article published in the </w:t>
      </w:r>
      <w:r>
        <w:rPr>
          <w:rFonts w:ascii="宋体" w:hAnsi="宋体"/>
          <w:b w:val="0"/>
          <w:i/>
          <w:sz w:val="24"/>
        </w:rPr>
        <w:t>Journal of the Academy of Marketing Science</w:t>
      </w:r>
      <w:r>
        <w:rPr>
          <w:rFonts w:ascii="宋体" w:hAnsi="宋体"/>
          <w:b w:val="0"/>
          <w:i w:val="0"/>
          <w:sz w:val="24"/>
        </w:rPr>
        <w:t>, systematically articulated the profound impact of AI on marketing theory and practice, proposing a layered framework of AI marketing intelligence—from mechanical intelligence, to thinking intelligence, to feeling intelligence—providing a theoretical foundation for understanding AI's role in marketing. Ma and Sun (2020) used bibliometric analysis to reveal the rapid growth trend of machine learning applications in marketing research, noting that the combination of computational power and human insight is the central issue in AI marketing research. Davenport et al. (2020) pointed out that AI is fundamentally changing how enterprises understand and serve consumers, driving marketing's shift from "mass marketing" to "hyper-personalization." Verhoef et al. (2021) explored how AI is reshaping the capabilities and processes of marketing organizations from a digital transformation perspective.</w:t>
      </w:r>
    </w:p>
    <w:p>
      <w:pPr>
        <w:spacing w:line="360" w:lineRule="auto"/>
        <w:ind w:firstLine="480"/>
      </w:pPr>
      <w:r>
        <w:rPr>
          <w:rFonts w:ascii="宋体" w:hAnsi="宋体"/>
          <w:b w:val="0"/>
          <w:i w:val="0"/>
          <w:sz w:val="24"/>
        </w:rPr>
        <w:t>At the practical level, marketing applications of AI have already achieved remarkable results. Amazon's recommendation system accounts for over 35% of its sales (Smith &amp; Linden, 2017), while Google's and Meta's programmatic advertising platforms leverage deep learning for precision ad targeting (Choi et al., 2020). Wirth's (2018) research indicated that enterprises adopting AI-driven marketing analytics significantly outperform those using traditional methods in customer acquisition efficiency and marketing ROI. These success cases amply demonstrate the tremendous value of AI in marketing analytics.</w:t>
      </w:r>
    </w:p>
    <w:p>
      <w:pPr>
        <w:spacing w:line="360" w:lineRule="auto"/>
        <w:ind w:firstLine="480"/>
      </w:pPr>
      <w:r>
        <w:rPr>
          <w:rFonts w:ascii="宋体" w:hAnsi="宋体"/>
          <w:b w:val="0"/>
          <w:i w:val="0"/>
          <w:sz w:val="24"/>
        </w:rPr>
        <w:t>However, the application of AI in marketing analytics also faces numerous challenges. Data privacy regulations (such as the EU's GDPR and China's Personal Information Protection Law) impose strict restrictions on data collection and use (Martin &amp; Murphy, 2017). Algorithmic bias may lead to unfair marketing practices that harm the interests of specific consumer groups (Lambrecht &amp; Tucker, 2019). Moreover, the "black box" nature of many AI models (particularly deep learning models) makes it difficult for marketing decision-makers to understand and trust their outputs, rendering model interpretability a critical issue (Rudin, 2019).</w:t>
      </w:r>
    </w:p>
    <w:p>
      <w:pPr>
        <w:spacing w:line="360" w:lineRule="auto"/>
        <w:ind w:firstLine="480"/>
      </w:pPr>
      <w:r>
        <w:rPr>
          <w:rFonts w:ascii="宋体" w:hAnsi="宋体"/>
          <w:b w:val="0"/>
          <w:i w:val="0"/>
          <w:sz w:val="24"/>
        </w:rPr>
        <w:t>Although some review articles have addressed the intersection of AI and marketing (Mustak et al., 2021; Campbell et al., 2020), existing surveys have mostly focused on specific sub-domains or technical directions, lacking a systematic review of AI applications across the full spectrum of marketing analytics. This paper aims to fill this gap through a comprehensive review of recent literature, constructing a complete knowledge framework spanning technical methods, application domains, and future trends.</w:t>
      </w:r>
    </w:p>
    <w:p>
      <w:pPr>
        <w:spacing w:line="360" w:lineRule="auto"/>
        <w:ind w:firstLine="480"/>
      </w:pPr>
      <w:r>
        <w:rPr>
          <w:rFonts w:ascii="宋体" w:hAnsi="宋体"/>
          <w:b w:val="0"/>
          <w:i w:val="0"/>
          <w:sz w:val="24"/>
        </w:rPr>
        <w:t>Our main contributions include: (1) systematically reviewing the current state of AI core technology applications across marketing analytics domains; (2) constructing a mapping framework between technical methods and application domains (see Table 1); (3) identifying key challenges and limitations of current research; and (4) proposing future research directions and recommendations. The remainder of the paper is organized as follows: Section 2 describes the literature review methodology; Section 3 provides an overview of core AI technical foundations; Sections 4 through 9 discuss AI applications in consumer behavior analysis, market segmentation and targeting, pricing and promotion optimization, advertising and content marketing, social media and word-of-mouth analysis, and customer relationship management, respectively; Section 10 discusses key challenges and ethical issues; Section 11 outlines future research directions; and Section 12 concludes the paper.</w:t>
      </w:r>
    </w:p>
    <w:p>
      <w:pPr>
        <w:pStyle w:val="Heading2"/>
      </w:pPr>
      <w:r>
        <w:rPr>
          <w:rFonts w:ascii="黑体" w:hAnsi="黑体"/>
          <w:b/>
          <w:i w:val="0"/>
          <w:color w:val="000000"/>
          <w:sz w:val="30"/>
        </w:rPr>
        <w:t>2 Literature Review Methodology</w:t>
      </w:r>
    </w:p>
    <w:p>
      <w:pPr>
        <w:spacing w:line="360" w:lineRule="auto"/>
        <w:ind w:firstLine="480"/>
      </w:pPr>
      <w:r>
        <w:rPr>
          <w:rFonts w:ascii="宋体" w:hAnsi="宋体"/>
          <w:b w:val="0"/>
          <w:i w:val="0"/>
          <w:sz w:val="24"/>
        </w:rPr>
        <w:t>To ensure the systematicity and comprehensiveness of this review, a structured literature search and screening approach was employed.</w:t>
      </w:r>
    </w:p>
    <w:p>
      <w:pPr>
        <w:spacing w:line="360" w:lineRule="auto"/>
        <w:ind w:firstLine="480"/>
      </w:pPr>
      <w:r>
        <w:rPr>
          <w:rFonts w:ascii="宋体" w:hAnsi="宋体"/>
          <w:b/>
          <w:i w:val="0"/>
          <w:sz w:val="24"/>
        </w:rPr>
        <w:t>Search Strategy</w:t>
      </w:r>
      <w:r>
        <w:rPr>
          <w:rFonts w:ascii="宋体" w:hAnsi="宋体"/>
          <w:b w:val="0"/>
          <w:i w:val="0"/>
          <w:sz w:val="24"/>
        </w:rPr>
        <w:t>: Four academic databases were searched: Web of Science, Scopus, Google Scholar, and CNKI (China National Knowledge Infrastructure). Search keywords included combinations such as: "artificial intelligence" AND "marketing analytics," "machine learning" AND "marketing," "deep learning" AND "consumer behavior," "NLP" AND "marketing," "generative AI" AND "marketing," along with corresponding Chinese keyword combinations. The search time span was from 2010 to 2025, covering the full trajectory from early exploration to widespread application of AI technologies in marketing analytics, supplemented by a small number of earlier foundational works.</w:t>
      </w:r>
    </w:p>
    <w:p>
      <w:pPr>
        <w:spacing w:line="360" w:lineRule="auto"/>
        <w:ind w:firstLine="480"/>
      </w:pPr>
      <w:r>
        <w:rPr>
          <w:rFonts w:ascii="宋体" w:hAnsi="宋体"/>
          <w:b/>
          <w:i w:val="0"/>
          <w:sz w:val="24"/>
        </w:rPr>
        <w:t>Screening Criteria</w:t>
      </w:r>
      <w:r>
        <w:rPr>
          <w:rFonts w:ascii="宋体" w:hAnsi="宋体"/>
          <w:b w:val="0"/>
          <w:i w:val="0"/>
          <w:sz w:val="24"/>
        </w:rPr>
        <w:t>: The initial search yielded over 500 articles, which were narrowed to 77 core references using the following criteria: (1) published in peer-reviewed journals or top-tier academic conferences; (2) explicitly involving theoretical discussion or empirical application of AI/ML technologies in marketing analytics contexts; (3) priority given to highly cited and high-impact works; (4) balanced coverage of both marketing science and computer science perspectives.</w:t>
      </w:r>
    </w:p>
    <w:p>
      <w:pPr>
        <w:spacing w:line="360" w:lineRule="auto"/>
        <w:ind w:firstLine="480"/>
      </w:pPr>
      <w:r>
        <w:rPr>
          <w:rFonts w:ascii="宋体" w:hAnsi="宋体"/>
          <w:b/>
          <w:i w:val="0"/>
          <w:sz w:val="24"/>
        </w:rPr>
        <w:t>Literature Distribution</w:t>
      </w:r>
      <w:r>
        <w:rPr>
          <w:rFonts w:ascii="宋体" w:hAnsi="宋体"/>
          <w:b w:val="0"/>
          <w:i w:val="0"/>
          <w:sz w:val="24"/>
        </w:rPr>
        <w:t xml:space="preserve">: Temporally, approximately 65% of the literature was published after 2018, reflecting the accelerating growth of research in this field in recent years. By source, the literature primarily comes from top marketing journals such as </w:t>
      </w:r>
      <w:r>
        <w:rPr>
          <w:rFonts w:ascii="宋体" w:hAnsi="宋体"/>
          <w:b w:val="0"/>
          <w:i/>
          <w:sz w:val="24"/>
        </w:rPr>
        <w:t>Journal of Marketing</w:t>
      </w:r>
      <w:r>
        <w:rPr>
          <w:rFonts w:ascii="宋体" w:hAnsi="宋体"/>
          <w:b w:val="0"/>
          <w:i w:val="0"/>
          <w:sz w:val="24"/>
        </w:rPr>
        <w:t xml:space="preserve">, </w:t>
      </w:r>
      <w:r>
        <w:rPr>
          <w:rFonts w:ascii="宋体" w:hAnsi="宋体"/>
          <w:b w:val="0"/>
          <w:i/>
          <w:sz w:val="24"/>
        </w:rPr>
        <w:t>Marketing Science</w:t>
      </w:r>
      <w:r>
        <w:rPr>
          <w:rFonts w:ascii="宋体" w:hAnsi="宋体"/>
          <w:b w:val="0"/>
          <w:i w:val="0"/>
          <w:sz w:val="24"/>
        </w:rPr>
        <w:t xml:space="preserve">, </w:t>
      </w:r>
      <w:r>
        <w:rPr>
          <w:rFonts w:ascii="宋体" w:hAnsi="宋体"/>
          <w:b w:val="0"/>
          <w:i/>
          <w:sz w:val="24"/>
        </w:rPr>
        <w:t>Journal of Marketing Research</w:t>
      </w:r>
      <w:r>
        <w:rPr>
          <w:rFonts w:ascii="宋体" w:hAnsi="宋体"/>
          <w:b w:val="0"/>
          <w:i w:val="0"/>
          <w:sz w:val="24"/>
        </w:rPr>
        <w:t xml:space="preserve">, and </w:t>
      </w:r>
      <w:r>
        <w:rPr>
          <w:rFonts w:ascii="宋体" w:hAnsi="宋体"/>
          <w:b w:val="0"/>
          <w:i/>
          <w:sz w:val="24"/>
        </w:rPr>
        <w:t>Journal of the Academy of Marketing Science</w:t>
      </w:r>
      <w:r>
        <w:rPr>
          <w:rFonts w:ascii="宋体" w:hAnsi="宋体"/>
          <w:b w:val="0"/>
          <w:i w:val="0"/>
          <w:sz w:val="24"/>
        </w:rPr>
        <w:t>, as well as top computer science conferences including KDD, NeurIPS, and ICML. Thematically, consumer behavior prediction and recommendation systems are the most concentrated research areas, followed by advertising technology and social media analytics.</w:t>
      </w:r>
    </w:p>
    <w:p>
      <w:pPr>
        <w:pStyle w:val="Heading2"/>
      </w:pPr>
      <w:r>
        <w:rPr>
          <w:rFonts w:ascii="黑体" w:hAnsi="黑体"/>
          <w:b/>
          <w:i w:val="0"/>
          <w:color w:val="000000"/>
          <w:sz w:val="30"/>
        </w:rPr>
        <w:t>3 Core AI Technical Foundations</w:t>
      </w:r>
    </w:p>
    <w:p>
      <w:pPr>
        <w:spacing w:line="360" w:lineRule="auto"/>
        <w:ind w:firstLine="480"/>
      </w:pPr>
      <w:r>
        <w:rPr>
          <w:rFonts w:ascii="宋体" w:hAnsi="宋体"/>
          <w:b w:val="0"/>
          <w:i w:val="0"/>
          <w:sz w:val="24"/>
        </w:rPr>
        <w:t>Before delving into specific application domains, this section provides a brief overview of the core branches of AI technology, establishing the technical context for subsequent discussions. Table 1 summarizes the mapping between technical directions and marketing analytics application domains.</w:t>
      </w:r>
    </w:p>
    <w:p>
      <w:pPr>
        <w:spacing w:line="360" w:lineRule="auto"/>
        <w:ind w:firstLine="480"/>
      </w:pPr>
      <w:r>
        <w:rPr>
          <w:rFonts w:ascii="宋体" w:hAnsi="宋体"/>
          <w:b/>
          <w:i w:val="0"/>
          <w:sz w:val="24"/>
        </w:rPr>
        <w:t>Table 1: Mapping of Core AI Technologies to Marketing Analytics Application Domains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AI Technical Direction</w:t>
            </w:r>
          </w:p>
        </w:tc>
        <w:tc>
          <w:tcPr>
            <w:tcW w:type="dxa" w:w="2878"/>
            <w:shd w:fill="D9E2F3" w:val="clear"/>
          </w:tcPr>
          <w:p>
            <w:pPr>
              <w:jc w:val="left"/>
            </w:pPr>
            <w:r>
              <w:rPr>
                <w:rFonts w:ascii="宋体" w:hAnsi="宋体"/>
                <w:b/>
              </w:rPr>
            </w:r>
            <w:r>
              <w:rPr>
                <w:rFonts w:ascii="宋体" w:hAnsi="宋体"/>
                <w:b/>
                <w:i w:val="0"/>
                <w:sz w:val="18"/>
              </w:rPr>
              <w:t>Core Methods</w:t>
            </w:r>
          </w:p>
        </w:tc>
        <w:tc>
          <w:tcPr>
            <w:tcW w:type="dxa" w:w="2878"/>
            <w:shd w:fill="D9E2F3" w:val="clear"/>
          </w:tcPr>
          <w:p>
            <w:pPr>
              <w:jc w:val="left"/>
            </w:pPr>
            <w:r>
              <w:rPr>
                <w:rFonts w:ascii="宋体" w:hAnsi="宋体"/>
                <w:b/>
              </w:rPr>
            </w:r>
            <w:r>
              <w:rPr>
                <w:rFonts w:ascii="宋体" w:hAnsi="宋体"/>
                <w:b/>
                <w:i w:val="0"/>
                <w:sz w:val="18"/>
              </w:rPr>
              <w:t>Primary Marketing Analytics Applications</w:t>
            </w:r>
          </w:p>
        </w:tc>
      </w:tr>
      <w:tr>
        <w:tc>
          <w:tcPr>
            <w:tcW w:type="dxa" w:w="2878"/>
          </w:tcPr>
          <w:p>
            <w:pPr>
              <w:jc w:val="left"/>
            </w:pPr>
            <w:r>
              <w:rPr>
                <w:rFonts w:ascii="宋体" w:hAnsi="宋体"/>
              </w:rPr>
            </w:r>
            <w:r>
              <w:rPr>
                <w:rFonts w:ascii="宋体" w:hAnsi="宋体"/>
                <w:b w:val="0"/>
                <w:i w:val="0"/>
                <w:sz w:val="18"/>
              </w:rPr>
              <w:t>Supervised Learning</w:t>
            </w:r>
          </w:p>
        </w:tc>
        <w:tc>
          <w:tcPr>
            <w:tcW w:type="dxa" w:w="2878"/>
          </w:tcPr>
          <w:p>
            <w:pPr>
              <w:jc w:val="left"/>
            </w:pPr>
            <w:r>
              <w:rPr>
                <w:rFonts w:ascii="宋体" w:hAnsi="宋体"/>
              </w:rPr>
            </w:r>
            <w:r>
              <w:rPr>
                <w:rFonts w:ascii="宋体" w:hAnsi="宋体"/>
                <w:b w:val="0"/>
                <w:i w:val="0"/>
                <w:sz w:val="18"/>
              </w:rPr>
              <w:t>Logistic regression, SVM, XGBoost, LightGBM</w:t>
            </w:r>
          </w:p>
        </w:tc>
        <w:tc>
          <w:tcPr>
            <w:tcW w:type="dxa" w:w="2878"/>
          </w:tcPr>
          <w:p>
            <w:pPr>
              <w:jc w:val="left"/>
            </w:pPr>
            <w:r>
              <w:rPr>
                <w:rFonts w:ascii="宋体" w:hAnsi="宋体"/>
              </w:rPr>
            </w:r>
            <w:r>
              <w:rPr>
                <w:rFonts w:ascii="宋体" w:hAnsi="宋体"/>
                <w:b w:val="0"/>
                <w:i w:val="0"/>
                <w:sz w:val="18"/>
              </w:rPr>
              <w:t>Churn prediction, purchase prediction, CTR prediction, CLV estimation</w:t>
            </w:r>
          </w:p>
        </w:tc>
      </w:tr>
      <w:tr>
        <w:tc>
          <w:tcPr>
            <w:tcW w:type="dxa" w:w="2878"/>
          </w:tcPr>
          <w:p>
            <w:pPr>
              <w:jc w:val="left"/>
            </w:pPr>
            <w:r>
              <w:rPr>
                <w:rFonts w:ascii="宋体" w:hAnsi="宋体"/>
              </w:rPr>
            </w:r>
            <w:r>
              <w:rPr>
                <w:rFonts w:ascii="宋体" w:hAnsi="宋体"/>
                <w:b w:val="0"/>
                <w:i w:val="0"/>
                <w:sz w:val="18"/>
              </w:rPr>
              <w:t>Unsupervised Learning</w:t>
            </w:r>
          </w:p>
        </w:tc>
        <w:tc>
          <w:tcPr>
            <w:tcW w:type="dxa" w:w="2878"/>
          </w:tcPr>
          <w:p>
            <w:pPr>
              <w:jc w:val="left"/>
            </w:pPr>
            <w:r>
              <w:rPr>
                <w:rFonts w:ascii="宋体" w:hAnsi="宋体"/>
              </w:rPr>
            </w:r>
            <w:r>
              <w:rPr>
                <w:rFonts w:ascii="宋体" w:hAnsi="宋体"/>
                <w:b w:val="0"/>
                <w:i w:val="0"/>
                <w:sz w:val="18"/>
              </w:rPr>
              <w:t>K-means, DBSCAN, GMM, deep clustering</w:t>
            </w:r>
          </w:p>
        </w:tc>
        <w:tc>
          <w:tcPr>
            <w:tcW w:type="dxa" w:w="2878"/>
          </w:tcPr>
          <w:p>
            <w:pPr>
              <w:jc w:val="left"/>
            </w:pPr>
            <w:r>
              <w:rPr>
                <w:rFonts w:ascii="宋体" w:hAnsi="宋体"/>
              </w:rPr>
            </w:r>
            <w:r>
              <w:rPr>
                <w:rFonts w:ascii="宋体" w:hAnsi="宋体"/>
                <w:b w:val="0"/>
                <w:i w:val="0"/>
                <w:sz w:val="18"/>
              </w:rPr>
              <w:t>Market segmentation, consumer clustering, anomaly detection</w:t>
            </w:r>
          </w:p>
        </w:tc>
      </w:tr>
      <w:tr>
        <w:tc>
          <w:tcPr>
            <w:tcW w:type="dxa" w:w="2878"/>
          </w:tcPr>
          <w:p>
            <w:pPr>
              <w:jc w:val="left"/>
            </w:pPr>
            <w:r>
              <w:rPr>
                <w:rFonts w:ascii="宋体" w:hAnsi="宋体"/>
              </w:rPr>
            </w:r>
            <w:r>
              <w:rPr>
                <w:rFonts w:ascii="宋体" w:hAnsi="宋体"/>
                <w:b w:val="0"/>
                <w:i w:val="0"/>
                <w:sz w:val="18"/>
              </w:rPr>
              <w:t>Reinforcement Learning</w:t>
            </w:r>
          </w:p>
        </w:tc>
        <w:tc>
          <w:tcPr>
            <w:tcW w:type="dxa" w:w="2878"/>
          </w:tcPr>
          <w:p>
            <w:pPr>
              <w:jc w:val="left"/>
            </w:pPr>
            <w:r>
              <w:rPr>
                <w:rFonts w:ascii="宋体" w:hAnsi="宋体"/>
              </w:rPr>
            </w:r>
            <w:r>
              <w:rPr>
                <w:rFonts w:ascii="宋体" w:hAnsi="宋体"/>
                <w:b w:val="0"/>
                <w:i w:val="0"/>
                <w:sz w:val="18"/>
              </w:rPr>
              <w:t>Q-learning, DQN, policy gradient</w:t>
            </w:r>
          </w:p>
        </w:tc>
        <w:tc>
          <w:tcPr>
            <w:tcW w:type="dxa" w:w="2878"/>
          </w:tcPr>
          <w:p>
            <w:pPr>
              <w:jc w:val="left"/>
            </w:pPr>
            <w:r>
              <w:rPr>
                <w:rFonts w:ascii="宋体" w:hAnsi="宋体"/>
              </w:rPr>
            </w:r>
            <w:r>
              <w:rPr>
                <w:rFonts w:ascii="宋体" w:hAnsi="宋体"/>
                <w:b w:val="0"/>
                <w:i w:val="0"/>
                <w:sz w:val="18"/>
              </w:rPr>
              <w:t>Dynamic pricing, recommendation sequence optimization, ad bidding</w:t>
            </w:r>
          </w:p>
        </w:tc>
      </w:tr>
      <w:tr>
        <w:tc>
          <w:tcPr>
            <w:tcW w:type="dxa" w:w="2878"/>
          </w:tcPr>
          <w:p>
            <w:pPr>
              <w:jc w:val="left"/>
            </w:pPr>
            <w:r>
              <w:rPr>
                <w:rFonts w:ascii="宋体" w:hAnsi="宋体"/>
              </w:rPr>
            </w:r>
            <w:r>
              <w:rPr>
                <w:rFonts w:ascii="宋体" w:hAnsi="宋体"/>
                <w:b w:val="0"/>
                <w:i w:val="0"/>
                <w:sz w:val="18"/>
              </w:rPr>
              <w:t>Deep Learning</w:t>
            </w:r>
          </w:p>
        </w:tc>
        <w:tc>
          <w:tcPr>
            <w:tcW w:type="dxa" w:w="2878"/>
          </w:tcPr>
          <w:p>
            <w:pPr>
              <w:jc w:val="left"/>
            </w:pPr>
            <w:r>
              <w:rPr>
                <w:rFonts w:ascii="宋体" w:hAnsi="宋体"/>
              </w:rPr>
            </w:r>
            <w:r>
              <w:rPr>
                <w:rFonts w:ascii="宋体" w:hAnsi="宋体"/>
                <w:b w:val="0"/>
                <w:i w:val="0"/>
                <w:sz w:val="18"/>
              </w:rPr>
              <w:t>CNN, RNN/LSTM, Transformer</w:t>
            </w:r>
          </w:p>
        </w:tc>
        <w:tc>
          <w:tcPr>
            <w:tcW w:type="dxa" w:w="2878"/>
          </w:tcPr>
          <w:p>
            <w:pPr>
              <w:jc w:val="left"/>
            </w:pPr>
            <w:r>
              <w:rPr>
                <w:rFonts w:ascii="宋体" w:hAnsi="宋体"/>
              </w:rPr>
            </w:r>
            <w:r>
              <w:rPr>
                <w:rFonts w:ascii="宋体" w:hAnsi="宋体"/>
                <w:b w:val="0"/>
                <w:i w:val="0"/>
                <w:sz w:val="18"/>
              </w:rPr>
              <w:t>Behavioral sequence modeling, image analysis, text analysis</w:t>
            </w:r>
          </w:p>
        </w:tc>
      </w:tr>
      <w:tr>
        <w:tc>
          <w:tcPr>
            <w:tcW w:type="dxa" w:w="2878"/>
          </w:tcPr>
          <w:p>
            <w:pPr>
              <w:jc w:val="left"/>
            </w:pPr>
            <w:r>
              <w:rPr>
                <w:rFonts w:ascii="宋体" w:hAnsi="宋体"/>
              </w:rPr>
            </w:r>
            <w:r>
              <w:rPr>
                <w:rFonts w:ascii="宋体" w:hAnsi="宋体"/>
                <w:b w:val="0"/>
                <w:i w:val="0"/>
                <w:sz w:val="18"/>
              </w:rPr>
              <w:t>Natural Language Processing</w:t>
            </w:r>
          </w:p>
        </w:tc>
        <w:tc>
          <w:tcPr>
            <w:tcW w:type="dxa" w:w="2878"/>
          </w:tcPr>
          <w:p>
            <w:pPr>
              <w:jc w:val="left"/>
            </w:pPr>
            <w:r>
              <w:rPr>
                <w:rFonts w:ascii="宋体" w:hAnsi="宋体"/>
              </w:rPr>
            </w:r>
            <w:r>
              <w:rPr>
                <w:rFonts w:ascii="宋体" w:hAnsi="宋体"/>
                <w:b w:val="0"/>
                <w:i w:val="0"/>
                <w:sz w:val="18"/>
              </w:rPr>
              <w:t>BERT, GPT, LDA, sentiment analysis</w:t>
            </w:r>
          </w:p>
        </w:tc>
        <w:tc>
          <w:tcPr>
            <w:tcW w:type="dxa" w:w="2878"/>
          </w:tcPr>
          <w:p>
            <w:pPr>
              <w:jc w:val="left"/>
            </w:pPr>
            <w:r>
              <w:rPr>
                <w:rFonts w:ascii="宋体" w:hAnsi="宋体"/>
              </w:rPr>
            </w:r>
            <w:r>
              <w:rPr>
                <w:rFonts w:ascii="宋体" w:hAnsi="宋体"/>
                <w:b w:val="0"/>
                <w:i w:val="0"/>
                <w:sz w:val="18"/>
              </w:rPr>
              <w:t>Review analysis, social media listening, intelligent customer service</w:t>
            </w:r>
          </w:p>
        </w:tc>
      </w:tr>
      <w:tr>
        <w:tc>
          <w:tcPr>
            <w:tcW w:type="dxa" w:w="2878"/>
          </w:tcPr>
          <w:p>
            <w:pPr>
              <w:jc w:val="left"/>
            </w:pPr>
            <w:r>
              <w:rPr>
                <w:rFonts w:ascii="宋体" w:hAnsi="宋体"/>
              </w:rPr>
            </w:r>
            <w:r>
              <w:rPr>
                <w:rFonts w:ascii="宋体" w:hAnsi="宋体"/>
                <w:b w:val="0"/>
                <w:i w:val="0"/>
                <w:sz w:val="18"/>
              </w:rPr>
              <w:t>Computer Vision</w:t>
            </w:r>
          </w:p>
        </w:tc>
        <w:tc>
          <w:tcPr>
            <w:tcW w:type="dxa" w:w="2878"/>
          </w:tcPr>
          <w:p>
            <w:pPr>
              <w:jc w:val="left"/>
            </w:pPr>
            <w:r>
              <w:rPr>
                <w:rFonts w:ascii="宋体" w:hAnsi="宋体"/>
              </w:rPr>
            </w:r>
            <w:r>
              <w:rPr>
                <w:rFonts w:ascii="宋体" w:hAnsi="宋体"/>
                <w:b w:val="0"/>
                <w:i w:val="0"/>
                <w:sz w:val="18"/>
              </w:rPr>
              <w:t>CNN, ViT, CLIP</w:t>
            </w:r>
          </w:p>
        </w:tc>
        <w:tc>
          <w:tcPr>
            <w:tcW w:type="dxa" w:w="2878"/>
          </w:tcPr>
          <w:p>
            <w:pPr>
              <w:jc w:val="left"/>
            </w:pPr>
            <w:r>
              <w:rPr>
                <w:rFonts w:ascii="宋体" w:hAnsi="宋体"/>
              </w:rPr>
            </w:r>
            <w:r>
              <w:rPr>
                <w:rFonts w:ascii="宋体" w:hAnsi="宋体"/>
                <w:b w:val="0"/>
                <w:i w:val="0"/>
                <w:sz w:val="18"/>
              </w:rPr>
              <w:t>Ad creative analysis, brand monitoring, visual recommendation</w:t>
            </w:r>
          </w:p>
        </w:tc>
      </w:tr>
      <w:tr>
        <w:tc>
          <w:tcPr>
            <w:tcW w:type="dxa" w:w="2878"/>
          </w:tcPr>
          <w:p>
            <w:pPr>
              <w:jc w:val="left"/>
            </w:pPr>
            <w:r>
              <w:rPr>
                <w:rFonts w:ascii="宋体" w:hAnsi="宋体"/>
              </w:rPr>
            </w:r>
            <w:r>
              <w:rPr>
                <w:rFonts w:ascii="宋体" w:hAnsi="宋体"/>
                <w:b w:val="0"/>
                <w:i w:val="0"/>
                <w:sz w:val="18"/>
              </w:rPr>
              <w:t>Generative AI</w:t>
            </w:r>
          </w:p>
        </w:tc>
        <w:tc>
          <w:tcPr>
            <w:tcW w:type="dxa" w:w="2878"/>
          </w:tcPr>
          <w:p>
            <w:pPr>
              <w:jc w:val="left"/>
            </w:pPr>
            <w:r>
              <w:rPr>
                <w:rFonts w:ascii="宋体" w:hAnsi="宋体"/>
              </w:rPr>
            </w:r>
            <w:r>
              <w:rPr>
                <w:rFonts w:ascii="宋体" w:hAnsi="宋体"/>
                <w:b w:val="0"/>
                <w:i w:val="0"/>
                <w:sz w:val="18"/>
              </w:rPr>
              <w:t>LLM, diffusion models, GAN</w:t>
            </w:r>
          </w:p>
        </w:tc>
        <w:tc>
          <w:tcPr>
            <w:tcW w:type="dxa" w:w="2878"/>
          </w:tcPr>
          <w:p>
            <w:pPr>
              <w:jc w:val="left"/>
            </w:pPr>
            <w:r>
              <w:rPr>
                <w:rFonts w:ascii="宋体" w:hAnsi="宋体"/>
              </w:rPr>
            </w:r>
            <w:r>
              <w:rPr>
                <w:rFonts w:ascii="宋体" w:hAnsi="宋体"/>
                <w:b w:val="0"/>
                <w:i w:val="0"/>
                <w:sz w:val="18"/>
              </w:rPr>
              <w:t>Content generation, creative optimization, synthetic data</w:t>
            </w:r>
          </w:p>
        </w:tc>
      </w:tr>
      <w:tr>
        <w:tc>
          <w:tcPr>
            <w:tcW w:type="dxa" w:w="2878"/>
          </w:tcPr>
          <w:p>
            <w:pPr>
              <w:jc w:val="left"/>
            </w:pPr>
            <w:r>
              <w:rPr>
                <w:rFonts w:ascii="宋体" w:hAnsi="宋体"/>
              </w:rPr>
            </w:r>
            <w:r>
              <w:rPr>
                <w:rFonts w:ascii="宋体" w:hAnsi="宋体"/>
                <w:b w:val="0"/>
                <w:i w:val="0"/>
                <w:sz w:val="18"/>
              </w:rPr>
              <w:t>Causal Inference + ML</w:t>
            </w:r>
          </w:p>
        </w:tc>
        <w:tc>
          <w:tcPr>
            <w:tcW w:type="dxa" w:w="2878"/>
          </w:tcPr>
          <w:p>
            <w:pPr>
              <w:jc w:val="left"/>
            </w:pPr>
            <w:r>
              <w:rPr>
                <w:rFonts w:ascii="宋体" w:hAnsi="宋体"/>
              </w:rPr>
            </w:r>
            <w:r>
              <w:rPr>
                <w:rFonts w:ascii="宋体" w:hAnsi="宋体"/>
                <w:b w:val="0"/>
                <w:i w:val="0"/>
                <w:sz w:val="18"/>
              </w:rPr>
              <w:t>Causal forest, double ML, uplift modeling</w:t>
            </w:r>
          </w:p>
        </w:tc>
        <w:tc>
          <w:tcPr>
            <w:tcW w:type="dxa" w:w="2878"/>
          </w:tcPr>
          <w:p>
            <w:pPr>
              <w:jc w:val="left"/>
            </w:pPr>
            <w:r>
              <w:rPr>
                <w:rFonts w:ascii="宋体" w:hAnsi="宋体"/>
              </w:rPr>
            </w:r>
            <w:r>
              <w:rPr>
                <w:rFonts w:ascii="宋体" w:hAnsi="宋体"/>
                <w:b w:val="0"/>
                <w:i w:val="0"/>
                <w:sz w:val="18"/>
              </w:rPr>
              <w:t>Promotion effect evaluation, personalized intervention optimization</w:t>
            </w:r>
          </w:p>
        </w:tc>
      </w:tr>
    </w:tbl>
    <w:p/>
    <w:p>
      <w:pPr>
        <w:pStyle w:val="Heading3"/>
      </w:pPr>
      <w:r>
        <w:rPr>
          <w:rFonts w:ascii="黑体" w:hAnsi="黑体"/>
          <w:b/>
          <w:i w:val="0"/>
          <w:color w:val="000000"/>
          <w:sz w:val="26"/>
        </w:rPr>
        <w:t>3.1 Machine Learning</w:t>
      </w:r>
    </w:p>
    <w:p>
      <w:pPr>
        <w:spacing w:line="360" w:lineRule="auto"/>
        <w:ind w:firstLine="480"/>
      </w:pPr>
      <w:r>
        <w:rPr>
          <w:rFonts w:ascii="宋体" w:hAnsi="宋体"/>
          <w:b w:val="0"/>
          <w:i w:val="0"/>
          <w:sz w:val="24"/>
        </w:rPr>
        <w:t xml:space="preserve">Machine learning (ML) is the core branch of AI, referring to the ability of computer systems to automatically improve their performance through data (Mitchell, 1997). </w:t>
      </w:r>
      <w:r>
        <w:rPr>
          <w:rFonts w:ascii="宋体" w:hAnsi="宋体"/>
          <w:b/>
          <w:i w:val="0"/>
          <w:sz w:val="24"/>
        </w:rPr>
        <w:t>Supervised learning</w:t>
      </w:r>
      <w:r>
        <w:rPr>
          <w:rFonts w:ascii="宋体" w:hAnsi="宋体"/>
          <w:b w:val="0"/>
          <w:i w:val="0"/>
          <w:sz w:val="24"/>
        </w:rPr>
        <w:t xml:space="preserve"> methods are the most widely applied in marketing prediction tasks; ensemble methods such as XGBoost and LightGBM have become mainstream choices in marketing analytics owing to their excellent predictive performance and natural suitability for tabular data (Chen &amp; Guestrin, 2016). </w:t>
      </w:r>
      <w:r>
        <w:rPr>
          <w:rFonts w:ascii="宋体" w:hAnsi="宋体"/>
          <w:b/>
          <w:i w:val="0"/>
          <w:sz w:val="24"/>
        </w:rPr>
        <w:t>Unsupervised learning</w:t>
      </w:r>
      <w:r>
        <w:rPr>
          <w:rFonts w:ascii="宋体" w:hAnsi="宋体"/>
          <w:b w:val="0"/>
          <w:i w:val="0"/>
          <w:sz w:val="24"/>
        </w:rPr>
        <w:t xml:space="preserve"> methods play an important role in market segmentation and consumer clustering (Punj &amp; Stewart, 1983). </w:t>
      </w:r>
      <w:r>
        <w:rPr>
          <w:rFonts w:ascii="宋体" w:hAnsi="宋体"/>
          <w:b/>
          <w:i w:val="0"/>
          <w:sz w:val="24"/>
        </w:rPr>
        <w:t>Reinforcement learning</w:t>
      </w:r>
      <w:r>
        <w:rPr>
          <w:rFonts w:ascii="宋体" w:hAnsi="宋体"/>
          <w:b w:val="0"/>
          <w:i w:val="0"/>
          <w:sz w:val="24"/>
        </w:rPr>
        <w:t xml:space="preserve"> provides solutions for sequential decision problems in marketing (such as dynamic pricing and recommendation sequence optimization) that account for long-term cumulative returns (Sutton &amp; Barto, 2018).</w:t>
      </w:r>
    </w:p>
    <w:p>
      <w:pPr>
        <w:pStyle w:val="Heading3"/>
      </w:pPr>
      <w:r>
        <w:rPr>
          <w:rFonts w:ascii="黑体" w:hAnsi="黑体"/>
          <w:b/>
          <w:i w:val="0"/>
          <w:color w:val="000000"/>
          <w:sz w:val="26"/>
        </w:rPr>
        <w:t>3.2 Deep Learning and Transformers</w:t>
      </w:r>
    </w:p>
    <w:p>
      <w:pPr>
        <w:spacing w:line="360" w:lineRule="auto"/>
        <w:ind w:firstLine="480"/>
      </w:pPr>
      <w:r>
        <w:rPr>
          <w:rFonts w:ascii="宋体" w:hAnsi="宋体"/>
          <w:b w:val="0"/>
          <w:i w:val="0"/>
          <w:sz w:val="24"/>
        </w:rPr>
        <w:t>Deep learning achieves hierarchical representation learning through multi-layer neural network architectures, making breakthrough progress in processing unstructured data (Goodfellow et al., 2016). Convolutional neural networks (CNNs) excel at visual content analysis, recurrent neural networks (RNN/LSTM) are well-suited for sequence modeling (Hochreiter &amp; Schmidhuber, 1997), and the emergence of the Transformer architecture fundamentally transformed the deep learning landscape (Vaswani et al., 2017). Pre-trained models based on Transformers (such as BERT and the GPT series) have achieved unprecedented performance on both text and image tasks (Devlin et al., 2019; Dosovitskiy et al., 2020), providing a unified technical framework for multimodal data processing in marketing analytics.</w:t>
      </w:r>
    </w:p>
    <w:p>
      <w:pPr>
        <w:pStyle w:val="Heading3"/>
      </w:pPr>
      <w:r>
        <w:rPr>
          <w:rFonts w:ascii="黑体" w:hAnsi="黑体"/>
          <w:b/>
          <w:i w:val="0"/>
          <w:color w:val="000000"/>
          <w:sz w:val="26"/>
        </w:rPr>
        <w:t>3.3 Generative AI</w:t>
      </w:r>
    </w:p>
    <w:p>
      <w:pPr>
        <w:spacing w:line="360" w:lineRule="auto"/>
        <w:ind w:firstLine="480"/>
      </w:pPr>
      <w:r>
        <w:rPr>
          <w:rFonts w:ascii="宋体" w:hAnsi="宋体"/>
          <w:b w:val="0"/>
          <w:i w:val="0"/>
          <w:sz w:val="24"/>
        </w:rPr>
        <w:t>Generative AI technologies, exemplified by ChatGPT, have attracted widespread attention in the marketing field. Large language models (LLMs) have demonstrated powerful capabilities in marketing copywriting, customer service automation, and consumer insight extraction (Brown et al., 2020). Diffusion models are also finding increasing application in advertising visual asset generation (Rombach et al., 2022). Generative AI is redefining how marketing content is produced, making large-scale personalized content generation a reality.</w:t>
      </w:r>
    </w:p>
    <w:p>
      <w:pPr>
        <w:spacing w:line="360" w:lineRule="auto"/>
        <w:ind w:firstLine="480"/>
      </w:pPr>
      <w:r>
        <w:rPr>
          <w:rFonts w:ascii="宋体" w:hAnsi="宋体"/>
          <w:b w:val="0"/>
          <w:i w:val="0"/>
          <w:sz w:val="24"/>
        </w:rPr>
        <w:t>Building on this overview of technical foundations, the following sections examine AI applications in each core domain of marketing analytics in depth.</w:t>
      </w:r>
    </w:p>
    <w:p>
      <w:pPr>
        <w:pStyle w:val="Heading2"/>
      </w:pPr>
      <w:r>
        <w:rPr>
          <w:rFonts w:ascii="黑体" w:hAnsi="黑体"/>
          <w:b/>
          <w:i w:val="0"/>
          <w:color w:val="000000"/>
          <w:sz w:val="30"/>
        </w:rPr>
        <w:t>4 Consumer Behavior Analysis and Prediction</w:t>
      </w:r>
    </w:p>
    <w:p>
      <w:pPr>
        <w:spacing w:line="360" w:lineRule="auto"/>
        <w:ind w:firstLine="480"/>
      </w:pPr>
      <w:r>
        <w:rPr>
          <w:rFonts w:ascii="宋体" w:hAnsi="宋体"/>
          <w:b w:val="0"/>
          <w:i w:val="0"/>
          <w:sz w:val="24"/>
        </w:rPr>
        <w:t>Consumer behavior analysis is a central topic in marketing analytics. The introduction of AI technologies enables enterprises to capture consumers' deep preferences and behavioral patterns from massive behavioral data, enabling a shift from retrospective understanding to predictive foresight.</w:t>
      </w:r>
    </w:p>
    <w:p>
      <w:pPr>
        <w:pStyle w:val="Heading3"/>
      </w:pPr>
      <w:r>
        <w:rPr>
          <w:rFonts w:ascii="黑体" w:hAnsi="黑体"/>
          <w:b/>
          <w:i w:val="0"/>
          <w:color w:val="000000"/>
          <w:sz w:val="26"/>
        </w:rPr>
        <w:t>4.1 Purchase Behavior Prediction</w:t>
      </w:r>
    </w:p>
    <w:p>
      <w:pPr>
        <w:spacing w:line="360" w:lineRule="auto"/>
        <w:ind w:firstLine="480"/>
      </w:pPr>
      <w:r>
        <w:rPr>
          <w:rFonts w:ascii="宋体" w:hAnsi="宋体"/>
          <w:b w:val="0"/>
          <w:i w:val="0"/>
          <w:sz w:val="24"/>
        </w:rPr>
        <w:t>Consumer purchase behavior prediction is one of the most critical applications in marketing analytics. Traditional methods primarily rely on discrete choice models (such as the multinomial logit model) to analyze consumers' brand selection and purchase decisions (Guadagni &amp; Little, 1983). The introduction of AI technologies has greatly improved prediction accuracy and model flexibility.</w:t>
      </w:r>
    </w:p>
    <w:p>
      <w:pPr>
        <w:spacing w:line="360" w:lineRule="auto"/>
        <w:ind w:firstLine="480"/>
      </w:pPr>
      <w:r>
        <w:rPr>
          <w:rFonts w:ascii="宋体" w:hAnsi="宋体"/>
          <w:b w:val="0"/>
          <w:i w:val="0"/>
          <w:sz w:val="24"/>
        </w:rPr>
        <w:t>In e-commerce settings, deep learning models are widely applied to purchase conversion prediction. Hidasi et al. (2016) proposed a GRU-based session recommendation system that predicts purchase intent by modeling user browsing behavior sequences. Zhou et al.'s (2018) Deep Interest Network (DIN) adaptively learns the dynamic evolution of user interests by introducing attention mechanisms to perform weighted aggregation of user historical behaviors, achieving significant performance improvements in Alibaba's e-commerce scenarios. In recent years, Transformer-based behavioral sequence models (such as BERT4Rec) leverage bidirectional self-attention mechanisms to capture complex behavioral dependencies, further advancing purchase behavior prediction performance (Sun et al., 2019).</w:t>
      </w:r>
    </w:p>
    <w:p>
      <w:pPr>
        <w:spacing w:line="360" w:lineRule="auto"/>
        <w:ind w:firstLine="480"/>
      </w:pPr>
      <w:r>
        <w:rPr>
          <w:rFonts w:ascii="宋体" w:hAnsi="宋体"/>
          <w:b w:val="0"/>
          <w:i w:val="0"/>
          <w:sz w:val="24"/>
        </w:rPr>
        <w:t>Machine learning methods have also made important progress in predicting consumer purchase timing. Through comprehensive analysis of consumers' historical purchase records, browsing behavior, and external environmental variables (such as holidays and weather), gradient boosting models and deep learning models can predict the time window of a consumer's next purchase, providing data support for precision marketing timing decisions (Chamberlain et al., 2017).</w:t>
      </w:r>
    </w:p>
    <w:p>
      <w:pPr>
        <w:pStyle w:val="Heading3"/>
      </w:pPr>
      <w:r>
        <w:rPr>
          <w:rFonts w:ascii="黑体" w:hAnsi="黑体"/>
          <w:b/>
          <w:i w:val="0"/>
          <w:color w:val="000000"/>
          <w:sz w:val="26"/>
        </w:rPr>
        <w:t>4.2 Customer Churn Prediction</w:t>
      </w:r>
    </w:p>
    <w:p>
      <w:pPr>
        <w:spacing w:line="360" w:lineRule="auto"/>
        <w:ind w:firstLine="480"/>
      </w:pPr>
      <w:r>
        <w:rPr>
          <w:rFonts w:ascii="宋体" w:hAnsi="宋体"/>
          <w:b w:val="0"/>
          <w:i w:val="0"/>
          <w:sz w:val="24"/>
        </w:rPr>
        <w:t>Customer churn prediction is one of the most mature areas of AI application in marketing analytics. Research has shown that the cost of customer retention is significantly lower than that of new customer acquisition (Reichheld &amp; Sasser, 1990), making accurate identification of at-risk customers and timely retention interventions of tremendous commercial value.</w:t>
      </w:r>
    </w:p>
    <w:p>
      <w:pPr>
        <w:spacing w:line="360" w:lineRule="auto"/>
        <w:ind w:firstLine="480"/>
      </w:pPr>
      <w:r>
        <w:rPr>
          <w:rFonts w:ascii="宋体" w:hAnsi="宋体"/>
          <w:b w:val="0"/>
          <w:i w:val="0"/>
          <w:sz w:val="24"/>
        </w:rPr>
        <w:t>Early churn prediction research primarily employed traditional machine learning methods such as logistic regression and decision trees (Neslin et al., 2006). With technological advancement, ensemble learning methods (such as random forests and XGBoost) have gradually become mainstream owing to their stronger predictive capabilities. Lessmann et al. (2015) provided a comprehensive benchmarking study of state-of-the-art classification algorithms, establishing best-practice guidelines for predictive model selection. Verbeke et al.'s (2012) research demonstrated that profit-oriented data mining approaches can achieve both predictive accuracy and business value in telecommunications churn prediction. In recent years, deep learning methods have been introduced to churn prediction, demonstrating particular advantages in handling sequential behavioral data and multi-source heterogeneous data.</w:t>
      </w:r>
    </w:p>
    <w:p>
      <w:pPr>
        <w:spacing w:line="360" w:lineRule="auto"/>
        <w:ind w:firstLine="480"/>
      </w:pPr>
      <w:r>
        <w:rPr>
          <w:rFonts w:ascii="宋体" w:hAnsi="宋体"/>
          <w:b w:val="0"/>
          <w:i w:val="0"/>
          <w:sz w:val="24"/>
        </w:rPr>
        <w:t xml:space="preserve">Notably, churn prediction requires not only accurately identifying customers likely to churn but also understanding the reasons for churn and the effects of interventions. Ascarza (2018), writing in the </w:t>
      </w:r>
      <w:r>
        <w:rPr>
          <w:rFonts w:ascii="宋体" w:hAnsi="宋体"/>
          <w:b w:val="0"/>
          <w:i/>
          <w:sz w:val="24"/>
        </w:rPr>
        <w:t>Journal of Marketing Research</w:t>
      </w:r>
      <w:r>
        <w:rPr>
          <w:rFonts w:ascii="宋体" w:hAnsi="宋体"/>
          <w:b w:val="0"/>
          <w:i w:val="0"/>
          <w:sz w:val="24"/>
        </w:rPr>
        <w:t>, pointed out that a retention strategy targeting "high-probability churn customers" based purely on predictive models may not be optimal, since the customers most likely to churn are not necessarily the easiest to retain. This finding has driven the application of causal inference methods in customer retention strategy optimization—so-called "uplift modeling"—which estimates the incremental effect of marketing interventions on individuals to optimize targeting strategies (Devriendt et al., 2018).</w:t>
      </w:r>
    </w:p>
    <w:p>
      <w:pPr>
        <w:pStyle w:val="Heading3"/>
      </w:pPr>
      <w:r>
        <w:rPr>
          <w:rFonts w:ascii="黑体" w:hAnsi="黑体"/>
          <w:b/>
          <w:i w:val="0"/>
          <w:color w:val="000000"/>
          <w:sz w:val="26"/>
        </w:rPr>
        <w:t>4.3 Consumer Profiling and Behavioral Understanding</w:t>
      </w:r>
    </w:p>
    <w:p>
      <w:pPr>
        <w:spacing w:line="360" w:lineRule="auto"/>
        <w:ind w:firstLine="480"/>
      </w:pPr>
      <w:r>
        <w:rPr>
          <w:rFonts w:ascii="宋体" w:hAnsi="宋体"/>
          <w:b w:val="0"/>
          <w:i w:val="0"/>
          <w:sz w:val="24"/>
        </w:rPr>
        <w:t>AI technologies make it possible to construct fine-grained consumer profiles. By integrating multi-source data (transaction records, online behavior, social media activity, geolocation, etc.), machine learning models can infer consumers' deep attributes including demographic characteristics, interest preferences, lifestyle patterns, and values. Provost and Fawcett (2013) systematically discussed how to extract actionable business insights from data, laying the methodological foundation for consumer profiling.</w:t>
      </w:r>
    </w:p>
    <w:p>
      <w:pPr>
        <w:spacing w:line="360" w:lineRule="auto"/>
        <w:ind w:firstLine="480"/>
      </w:pPr>
      <w:r>
        <w:rPr>
          <w:rFonts w:ascii="宋体" w:hAnsi="宋体"/>
          <w:b w:val="0"/>
          <w:i w:val="0"/>
          <w:sz w:val="24"/>
        </w:rPr>
        <w:t>The development of graph neural networks (GNNs) provides new tools for modeling consumer social relationships. By propagating and aggregating information across consumer social networks, GNNs can capture the impact of social influence and peer effects on consumer behavior (Wu et al., 2020). Additionally, knowledge graph technologies organize relationships among consumers, products, brands, and behaviors into structured knowledge networks, providing rich semantic information to support marketing decisions.</w:t>
      </w:r>
    </w:p>
    <w:p>
      <w:pPr>
        <w:spacing w:line="360" w:lineRule="auto"/>
        <w:ind w:firstLine="480"/>
      </w:pPr>
      <w:r>
        <w:rPr>
          <w:rFonts w:ascii="宋体" w:hAnsi="宋体"/>
          <w:b w:val="0"/>
          <w:i w:val="0"/>
          <w:sz w:val="24"/>
        </w:rPr>
        <w:t>Building on deep understanding of consumer behavior, the next key question is how to effectively segment consumers into distinct groups and implement differentiated marketing strategies.</w:t>
      </w:r>
    </w:p>
    <w:p>
      <w:pPr>
        <w:pStyle w:val="Heading2"/>
      </w:pPr>
      <w:r>
        <w:rPr>
          <w:rFonts w:ascii="黑体" w:hAnsi="黑体"/>
          <w:b/>
          <w:i w:val="0"/>
          <w:color w:val="000000"/>
          <w:sz w:val="30"/>
        </w:rPr>
        <w:t>5 Market Segmentation and Targeting</w:t>
      </w:r>
    </w:p>
    <w:p>
      <w:pPr>
        <w:spacing w:line="360" w:lineRule="auto"/>
        <w:ind w:firstLine="480"/>
      </w:pPr>
      <w:r>
        <w:rPr>
          <w:rFonts w:ascii="宋体" w:hAnsi="宋体"/>
          <w:b w:val="0"/>
          <w:i w:val="0"/>
          <w:sz w:val="24"/>
        </w:rPr>
        <w:t>Market segmentation is the process of dividing consumers with similar characteristics into distinct groups and developing differentiated marketing strategies for each group. The introduction of AI technologies has shifted market segmentation from static grouping based on predefined rules to data-driven, dynamic, and fine-grained clustering.</w:t>
      </w:r>
    </w:p>
    <w:p>
      <w:pPr>
        <w:pStyle w:val="Heading3"/>
      </w:pPr>
      <w:r>
        <w:rPr>
          <w:rFonts w:ascii="黑体" w:hAnsi="黑体"/>
          <w:b/>
          <w:i w:val="0"/>
          <w:color w:val="000000"/>
          <w:sz w:val="26"/>
        </w:rPr>
        <w:t>5.1 AI-Driven Market Segmentation</w:t>
      </w:r>
    </w:p>
    <w:p>
      <w:pPr>
        <w:spacing w:line="360" w:lineRule="auto"/>
        <w:ind w:firstLine="480"/>
      </w:pPr>
      <w:r>
        <w:rPr>
          <w:rFonts w:ascii="宋体" w:hAnsi="宋体"/>
          <w:b w:val="0"/>
          <w:i w:val="0"/>
          <w:sz w:val="24"/>
        </w:rPr>
        <w:t>Traditional market segmentation methods primarily rely on manual grouping based on predefined variables such as demographics, geography, and psychographics. AI technologies have made data-driven dynamic market segmentation possible.</w:t>
      </w:r>
    </w:p>
    <w:p>
      <w:pPr>
        <w:spacing w:line="360" w:lineRule="auto"/>
        <w:ind w:firstLine="480"/>
      </w:pPr>
      <w:r>
        <w:rPr>
          <w:rFonts w:ascii="宋体" w:hAnsi="宋体"/>
          <w:b w:val="0"/>
          <w:i w:val="0"/>
          <w:sz w:val="24"/>
        </w:rPr>
        <w:t>Clustering algorithms are the most commonly used unsupervised learning methods in market segmentation. Beyond the classic K-means algorithm, density-based clustering (DBSCAN), spectral clustering, and model-based clustering methods demonstrate greater robustness in handling complex consumer data (Dolnicar &amp; Leisch, 2010). Deep clustering methods combine the feature extraction capabilities of deep learning with clustering objectives, learning low-dimensional representations favorable for clustering directly from high-dimensional raw data, achieving superior results in consumer segmentation (Xie et al., 2016).</w:t>
      </w:r>
    </w:p>
    <w:p>
      <w:pPr>
        <w:spacing w:line="360" w:lineRule="auto"/>
        <w:ind w:firstLine="480"/>
      </w:pPr>
      <w:r>
        <w:rPr>
          <w:rFonts w:ascii="宋体" w:hAnsi="宋体"/>
          <w:b w:val="0"/>
          <w:i w:val="0"/>
          <w:sz w:val="24"/>
        </w:rPr>
        <w:t>Latent class models and finite mixture models have a deep tradition in marketing academia. In recent years, their combination with deep learning has produced generative methods such as variational autoencoders (VAEs), which can discover the latent structure of consumer groups while learning low-dimensional data representations (Kingma &amp; Welling, 2014). Compared with traditional clustering methods, the advantage of VAEs lies in their ability to generate new consumer data samples, supporting data augmentation and simulation analysis.</w:t>
      </w:r>
    </w:p>
    <w:p>
      <w:pPr>
        <w:pStyle w:val="Heading3"/>
      </w:pPr>
      <w:r>
        <w:rPr>
          <w:rFonts w:ascii="黑体" w:hAnsi="黑体"/>
          <w:b/>
          <w:i w:val="0"/>
          <w:color w:val="000000"/>
          <w:sz w:val="26"/>
        </w:rPr>
        <w:t>5.2 Personalized Recommendation and Micro-Targeting</w:t>
      </w:r>
    </w:p>
    <w:p>
      <w:pPr>
        <w:spacing w:line="360" w:lineRule="auto"/>
        <w:ind w:firstLine="480"/>
      </w:pPr>
      <w:r>
        <w:rPr>
          <w:rFonts w:ascii="宋体" w:hAnsi="宋体"/>
          <w:b w:val="0"/>
          <w:i w:val="0"/>
          <w:sz w:val="24"/>
        </w:rPr>
        <w:t>Recommendation systems are among the most successful AI applications in marketing, essentially representing the ultimate extension of the market segmentation concept—refining segmentation granularity to the individual consumer level. From early collaborative filtering and content-based methods, through matrix factorization and factorization machines, to deep learning recommendation models, recommendation technology has undergone continuous evolution (Koren et al., 2009).</w:t>
      </w:r>
    </w:p>
    <w:p>
      <w:pPr>
        <w:spacing w:line="360" w:lineRule="auto"/>
        <w:ind w:firstLine="480"/>
      </w:pPr>
      <w:r>
        <w:rPr>
          <w:rFonts w:ascii="宋体" w:hAnsi="宋体"/>
          <w:b w:val="0"/>
          <w:i w:val="0"/>
          <w:sz w:val="24"/>
        </w:rPr>
        <w:t>Deep learning recommendation systems have become the mainstream solution in industry. The Wide &amp; Deep model (Cheng et al., 2016) combines the memorization capabilities of linear models with the generalization capabilities of deep networks, achieving notable results in Google Play Store recommendations. DeepFM models high-order feature interactions through the fusion of factorization machines and deep neural networks (Guo et al., 2017). Attention-based models (such as DIN and DIEN) can capture the dynamic evolution of user interests and have been widely deployed on e-commerce platforms such as Alibaba.</w:t>
      </w:r>
    </w:p>
    <w:p>
      <w:pPr>
        <w:spacing w:line="360" w:lineRule="auto"/>
        <w:ind w:firstLine="480"/>
      </w:pPr>
      <w:r>
        <w:rPr>
          <w:rFonts w:ascii="宋体" w:hAnsi="宋体"/>
          <w:b w:val="0"/>
          <w:i w:val="0"/>
          <w:sz w:val="24"/>
        </w:rPr>
        <w:t>Multi-Armed Bandit (MAB) and reinforcement learning methods provide theoretical frameworks for the exploration-exploitation trade-off in recommendation systems. Contextual bandit algorithms (such as LinUCB) have been used for real-time personalized news recommendation and ad display optimization (Li et al., 2010). Deep reinforcement learning has been applied to long-term user value optimization and global planning of recommendation sequences, enabling recommendation systems to optimize not only immediate click-through rates but also long-term user engagement and satisfaction.</w:t>
      </w:r>
    </w:p>
    <w:p>
      <w:pPr>
        <w:pStyle w:val="Heading3"/>
      </w:pPr>
      <w:r>
        <w:rPr>
          <w:rFonts w:ascii="黑体" w:hAnsi="黑体"/>
          <w:b/>
          <w:i w:val="0"/>
          <w:color w:val="000000"/>
          <w:sz w:val="26"/>
        </w:rPr>
        <w:t>5.3 Real-Time Personalization and the Personalization Paradox</w:t>
      </w:r>
    </w:p>
    <w:p>
      <w:pPr>
        <w:spacing w:line="360" w:lineRule="auto"/>
        <w:ind w:firstLine="480"/>
      </w:pPr>
      <w:r>
        <w:rPr>
          <w:rFonts w:ascii="宋体" w:hAnsi="宋体"/>
          <w:b w:val="0"/>
          <w:i w:val="0"/>
          <w:sz w:val="24"/>
        </w:rPr>
        <w:t>AI is shifting marketing personalization from batch-processing mode to real-time mode. Through streaming data processing and online learning algorithms, enterprises can dynamically adjust marketing content and strategies based on consumers' immediate behavior and contextual information (such as current location, browsing device, and time of day). Wedel and Kannan (2016) noted that marketing analytics in data-rich environments is transitioning from retrospective reporting to predictive and prescriptive analytics, with real-time personalization as a prime example of this transformation.</w:t>
      </w:r>
    </w:p>
    <w:p>
      <w:pPr>
        <w:spacing w:line="360" w:lineRule="auto"/>
        <w:ind w:firstLine="480"/>
      </w:pPr>
      <w:r>
        <w:rPr>
          <w:rFonts w:ascii="宋体" w:hAnsi="宋体"/>
          <w:b w:val="0"/>
          <w:i w:val="0"/>
          <w:sz w:val="24"/>
        </w:rPr>
        <w:t>However, increasing levels of personalization also give rise to the "personalization paradox"—excessively precise personalization may trigger consumer privacy concerns and aversion. Aguirre et al.'s (2015) experimental research revealed the complex relationship between information collection transparency and personalized advertising effectiveness: when consumers perceive that firms are collecting personal information without their knowledge, the effectiveness of personalized advertising actually decreases. This finding suggests that personalization strategies must find a balance between precision and consumer acceptance, with AI system transparency and consumer control being key factors influencing personalization acceptance. Furthermore, Puntoni et al. (2021) noted from a consumer experience perspective that AI-driven personalization may provoke deeper psychological responses related to data ownership, identity perception, and consumption autonomy.</w:t>
      </w:r>
    </w:p>
    <w:p>
      <w:pPr>
        <w:spacing w:line="360" w:lineRule="auto"/>
        <w:ind w:firstLine="480"/>
      </w:pPr>
      <w:r>
        <w:rPr>
          <w:rFonts w:ascii="宋体" w:hAnsi="宋体"/>
          <w:b w:val="0"/>
          <w:i w:val="0"/>
          <w:sz w:val="24"/>
        </w:rPr>
        <w:t>Market segmentation and personalized targeting address the question of "whom to market to," while the next critical decision concerns "at what price and through what promotional means" to reach target consumers.</w:t>
      </w:r>
    </w:p>
    <w:p>
      <w:pPr>
        <w:pStyle w:val="Heading2"/>
      </w:pPr>
      <w:r>
        <w:rPr>
          <w:rFonts w:ascii="黑体" w:hAnsi="黑体"/>
          <w:b/>
          <w:i w:val="0"/>
          <w:color w:val="000000"/>
          <w:sz w:val="30"/>
        </w:rPr>
        <w:t>6 Pricing and Promotion Optimization</w:t>
      </w:r>
    </w:p>
    <w:p>
      <w:pPr>
        <w:spacing w:line="360" w:lineRule="auto"/>
        <w:ind w:firstLine="480"/>
      </w:pPr>
      <w:r>
        <w:rPr>
          <w:rFonts w:ascii="宋体" w:hAnsi="宋体"/>
          <w:b w:val="0"/>
          <w:i w:val="0"/>
          <w:sz w:val="24"/>
        </w:rPr>
        <w:t>Pricing and promotion are core elements of the marketing mix (4P) that directly impact enterprise revenue. The introduction of AI technologies enables enterprises to move beyond traditional cost-plus and competitive benchmarking pricing methods, achieving dynamic optimization based on real-time data.</w:t>
      </w:r>
    </w:p>
    <w:p>
      <w:pPr>
        <w:pStyle w:val="Heading3"/>
      </w:pPr>
      <w:r>
        <w:rPr>
          <w:rFonts w:ascii="黑体" w:hAnsi="黑体"/>
          <w:b/>
          <w:i w:val="0"/>
          <w:color w:val="000000"/>
          <w:sz w:val="26"/>
        </w:rPr>
        <w:t>6.1 Dynamic Pricing</w:t>
      </w:r>
    </w:p>
    <w:p>
      <w:pPr>
        <w:spacing w:line="360" w:lineRule="auto"/>
        <w:ind w:firstLine="480"/>
      </w:pPr>
      <w:r>
        <w:rPr>
          <w:rFonts w:ascii="宋体" w:hAnsi="宋体"/>
          <w:b w:val="0"/>
          <w:i w:val="0"/>
          <w:sz w:val="24"/>
        </w:rPr>
        <w:t>Dynamic pricing is one of the most valuable applications of AI in marketing analytics. AI-driven dynamic pricing can comprehensively consider demand elasticity, competitive environment, inventory levels, and consumer willingness to pay, enabling real-time price optimization (den Boer, 2015).</w:t>
      </w:r>
    </w:p>
    <w:p>
      <w:pPr>
        <w:spacing w:line="360" w:lineRule="auto"/>
        <w:ind w:firstLine="480"/>
      </w:pPr>
      <w:r>
        <w:rPr>
          <w:rFonts w:ascii="宋体" w:hAnsi="宋体"/>
          <w:b w:val="0"/>
          <w:i w:val="0"/>
          <w:sz w:val="24"/>
        </w:rPr>
        <w:t>Reinforcement learning methods have demonstrated unique advantages in dynamic pricing. By modeling the pricing problem as a Markov Decision Process (MDP), Q-learning and policy gradient methods can learn optimal pricing strategies that account for long-term returns. For example, Alibaba uses deep reinforcement learning to optimize its real-time bidding strategies, reducing advertiser costs while maintaining advertising effectiveness (Cai et al., 2017).</w:t>
      </w:r>
    </w:p>
    <w:p>
      <w:pPr>
        <w:spacing w:line="360" w:lineRule="auto"/>
        <w:ind w:firstLine="480"/>
      </w:pPr>
      <w:r>
        <w:rPr>
          <w:rFonts w:ascii="宋体" w:hAnsi="宋体"/>
          <w:b w:val="0"/>
          <w:i w:val="0"/>
          <w:sz w:val="24"/>
        </w:rPr>
        <w:t>Demand forecasting is the foundation of dynamic pricing. Deep learning models such as LSTM and Temporal Convolutional Networks (TCN) have achieved performance surpassing traditional time series methods (such as ARIMA) in sales forecasting. In recent years, Transformer-based time series forecasting models (such as Informer and Autoformer) have further improved the accuracy and computational efficiency of long-term demand forecasting through sparse attention mechanisms and decomposition architectures (Zhou et al., 2021).</w:t>
      </w:r>
    </w:p>
    <w:p>
      <w:pPr>
        <w:pStyle w:val="Heading3"/>
      </w:pPr>
      <w:r>
        <w:rPr>
          <w:rFonts w:ascii="黑体" w:hAnsi="黑体"/>
          <w:b/>
          <w:i w:val="0"/>
          <w:color w:val="000000"/>
          <w:sz w:val="26"/>
        </w:rPr>
        <w:t>6.2 Promotion Strategy Optimization</w:t>
      </w:r>
    </w:p>
    <w:p>
      <w:pPr>
        <w:spacing w:line="360" w:lineRule="auto"/>
        <w:ind w:firstLine="480"/>
      </w:pPr>
      <w:r>
        <w:rPr>
          <w:rFonts w:ascii="宋体" w:hAnsi="宋体"/>
          <w:b w:val="0"/>
          <w:i w:val="0"/>
          <w:sz w:val="24"/>
        </w:rPr>
        <w:t>AI applications in promotion strategy optimization span multiple aspects, including promotion timing, discount level design, and target audience selection. Machine learning models can learn the differential effects of different promotional strategies on different consumer segments from historical promotion data, enabling personalized promotion optimization.</w:t>
      </w:r>
    </w:p>
    <w:p>
      <w:pPr>
        <w:spacing w:line="360" w:lineRule="auto"/>
        <w:ind w:firstLine="480"/>
      </w:pPr>
      <w:r>
        <w:rPr>
          <w:rFonts w:ascii="宋体" w:hAnsi="宋体"/>
          <w:b w:val="0"/>
          <w:i w:val="0"/>
          <w:sz w:val="24"/>
        </w:rPr>
        <w:t>Causal inference methods are receiving increasing attention in promotion effect evaluation. Although traditional A/B testing is the "gold standard" for causal inference, it often faces challenges in practice such as insufficient sample sizes, lengthy testing periods, and spillover effects. Double Machine Learning combines machine learning estimation of high-dimensional control variables with semiparametric estimation of causal parameters, yielding unbiased treatment effect estimates even in the presence of high-dimensional confounders (Chernozhukov et al., 2018). Causal Forests extend the random forest concept to heterogeneous treatment effect estimation, identifying which consumers are most responsive to promotions and thereby enabling precision promotional targeting (Athey &amp; Imbens, 2019).</w:t>
      </w:r>
    </w:p>
    <w:p>
      <w:pPr>
        <w:pStyle w:val="Heading3"/>
      </w:pPr>
      <w:r>
        <w:rPr>
          <w:rFonts w:ascii="黑体" w:hAnsi="黑体"/>
          <w:b/>
          <w:i w:val="0"/>
          <w:color w:val="000000"/>
          <w:sz w:val="26"/>
        </w:rPr>
        <w:t>6.3 Marketing Mix Modeling</w:t>
      </w:r>
    </w:p>
    <w:p>
      <w:pPr>
        <w:spacing w:line="360" w:lineRule="auto"/>
        <w:ind w:firstLine="480"/>
      </w:pPr>
      <w:r>
        <w:rPr>
          <w:rFonts w:ascii="宋体" w:hAnsi="宋体"/>
          <w:b w:val="0"/>
          <w:i w:val="0"/>
          <w:sz w:val="24"/>
        </w:rPr>
        <w:t>Marketing Mix Models (MMM) are used to evaluate the return on investment (ROI) of different marketing channels and activities, guiding marketing budget allocation. Traditional MMMs are primarily based on linear regression models, assuming independent channel effects and linear relationships—assumptions that often fail to hold in complex digital marketing environments.</w:t>
      </w:r>
    </w:p>
    <w:p>
      <w:pPr>
        <w:spacing w:line="360" w:lineRule="auto"/>
        <w:ind w:firstLine="480"/>
      </w:pPr>
      <w:r>
        <w:rPr>
          <w:rFonts w:ascii="宋体" w:hAnsi="宋体"/>
          <w:b w:val="0"/>
          <w:i w:val="0"/>
          <w:sz w:val="24"/>
        </w:rPr>
        <w:t>AI-enhanced MMMs employ nonlinear machine learning models (such as gradient boosted trees and neural networks) to capture interaction effects among channels and nonlinear response relationships. Bayesian methods provide more robust estimation through prior information under data-sparse conditions. Jin et al. (2017) proposed a Bayesian marketing mix modeling framework incorporating carryover and shape effects, enabling more accurate quantification of the short-term and long-term effects of different media channels. Google's open-source tool Meridian and Meta's Robyn project both build on this approach, using Bayesian frameworks to address the limitations of traditional MMMs and providing enterprises with more transparent and reproducible marketing attribution analysis tools.</w:t>
      </w:r>
    </w:p>
    <w:p>
      <w:pPr>
        <w:spacing w:line="360" w:lineRule="auto"/>
        <w:ind w:firstLine="480"/>
      </w:pPr>
      <w:r>
        <w:rPr>
          <w:rFonts w:ascii="宋体" w:hAnsi="宋体"/>
          <w:b w:val="0"/>
          <w:i w:val="0"/>
          <w:sz w:val="24"/>
        </w:rPr>
        <w:t>Having determined pricing and promotional strategies, enterprises need advertising and content marketing to deliver their marketing messages. AI technologies play an equally critical role in this stage.</w:t>
      </w:r>
    </w:p>
    <w:p>
      <w:pPr>
        <w:pStyle w:val="Heading2"/>
      </w:pPr>
      <w:r>
        <w:rPr>
          <w:rFonts w:ascii="黑体" w:hAnsi="黑体"/>
          <w:b/>
          <w:i w:val="0"/>
          <w:color w:val="000000"/>
          <w:sz w:val="30"/>
        </w:rPr>
        <w:t>7 Advertising and Content Marketing</w:t>
      </w:r>
    </w:p>
    <w:p>
      <w:pPr>
        <w:spacing w:line="360" w:lineRule="auto"/>
        <w:ind w:firstLine="480"/>
      </w:pPr>
      <w:r>
        <w:rPr>
          <w:rFonts w:ascii="宋体" w:hAnsi="宋体"/>
          <w:b w:val="0"/>
          <w:i w:val="0"/>
          <w:sz w:val="24"/>
        </w:rPr>
        <w:t>Digital advertising and content marketing are among the earliest marketing domains to achieve large-scale commercial deployment of AI technologies. From automated bidding in programmatic advertising to AI-driven creative generation, AI is reshaping every link in the advertising value chain.</w:t>
      </w:r>
    </w:p>
    <w:p>
      <w:pPr>
        <w:pStyle w:val="Heading3"/>
      </w:pPr>
      <w:r>
        <w:rPr>
          <w:rFonts w:ascii="黑体" w:hAnsi="黑体"/>
          <w:b/>
          <w:i w:val="0"/>
          <w:color w:val="000000"/>
          <w:sz w:val="26"/>
        </w:rPr>
        <w:t>7.1 Programmatic Advertising and Real-Time Bidding</w:t>
      </w:r>
    </w:p>
    <w:p>
      <w:pPr>
        <w:spacing w:line="360" w:lineRule="auto"/>
        <w:ind w:firstLine="480"/>
      </w:pPr>
      <w:r>
        <w:rPr>
          <w:rFonts w:ascii="宋体" w:hAnsi="宋体"/>
          <w:b w:val="0"/>
          <w:i w:val="0"/>
          <w:sz w:val="24"/>
        </w:rPr>
        <w:t>Programmatic advertising is one of the largest-scale applications of AI in digital marketing. In real-time bidding (RTB) systems, AI models must complete the evaluation of ad impression opportunities and bidding decisions within milliseconds.</w:t>
      </w:r>
    </w:p>
    <w:p>
      <w:pPr>
        <w:spacing w:line="360" w:lineRule="auto"/>
        <w:ind w:firstLine="480"/>
      </w:pPr>
      <w:r>
        <w:rPr>
          <w:rFonts w:ascii="宋体" w:hAnsi="宋体"/>
          <w:b w:val="0"/>
          <w:i w:val="0"/>
          <w:sz w:val="24"/>
        </w:rPr>
        <w:t>Click-through rate (CTR) prediction is the core technology of programmatic advertising. From early logistic regression models to deep learning models such as Deep Crossing (Shan et al., 2016) and DeepFM (Guo et al., 2017), CTR prediction technology has undergone continuous evolution. Industry practice has shown that innovations in feature engineering and model architecture contribute equally to improving CTR prediction performance. In recent years, Transformer-based CTR models automatically learn high-order feature interactions through self-attention mechanisms, further reducing the need for manual feature engineering.</w:t>
      </w:r>
    </w:p>
    <w:p>
      <w:pPr>
        <w:spacing w:line="360" w:lineRule="auto"/>
        <w:ind w:firstLine="480"/>
      </w:pPr>
      <w:r>
        <w:rPr>
          <w:rFonts w:ascii="宋体" w:hAnsi="宋体"/>
          <w:b w:val="0"/>
          <w:i w:val="0"/>
          <w:sz w:val="24"/>
        </w:rPr>
        <w:t>Attribution modeling is another critical issue in advertising effectiveness analysis. Traditional last-click attribution models severely underestimate the contribution of upper-funnel activities (such as brand display advertising). Dalessandro et al. (2012) proposed a causally motivated attribution method that uses counterfactual reasoning for more equitable conversion credit allocation. Data-driven attribution models based on Shapley values and Markov chains have also been widely adopted in practice, providing theoretically more rigorous solutions for multi-touch attribution.</w:t>
      </w:r>
    </w:p>
    <w:p>
      <w:pPr>
        <w:pStyle w:val="Heading3"/>
      </w:pPr>
      <w:r>
        <w:rPr>
          <w:rFonts w:ascii="黑体" w:hAnsi="黑体"/>
          <w:b/>
          <w:i w:val="0"/>
          <w:color w:val="000000"/>
          <w:sz w:val="26"/>
        </w:rPr>
        <w:t>7.2 Ad Creative Optimization</w:t>
      </w:r>
    </w:p>
    <w:p>
      <w:pPr>
        <w:spacing w:line="360" w:lineRule="auto"/>
        <w:ind w:firstLine="480"/>
      </w:pPr>
      <w:r>
        <w:rPr>
          <w:rFonts w:ascii="宋体" w:hAnsi="宋体"/>
          <w:b w:val="0"/>
          <w:i w:val="0"/>
          <w:sz w:val="24"/>
        </w:rPr>
        <w:t>AI technologies are revolutionizing the production and optimization of advertising creatives. Computer vision and NLP technologies can automatically analyze the visual and textual features of ad assets, predicting their attractiveness and persuasiveness. Liu et al. (2020) developed a deep learning-based "Visual Listening In" method that automatically extracts brand image features from social media images, providing data-driven support for optimizing the visual elements of ad creatives.</w:t>
      </w:r>
    </w:p>
    <w:p>
      <w:pPr>
        <w:spacing w:line="360" w:lineRule="auto"/>
        <w:ind w:firstLine="480"/>
      </w:pPr>
      <w:r>
        <w:rPr>
          <w:rFonts w:ascii="宋体" w:hAnsi="宋体"/>
          <w:b w:val="0"/>
          <w:i w:val="0"/>
          <w:sz w:val="24"/>
        </w:rPr>
        <w:t xml:space="preserve">Multi-armed bandit algorithms are used for automated testing and optimization of ad creatives. Schwartz et al.'s (2017) research, published in </w:t>
      </w:r>
      <w:r>
        <w:rPr>
          <w:rFonts w:ascii="宋体" w:hAnsi="宋体"/>
          <w:b w:val="0"/>
          <w:i/>
          <w:sz w:val="24"/>
        </w:rPr>
        <w:t>Marketing Science</w:t>
      </w:r>
      <w:r>
        <w:rPr>
          <w:rFonts w:ascii="宋体" w:hAnsi="宋体"/>
          <w:b w:val="0"/>
          <w:i w:val="0"/>
          <w:sz w:val="24"/>
        </w:rPr>
        <w:t>, demonstrated how multi-armed bandit experiments can optimize display advertising creative combinations, using online learning to rapidly identify optimal combinations of ad headlines, images, and calls-to-action (CTAs), enabling continuous iterative optimization of ad creatives.</w:t>
      </w:r>
    </w:p>
    <w:p>
      <w:pPr>
        <w:spacing w:line="360" w:lineRule="auto"/>
        <w:ind w:firstLine="480"/>
      </w:pPr>
      <w:r>
        <w:rPr>
          <w:rFonts w:ascii="宋体" w:hAnsi="宋体"/>
          <w:b w:val="0"/>
          <w:i w:val="0"/>
          <w:sz w:val="24"/>
        </w:rPr>
        <w:t xml:space="preserve">The emergence of generative AI has further accelerated the revolution in ad creative production. Reisenbichler et al. (2022), in research published in </w:t>
      </w:r>
      <w:r>
        <w:rPr>
          <w:rFonts w:ascii="宋体" w:hAnsi="宋体"/>
          <w:b w:val="0"/>
          <w:i/>
          <w:sz w:val="24"/>
        </w:rPr>
        <w:t>Marketing Science</w:t>
      </w:r>
      <w:r>
        <w:rPr>
          <w:rFonts w:ascii="宋体" w:hAnsi="宋体"/>
          <w:b w:val="0"/>
          <w:i w:val="0"/>
          <w:sz w:val="24"/>
        </w:rPr>
        <w:t>, demonstrated that content marketing tools based on natural language generation can significantly improve content production efficiency while maintaining quality. Large language models can generate diverse advertising copy and marketing content, while diffusion models can generate or edit advertising visual assets, making rapid production of large-scale personalized ad creatives a reality.</w:t>
      </w:r>
    </w:p>
    <w:p>
      <w:pPr>
        <w:pStyle w:val="Heading3"/>
      </w:pPr>
      <w:r>
        <w:rPr>
          <w:rFonts w:ascii="黑体" w:hAnsi="黑体"/>
          <w:b/>
          <w:i w:val="0"/>
          <w:color w:val="000000"/>
          <w:sz w:val="26"/>
        </w:rPr>
        <w:t>7.3 Content Marketing and Search Optimization</w:t>
      </w:r>
    </w:p>
    <w:p>
      <w:pPr>
        <w:spacing w:line="360" w:lineRule="auto"/>
        <w:ind w:firstLine="480"/>
      </w:pPr>
      <w:r>
        <w:rPr>
          <w:rFonts w:ascii="宋体" w:hAnsi="宋体"/>
          <w:b w:val="0"/>
          <w:i w:val="0"/>
          <w:sz w:val="24"/>
        </w:rPr>
        <w:t>In the content marketing domain, AI technologies are used for content strategy planning, content creation, and content distribution optimization. NLP technologies can analyze the performance data of large volumes of existing content, identifying effective content topics, formats, and style features to guide content strategy development. Topic modeling techniques (such as LDA) are used to automatically discover latent topics from large-scale text corpora, helping marketers understand trending topics and evolving consumer interests (Blei et al., 2003).</w:t>
      </w:r>
    </w:p>
    <w:p>
      <w:pPr>
        <w:spacing w:line="360" w:lineRule="auto"/>
        <w:ind w:firstLine="480"/>
      </w:pPr>
      <w:r>
        <w:rPr>
          <w:rFonts w:ascii="宋体" w:hAnsi="宋体"/>
          <w:b w:val="0"/>
          <w:i w:val="0"/>
          <w:sz w:val="24"/>
        </w:rPr>
        <w:t>Search engine optimization (SEO) is an important component of content marketing. As search engines themselves increasingly adopt AI technologies (such as Google's BERT and MUM algorithms for understanding the semantic intent of search queries), SEO strategies must adapt accordingly, shifting from traditional keyword density optimization toward semantic relevance and user intent satisfaction. AI-driven SEO tools can analyze search intent, evaluate keyword competitiveness, optimize content structure, and predict ranking changes, helping enterprises achieve greater visibility in search results.</w:t>
      </w:r>
    </w:p>
    <w:p>
      <w:pPr>
        <w:spacing w:line="360" w:lineRule="auto"/>
        <w:ind w:firstLine="480"/>
      </w:pPr>
      <w:r>
        <w:rPr>
          <w:rFonts w:ascii="宋体" w:hAnsi="宋体"/>
          <w:b w:val="0"/>
          <w:i w:val="0"/>
          <w:sz w:val="24"/>
        </w:rPr>
        <w:t>Furthermore, AI technologies support intelligent content distribution and channel optimization. By analyzing the audience characteristics and content consumption patterns of different channels (social media, email, search engines), machine learning models can recommend the optimal distribution channel, publication timing, and target audience combination for each piece of content, maximizing content reach and conversion rates.</w:t>
      </w:r>
    </w:p>
    <w:p>
      <w:pPr>
        <w:spacing w:line="360" w:lineRule="auto"/>
        <w:ind w:firstLine="480"/>
      </w:pPr>
      <w:r>
        <w:rPr>
          <w:rFonts w:ascii="宋体" w:hAnsi="宋体"/>
          <w:b w:val="0"/>
          <w:i w:val="0"/>
          <w:sz w:val="24"/>
        </w:rPr>
        <w:t>The effectiveness of advertising and content marketing depends largely on consumer responses and dissemination on social media. Accordingly, social media analysis has become an indispensable component of evaluating and optimizing marketing effectiveness.</w:t>
      </w:r>
    </w:p>
    <w:p>
      <w:pPr>
        <w:pStyle w:val="Heading2"/>
      </w:pPr>
      <w:r>
        <w:rPr>
          <w:rFonts w:ascii="黑体" w:hAnsi="黑体"/>
          <w:b/>
          <w:i w:val="0"/>
          <w:color w:val="000000"/>
          <w:sz w:val="30"/>
        </w:rPr>
        <w:t>8 Social Media and Word-of-Mouth Analysis</w:t>
      </w:r>
    </w:p>
    <w:p>
      <w:pPr>
        <w:spacing w:line="360" w:lineRule="auto"/>
        <w:ind w:firstLine="480"/>
      </w:pPr>
      <w:r>
        <w:rPr>
          <w:rFonts w:ascii="宋体" w:hAnsi="宋体"/>
          <w:b w:val="0"/>
          <w:i w:val="0"/>
          <w:sz w:val="24"/>
        </w:rPr>
        <w:t>Social media has become the primary platform for consumers to express opinions, share experiences, and exchange information. AI technologies enable enterprises to extract marketing insights from massive social media data in real time, achieving precise monitoring of brand reputation, consumer sentiment, and market trends.</w:t>
      </w:r>
    </w:p>
    <w:p>
      <w:pPr>
        <w:pStyle w:val="Heading3"/>
      </w:pPr>
      <w:r>
        <w:rPr>
          <w:rFonts w:ascii="黑体" w:hAnsi="黑体"/>
          <w:b/>
          <w:i w:val="0"/>
          <w:color w:val="000000"/>
          <w:sz w:val="26"/>
        </w:rPr>
        <w:t>8.1 Social Media Listening and Trend Analysis</w:t>
      </w:r>
    </w:p>
    <w:p>
      <w:pPr>
        <w:spacing w:line="360" w:lineRule="auto"/>
        <w:ind w:firstLine="480"/>
      </w:pPr>
      <w:r>
        <w:rPr>
          <w:rFonts w:ascii="宋体" w:hAnsi="宋体"/>
          <w:b w:val="0"/>
          <w:i w:val="0"/>
          <w:sz w:val="24"/>
        </w:rPr>
        <w:t>AI-driven social media listening systems can collect and analyze massive volumes of user-generated content in real time from platforms such as Twitter, Instagram, and their Chinese counterparts Weibo (microblogging), WeChat (messaging and content), and TikTok/Douyin (short video).</w:t>
      </w:r>
    </w:p>
    <w:p>
      <w:pPr>
        <w:spacing w:line="360" w:lineRule="auto"/>
        <w:ind w:firstLine="480"/>
      </w:pPr>
      <w:r>
        <w:rPr>
          <w:rFonts w:ascii="宋体" w:hAnsi="宋体"/>
          <w:b w:val="0"/>
          <w:i w:val="0"/>
          <w:sz w:val="24"/>
        </w:rPr>
        <w:t>Sentiment analysis is the core technology of social media listening. From early lexicon-based methods and feature-based machine learning approaches to end-to-end deep learning models, sentiment analysis technology can now capture fine-grained emotional information in consumer texts (Pang &amp; Lee, 2008). Pre-trained language models such as BERT have achieved significant advances in social media sentiment analysis, with the ability to understand internet slang, emojis, and complex linguistic phenomena such as sarcasm (Devlin et al., 2019). The growing demand for multilingual and cross-cultural sentiment analysis has also driven the development of multilingual NLP models, enabling global brands to uniformly monitor consumer sentiment across different language markets.</w:t>
      </w:r>
    </w:p>
    <w:p>
      <w:pPr>
        <w:spacing w:line="360" w:lineRule="auto"/>
        <w:ind w:firstLine="480"/>
      </w:pPr>
      <w:r>
        <w:rPr>
          <w:rFonts w:ascii="宋体" w:hAnsi="宋体"/>
          <w:b w:val="0"/>
          <w:i w:val="0"/>
          <w:sz w:val="24"/>
        </w:rPr>
        <w:t>Trend detection and anomaly discovery technologies help brands promptly capture trending topics and crisis events on social media. Time series anomaly detection algorithms and graph neural networks are used to identify topic diffusion patterns and information cascade phenomena, providing early warning for brands' real-time responses (Zubiaga et al., 2018). This capability is particularly important in brand crisis management—AI systems can issue warnings in the early stages of a negative event's escalation, giving corporate PR teams valuable response time.</w:t>
      </w:r>
    </w:p>
    <w:p>
      <w:pPr>
        <w:pStyle w:val="Heading3"/>
      </w:pPr>
      <w:r>
        <w:rPr>
          <w:rFonts w:ascii="黑体" w:hAnsi="黑体"/>
          <w:b/>
          <w:i w:val="0"/>
          <w:color w:val="000000"/>
          <w:sz w:val="26"/>
        </w:rPr>
        <w:t>8.2 Opinion Leader Identification and Influencer Marketing</w:t>
      </w:r>
    </w:p>
    <w:p>
      <w:pPr>
        <w:spacing w:line="360" w:lineRule="auto"/>
        <w:ind w:firstLine="480"/>
      </w:pPr>
      <w:r>
        <w:rPr>
          <w:rFonts w:ascii="宋体" w:hAnsi="宋体"/>
          <w:b w:val="0"/>
          <w:i w:val="0"/>
          <w:sz w:val="24"/>
        </w:rPr>
        <w:t>Influencer marketing has become an important component of brand marketing strategies. AI technologies play an increasingly important role in influencer selection and effectiveness evaluation.</w:t>
      </w:r>
    </w:p>
    <w:p>
      <w:pPr>
        <w:spacing w:line="360" w:lineRule="auto"/>
        <w:ind w:firstLine="480"/>
      </w:pPr>
      <w:r>
        <w:rPr>
          <w:rFonts w:ascii="宋体" w:hAnsi="宋体"/>
          <w:b w:val="0"/>
          <w:i w:val="0"/>
          <w:sz w:val="24"/>
        </w:rPr>
        <w:t>Graph analysis and social network analysis methods are used to identify high-influence opinion leaders. PageRank, centrality metrics, and community detection algorithms can quantify individual influence from network structure. De Veirman et al.'s (2017) research revealed the interactive effects of Instagram influencers' follower counts and product types on brand attitudes, demonstrating that "most followers" is not always the optimal choice. Deep learning methods can comprehensively analyze influencer content quality, follower interaction authenticity, and brand fit, constructing multi-dimensional influencer evaluation systems to predict collaboration outcomes.</w:t>
      </w:r>
    </w:p>
    <w:p>
      <w:pPr>
        <w:spacing w:line="360" w:lineRule="auto"/>
        <w:ind w:firstLine="480"/>
      </w:pPr>
      <w:r>
        <w:rPr>
          <w:rFonts w:ascii="宋体" w:hAnsi="宋体"/>
          <w:b w:val="0"/>
          <w:i w:val="0"/>
          <w:sz w:val="24"/>
        </w:rPr>
        <w:t>Fake follower and bot detection is an important issue in influencer marketing. Machine learning models identify fake accounts and anomalous interaction behavior by analyzing account behavioral patterns (such as interaction timing distributions and comment content diversity), social network structural features (such as follower network density and connectivity), and content features, helping brands avoid ineffective influencer marketing investments.</w:t>
      </w:r>
    </w:p>
    <w:p>
      <w:pPr>
        <w:pStyle w:val="Heading3"/>
      </w:pPr>
      <w:r>
        <w:rPr>
          <w:rFonts w:ascii="黑体" w:hAnsi="黑体"/>
          <w:b/>
          <w:i w:val="0"/>
          <w:color w:val="000000"/>
          <w:sz w:val="26"/>
        </w:rPr>
        <w:t>8.3 Online Word-of-Mouth and User-Generated Content Analysis</w:t>
      </w:r>
    </w:p>
    <w:p>
      <w:pPr>
        <w:spacing w:line="360" w:lineRule="auto"/>
        <w:ind w:firstLine="480"/>
      </w:pPr>
      <w:r>
        <w:rPr>
          <w:rFonts w:ascii="宋体" w:hAnsi="宋体"/>
          <w:b w:val="0"/>
          <w:i w:val="0"/>
          <w:sz w:val="24"/>
        </w:rPr>
        <w:t>Online word-of-mouth (electronic Word-of-Mouth, eWOM) has a significant influence on consumer purchase decisions. AI technologies are widely used to analyze the content, sentiment, and influence of online reviews, ratings, and discussions.</w:t>
      </w:r>
    </w:p>
    <w:p>
      <w:pPr>
        <w:spacing w:line="360" w:lineRule="auto"/>
        <w:ind w:firstLine="480"/>
      </w:pPr>
      <w:r>
        <w:rPr>
          <w:rFonts w:ascii="宋体" w:hAnsi="宋体"/>
          <w:b w:val="0"/>
          <w:i w:val="0"/>
          <w:sz w:val="24"/>
        </w:rPr>
        <w:t>Aspect-Based Sentiment Analysis (ABSA) can extract consumers' evaluations of specific aspects of products or services (such as price, quality, service, and logistics) from review texts, providing finer-grained insights than overall ratings (Pontiki et al., 2016). For example, through ABSA analysis of tens of thousands of hotel reviews, marketers can precisely identify a declining trend in "room cleanliness" ratings—a signal that might be masked by other positive reviews in overall scores. Generative AI has also been applied to automatically generate review summaries and consumer insight reports, improving the efficiency with which marketers process large volumes of user feedback.</w:t>
      </w:r>
    </w:p>
    <w:p>
      <w:pPr>
        <w:spacing w:line="360" w:lineRule="auto"/>
        <w:ind w:firstLine="480"/>
      </w:pPr>
      <w:r>
        <w:rPr>
          <w:rFonts w:ascii="宋体" w:hAnsi="宋体"/>
          <w:b w:val="0"/>
          <w:i w:val="0"/>
          <w:sz w:val="24"/>
        </w:rPr>
        <w:t>Fake review detection is another important application in online word-of-mouth analysis. Ott et al.'s (2011) pioneering research demonstrated that humans have great difficulty distinguishing genuine reviews from fake ones, while NLP feature-based machine learning models can identify fake reviews with relatively high accuracy. Subsequent research has further incorporated reviewer behavioral patterns and review network structural features, constructing multi-dimensional fake review detection systems to maintain the credibility of online review platforms.</w:t>
      </w:r>
    </w:p>
    <w:p>
      <w:pPr>
        <w:spacing w:line="360" w:lineRule="auto"/>
        <w:ind w:firstLine="480"/>
      </w:pPr>
      <w:r>
        <w:rPr>
          <w:rFonts w:ascii="宋体" w:hAnsi="宋体"/>
          <w:b w:val="0"/>
          <w:i w:val="0"/>
          <w:sz w:val="24"/>
        </w:rPr>
        <w:t>Social media and word-of-mouth analysis provide enterprises with a window for listening to consumer voices. Translating these insights into lasting customer relationships requires systematic customer relationship management strategies.</w:t>
      </w:r>
    </w:p>
    <w:p>
      <w:pPr>
        <w:pStyle w:val="Heading2"/>
      </w:pPr>
      <w:r>
        <w:rPr>
          <w:rFonts w:ascii="黑体" w:hAnsi="黑体"/>
          <w:b/>
          <w:i w:val="0"/>
          <w:color w:val="000000"/>
          <w:sz w:val="30"/>
        </w:rPr>
        <w:t>9 Customer Relationship Management</w:t>
      </w:r>
    </w:p>
    <w:p>
      <w:pPr>
        <w:spacing w:line="360" w:lineRule="auto"/>
        <w:ind w:firstLine="480"/>
      </w:pPr>
      <w:r>
        <w:rPr>
          <w:rFonts w:ascii="宋体" w:hAnsi="宋体"/>
          <w:b w:val="0"/>
          <w:i w:val="0"/>
          <w:sz w:val="24"/>
        </w:rPr>
        <w:t>Customer Relationship Management (CRM) is a systematic approach to maintaining and developing customer relationships. The introduction of AI technologies has shifted CRM from rule-driven automation to data-driven intelligence, significantly improving customer service quality and operational efficiency.</w:t>
      </w:r>
    </w:p>
    <w:p>
      <w:pPr>
        <w:pStyle w:val="Heading3"/>
      </w:pPr>
      <w:r>
        <w:rPr>
          <w:rFonts w:ascii="黑体" w:hAnsi="黑体"/>
          <w:b/>
          <w:i w:val="0"/>
          <w:color w:val="000000"/>
          <w:sz w:val="26"/>
        </w:rPr>
        <w:t>9.1 Customer Lifetime Value Prediction</w:t>
      </w:r>
    </w:p>
    <w:p>
      <w:pPr>
        <w:spacing w:line="360" w:lineRule="auto"/>
        <w:ind w:firstLine="480"/>
      </w:pPr>
      <w:r>
        <w:rPr>
          <w:rFonts w:ascii="宋体" w:hAnsi="宋体"/>
          <w:b w:val="0"/>
          <w:i w:val="0"/>
          <w:sz w:val="24"/>
        </w:rPr>
        <w:t>Customer Lifetime Value (CLV) is the core metric of customer relationship management. Traditional CLV models (such as BG/NBD and Pareto/NBD models) predict future customer purchase behavior based on probabilistic assumptions (Fader et al., 2005). These models have the advantages of few parameters and strong interpretability but may fail to fully leverage rich behavioral features in complex digital scenarios.</w:t>
      </w:r>
    </w:p>
    <w:p>
      <w:pPr>
        <w:spacing w:line="360" w:lineRule="auto"/>
        <w:ind w:firstLine="480"/>
      </w:pPr>
      <w:r>
        <w:rPr>
          <w:rFonts w:ascii="宋体" w:hAnsi="宋体"/>
          <w:b w:val="0"/>
          <w:i w:val="0"/>
          <w:sz w:val="24"/>
        </w:rPr>
        <w:t>Machine learning methods provide more flexible modeling frameworks for CLV prediction. Deep learning models (particularly RNNs and Transformers) can perform end-to-end modeling of customer behavioral sequences, capturing complex temporal patterns and nonlinear relationships. Vanderveld et al.'s (2016) research demonstrated that hybrid approaches combining the structured priors of traditional probabilistic models with machine learning features achieve the best results in CLV prediction, suggesting that the fusion of domain knowledge and data-driven methods often outperforms either approach used alone. Chamberlain et al. (2017) proposed using deep learning embedding representations to enhance CLV prediction accuracy, achieving significant improvements in e-commerce scenarios.</w:t>
      </w:r>
    </w:p>
    <w:p>
      <w:pPr>
        <w:pStyle w:val="Heading3"/>
      </w:pPr>
      <w:r>
        <w:rPr>
          <w:rFonts w:ascii="黑体" w:hAnsi="黑体"/>
          <w:b/>
          <w:i w:val="0"/>
          <w:color w:val="000000"/>
          <w:sz w:val="26"/>
        </w:rPr>
        <w:t>9.2 Intelligent Customer Service and Dialogue Systems</w:t>
      </w:r>
    </w:p>
    <w:p>
      <w:pPr>
        <w:spacing w:line="360" w:lineRule="auto"/>
        <w:ind w:firstLine="480"/>
      </w:pPr>
      <w:r>
        <w:rPr>
          <w:rFonts w:ascii="宋体" w:hAnsi="宋体"/>
          <w:b w:val="0"/>
          <w:i w:val="0"/>
          <w:sz w:val="24"/>
        </w:rPr>
        <w:t>AI-driven intelligent customer service systems represent one of the fastest-growing application areas in customer relationship management. From rule-based chatbots to deep learning-based dialogue systems to LLM-powered intelligent assistants, technological advances have greatly improved the quality and efficiency of automated customer service.</w:t>
      </w:r>
    </w:p>
    <w:p>
      <w:pPr>
        <w:spacing w:line="360" w:lineRule="auto"/>
        <w:ind w:firstLine="480"/>
      </w:pPr>
      <w:r>
        <w:rPr>
          <w:rFonts w:ascii="宋体" w:hAnsi="宋体"/>
          <w:b w:val="0"/>
          <w:i w:val="0"/>
          <w:sz w:val="24"/>
        </w:rPr>
        <w:t xml:space="preserve">Luo et al.'s (2019) field experiment, published in </w:t>
      </w:r>
      <w:r>
        <w:rPr>
          <w:rFonts w:ascii="宋体" w:hAnsi="宋体"/>
          <w:b w:val="0"/>
          <w:i/>
          <w:sz w:val="24"/>
        </w:rPr>
        <w:t>Marketing Science</w:t>
      </w:r>
      <w:r>
        <w:rPr>
          <w:rFonts w:ascii="宋体" w:hAnsi="宋体"/>
          <w:b w:val="0"/>
          <w:i w:val="0"/>
          <w:sz w:val="24"/>
        </w:rPr>
        <w:t>, provided important empirical evidence on AI customer service effectiveness. The research found that when consumers are unaware they are interacting with AI, the sales conversion performance of AI chatbots matches that of human agents; however, when AI identity is disclosed, consumers' purchase intentions drop significantly. This finding reveals the nuanced relationship between AI transparency and consumer trust, carrying important practical implications for AI customer service deployment strategies.</w:t>
      </w:r>
    </w:p>
    <w:p>
      <w:pPr>
        <w:spacing w:line="360" w:lineRule="auto"/>
        <w:ind w:firstLine="480"/>
      </w:pPr>
      <w:r>
        <w:rPr>
          <w:rFonts w:ascii="宋体" w:hAnsi="宋体"/>
          <w:b w:val="0"/>
          <w:i w:val="0"/>
          <w:sz w:val="24"/>
        </w:rPr>
        <w:t>Huang and Rust (2018) proposed a "task type" analytical framework for AI in service, categorizing service tasks into mechanical, thinking, and feeling types. The research found that AI can already match or exceed human performance in mechanical and thinking tasks but remains deficient in feeling tasks requiring emotional empathy and creative problem-solving. This framework provides theoretical guidance for enterprises formulating human-AI collaborative customer service strategies—delegating standardized queries to AI while reserving emotionally sensitive complex complaints for human agents.</w:t>
      </w:r>
    </w:p>
    <w:p>
      <w:pPr>
        <w:pStyle w:val="Heading3"/>
      </w:pPr>
      <w:r>
        <w:rPr>
          <w:rFonts w:ascii="黑体" w:hAnsi="黑体"/>
          <w:b/>
          <w:i w:val="0"/>
          <w:color w:val="000000"/>
          <w:sz w:val="26"/>
        </w:rPr>
        <w:t>9.3 Customer Emotion Management and Service Experience Optimization</w:t>
      </w:r>
    </w:p>
    <w:p>
      <w:pPr>
        <w:spacing w:line="360" w:lineRule="auto"/>
        <w:ind w:firstLine="480"/>
      </w:pPr>
      <w:r>
        <w:rPr>
          <w:rFonts w:ascii="宋体" w:hAnsi="宋体"/>
          <w:b w:val="0"/>
          <w:i w:val="0"/>
          <w:sz w:val="24"/>
        </w:rPr>
        <w:t>AI applications in customer emotion recognition and management are increasingly mature. By analyzing the text, voice (tone, speed, volume), and video (facial expression) information of customer service conversations, multimodal emotion recognition systems can assess customer emotional states in real time, providing customer service agents with emotion alerts and response suggestions (Poria et al., 2019).</w:t>
      </w:r>
    </w:p>
    <w:p>
      <w:pPr>
        <w:spacing w:line="360" w:lineRule="auto"/>
        <w:ind w:firstLine="480"/>
      </w:pPr>
      <w:r>
        <w:rPr>
          <w:rFonts w:ascii="宋体" w:hAnsi="宋体"/>
          <w:b w:val="0"/>
          <w:i w:val="0"/>
          <w:sz w:val="24"/>
        </w:rPr>
        <w:t>Speech analytics technology has been widely adopted in call center quality management and training optimization. AI systems can automatically analyze call recordings, evaluate agent communication quality (such as whether speech pace is appropriate, whether empathy is expressed, and whether standard scripts are followed), identify key factors in customer dissatisfaction (such as excessive wait times, unresolved issues, and cold attitudes), and generate personalized training recommendations. This AI-based quality management approach offers significant advantages over traditional manual sampling in coverage and consistency.</w:t>
      </w:r>
    </w:p>
    <w:p>
      <w:pPr>
        <w:spacing w:line="360" w:lineRule="auto"/>
        <w:ind w:firstLine="480"/>
      </w:pPr>
      <w:r>
        <w:rPr>
          <w:rFonts w:ascii="宋体" w:hAnsi="宋体"/>
          <w:b w:val="0"/>
          <w:i w:val="0"/>
          <w:sz w:val="24"/>
        </w:rPr>
        <w:t>Furthermore, AI is applied to end-to-end optimization of the customer journey. Through sequential analysis of customer behavioral data across touchpoints, machine learning models can identify pain points and churn risk nodes in the customer experience, helping enterprises make targeted improvements to service processes and experience design.</w:t>
      </w:r>
    </w:p>
    <w:p>
      <w:pPr>
        <w:pStyle w:val="Heading2"/>
      </w:pPr>
      <w:r>
        <w:rPr>
          <w:rFonts w:ascii="黑体" w:hAnsi="黑体"/>
          <w:b/>
          <w:i w:val="0"/>
          <w:color w:val="000000"/>
          <w:sz w:val="30"/>
        </w:rPr>
        <w:t>10 Key Challenges and Ethical Issues</w:t>
      </w:r>
    </w:p>
    <w:p>
      <w:pPr>
        <w:spacing w:line="360" w:lineRule="auto"/>
        <w:ind w:firstLine="480"/>
      </w:pPr>
      <w:r>
        <w:rPr>
          <w:rFonts w:ascii="宋体" w:hAnsi="宋体"/>
          <w:b w:val="0"/>
          <w:i w:val="0"/>
          <w:sz w:val="24"/>
        </w:rPr>
        <w:t>Despite the tremendous potential AI has demonstrated in marketing analytics, its widespread application is accompanied by a series of technical and ethical challenges. Table 2 summarizes the major challenges and potential mitigation strategies.</w:t>
      </w:r>
    </w:p>
    <w:p>
      <w:pPr>
        <w:spacing w:line="360" w:lineRule="auto"/>
        <w:ind w:firstLine="480"/>
      </w:pPr>
      <w:r>
        <w:rPr>
          <w:rFonts w:ascii="宋体" w:hAnsi="宋体"/>
          <w:b/>
          <w:i w:val="0"/>
          <w:sz w:val="24"/>
        </w:rPr>
        <w:t>Table 2: Key Challenges and Mitigation Strategies in AI Marketing Analytics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Challenge Domain</w:t>
            </w:r>
          </w:p>
        </w:tc>
        <w:tc>
          <w:tcPr>
            <w:tcW w:type="dxa" w:w="2878"/>
            <w:shd w:fill="D9E2F3" w:val="clear"/>
          </w:tcPr>
          <w:p>
            <w:pPr>
              <w:jc w:val="left"/>
            </w:pPr>
            <w:r>
              <w:rPr>
                <w:rFonts w:ascii="宋体" w:hAnsi="宋体"/>
                <w:b/>
              </w:rPr>
            </w:r>
            <w:r>
              <w:rPr>
                <w:rFonts w:ascii="宋体" w:hAnsi="宋体"/>
                <w:b/>
                <w:i w:val="0"/>
                <w:sz w:val="18"/>
              </w:rPr>
              <w:t>Core Issues</w:t>
            </w:r>
          </w:p>
        </w:tc>
        <w:tc>
          <w:tcPr>
            <w:tcW w:type="dxa" w:w="2878"/>
            <w:shd w:fill="D9E2F3" w:val="clear"/>
          </w:tcPr>
          <w:p>
            <w:pPr>
              <w:jc w:val="left"/>
            </w:pPr>
            <w:r>
              <w:rPr>
                <w:rFonts w:ascii="宋体" w:hAnsi="宋体"/>
                <w:b/>
              </w:rPr>
            </w:r>
            <w:r>
              <w:rPr>
                <w:rFonts w:ascii="宋体" w:hAnsi="宋体"/>
                <w:b/>
                <w:i w:val="0"/>
                <w:sz w:val="18"/>
              </w:rPr>
              <w:t>Potential Mitigation Strategies</w:t>
            </w:r>
          </w:p>
        </w:tc>
      </w:tr>
      <w:tr>
        <w:tc>
          <w:tcPr>
            <w:tcW w:type="dxa" w:w="2878"/>
          </w:tcPr>
          <w:p>
            <w:pPr>
              <w:jc w:val="left"/>
            </w:pPr>
            <w:r>
              <w:rPr>
                <w:rFonts w:ascii="宋体" w:hAnsi="宋体"/>
              </w:rPr>
            </w:r>
            <w:r>
              <w:rPr>
                <w:rFonts w:ascii="宋体" w:hAnsi="宋体"/>
                <w:b w:val="0"/>
                <w:i w:val="0"/>
                <w:sz w:val="18"/>
              </w:rPr>
              <w:t>Data Privacy</w:t>
            </w:r>
          </w:p>
        </w:tc>
        <w:tc>
          <w:tcPr>
            <w:tcW w:type="dxa" w:w="2878"/>
          </w:tcPr>
          <w:p>
            <w:pPr>
              <w:jc w:val="left"/>
            </w:pPr>
            <w:r>
              <w:rPr>
                <w:rFonts w:ascii="宋体" w:hAnsi="宋体"/>
              </w:rPr>
            </w:r>
            <w:r>
              <w:rPr>
                <w:rFonts w:ascii="宋体" w:hAnsi="宋体"/>
                <w:b w:val="0"/>
                <w:i w:val="0"/>
                <w:sz w:val="18"/>
              </w:rPr>
              <w:t>GDPR/CCPA regulatory constraints, third-party cookie deprecation</w:t>
            </w:r>
          </w:p>
        </w:tc>
        <w:tc>
          <w:tcPr>
            <w:tcW w:type="dxa" w:w="2878"/>
          </w:tcPr>
          <w:p>
            <w:pPr>
              <w:jc w:val="left"/>
            </w:pPr>
            <w:r>
              <w:rPr>
                <w:rFonts w:ascii="宋体" w:hAnsi="宋体"/>
              </w:rPr>
            </w:r>
            <w:r>
              <w:rPr>
                <w:rFonts w:ascii="宋体" w:hAnsi="宋体"/>
                <w:b w:val="0"/>
                <w:i w:val="0"/>
                <w:sz w:val="18"/>
              </w:rPr>
              <w:t>Federated learning, differential privacy, synthetic data</w:t>
            </w:r>
          </w:p>
        </w:tc>
      </w:tr>
      <w:tr>
        <w:tc>
          <w:tcPr>
            <w:tcW w:type="dxa" w:w="2878"/>
          </w:tcPr>
          <w:p>
            <w:pPr>
              <w:jc w:val="left"/>
            </w:pPr>
            <w:r>
              <w:rPr>
                <w:rFonts w:ascii="宋体" w:hAnsi="宋体"/>
              </w:rPr>
            </w:r>
            <w:r>
              <w:rPr>
                <w:rFonts w:ascii="宋体" w:hAnsi="宋体"/>
                <w:b w:val="0"/>
                <w:i w:val="0"/>
                <w:sz w:val="18"/>
              </w:rPr>
              <w:t>Algorithmic Bias</w:t>
            </w:r>
          </w:p>
        </w:tc>
        <w:tc>
          <w:tcPr>
            <w:tcW w:type="dxa" w:w="2878"/>
          </w:tcPr>
          <w:p>
            <w:pPr>
              <w:jc w:val="left"/>
            </w:pPr>
            <w:r>
              <w:rPr>
                <w:rFonts w:ascii="宋体" w:hAnsi="宋体"/>
              </w:rPr>
            </w:r>
            <w:r>
              <w:rPr>
                <w:rFonts w:ascii="宋体" w:hAnsi="宋体"/>
                <w:b w:val="0"/>
                <w:i w:val="0"/>
                <w:sz w:val="18"/>
              </w:rPr>
              <w:t>Gender/racial discriminatory targeting, price discrimination</w:t>
            </w:r>
          </w:p>
        </w:tc>
        <w:tc>
          <w:tcPr>
            <w:tcW w:type="dxa" w:w="2878"/>
          </w:tcPr>
          <w:p>
            <w:pPr>
              <w:jc w:val="left"/>
            </w:pPr>
            <w:r>
              <w:rPr>
                <w:rFonts w:ascii="宋体" w:hAnsi="宋体"/>
              </w:rPr>
            </w:r>
            <w:r>
              <w:rPr>
                <w:rFonts w:ascii="宋体" w:hAnsi="宋体"/>
                <w:b w:val="0"/>
                <w:i w:val="0"/>
                <w:sz w:val="18"/>
              </w:rPr>
              <w:t>Fairness constraints, bias auditing, adversarial debiasing</w:t>
            </w:r>
          </w:p>
        </w:tc>
      </w:tr>
      <w:tr>
        <w:tc>
          <w:tcPr>
            <w:tcW w:type="dxa" w:w="2878"/>
          </w:tcPr>
          <w:p>
            <w:pPr>
              <w:jc w:val="left"/>
            </w:pPr>
            <w:r>
              <w:rPr>
                <w:rFonts w:ascii="宋体" w:hAnsi="宋体"/>
              </w:rPr>
            </w:r>
            <w:r>
              <w:rPr>
                <w:rFonts w:ascii="宋体" w:hAnsi="宋体"/>
                <w:b w:val="0"/>
                <w:i w:val="0"/>
                <w:sz w:val="18"/>
              </w:rPr>
              <w:t>Interpretability</w:t>
            </w:r>
          </w:p>
        </w:tc>
        <w:tc>
          <w:tcPr>
            <w:tcW w:type="dxa" w:w="2878"/>
          </w:tcPr>
          <w:p>
            <w:pPr>
              <w:jc w:val="left"/>
            </w:pPr>
            <w:r>
              <w:rPr>
                <w:rFonts w:ascii="宋体" w:hAnsi="宋体"/>
              </w:rPr>
            </w:r>
            <w:r>
              <w:rPr>
                <w:rFonts w:ascii="宋体" w:hAnsi="宋体"/>
                <w:b w:val="0"/>
                <w:i w:val="0"/>
                <w:sz w:val="18"/>
              </w:rPr>
              <w:t>Deep learning "black box," insufficient decision-maker trust</w:t>
            </w:r>
          </w:p>
        </w:tc>
        <w:tc>
          <w:tcPr>
            <w:tcW w:type="dxa" w:w="2878"/>
          </w:tcPr>
          <w:p>
            <w:pPr>
              <w:jc w:val="left"/>
            </w:pPr>
            <w:r>
              <w:rPr>
                <w:rFonts w:ascii="宋体" w:hAnsi="宋体"/>
              </w:rPr>
            </w:r>
            <w:r>
              <w:rPr>
                <w:rFonts w:ascii="宋体" w:hAnsi="宋体"/>
                <w:b w:val="0"/>
                <w:i w:val="0"/>
                <w:sz w:val="18"/>
              </w:rPr>
              <w:t>SHAP/LIME, attention visualization, GAM</w:t>
            </w:r>
          </w:p>
        </w:tc>
      </w:tr>
      <w:tr>
        <w:tc>
          <w:tcPr>
            <w:tcW w:type="dxa" w:w="2878"/>
          </w:tcPr>
          <w:p>
            <w:pPr>
              <w:jc w:val="left"/>
            </w:pPr>
            <w:r>
              <w:rPr>
                <w:rFonts w:ascii="宋体" w:hAnsi="宋体"/>
              </w:rPr>
            </w:r>
            <w:r>
              <w:rPr>
                <w:rFonts w:ascii="宋体" w:hAnsi="宋体"/>
                <w:b w:val="0"/>
                <w:i w:val="0"/>
                <w:sz w:val="18"/>
              </w:rPr>
              <w:t>Data Integration</w:t>
            </w:r>
          </w:p>
        </w:tc>
        <w:tc>
          <w:tcPr>
            <w:tcW w:type="dxa" w:w="2878"/>
          </w:tcPr>
          <w:p>
            <w:pPr>
              <w:jc w:val="left"/>
            </w:pPr>
            <w:r>
              <w:rPr>
                <w:rFonts w:ascii="宋体" w:hAnsi="宋体"/>
              </w:rPr>
            </w:r>
            <w:r>
              <w:rPr>
                <w:rFonts w:ascii="宋体" w:hAnsi="宋体"/>
                <w:b w:val="0"/>
                <w:i w:val="0"/>
                <w:sz w:val="18"/>
              </w:rPr>
              <w:t>Cross-channel identity matching, data silos</w:t>
            </w:r>
          </w:p>
        </w:tc>
        <w:tc>
          <w:tcPr>
            <w:tcW w:type="dxa" w:w="2878"/>
          </w:tcPr>
          <w:p>
            <w:pPr>
              <w:jc w:val="left"/>
            </w:pPr>
            <w:r>
              <w:rPr>
                <w:rFonts w:ascii="宋体" w:hAnsi="宋体"/>
              </w:rPr>
            </w:r>
            <w:r>
              <w:rPr>
                <w:rFonts w:ascii="宋体" w:hAnsi="宋体"/>
                <w:b w:val="0"/>
                <w:i w:val="0"/>
                <w:sz w:val="18"/>
              </w:rPr>
              <w:t>Identity graphs, probabilistic matching, GNN</w:t>
            </w:r>
          </w:p>
        </w:tc>
      </w:tr>
      <w:tr>
        <w:tc>
          <w:tcPr>
            <w:tcW w:type="dxa" w:w="2878"/>
          </w:tcPr>
          <w:p>
            <w:pPr>
              <w:jc w:val="left"/>
            </w:pPr>
            <w:r>
              <w:rPr>
                <w:rFonts w:ascii="宋体" w:hAnsi="宋体"/>
              </w:rPr>
            </w:r>
            <w:r>
              <w:rPr>
                <w:rFonts w:ascii="宋体" w:hAnsi="宋体"/>
                <w:b w:val="0"/>
                <w:i w:val="0"/>
                <w:sz w:val="18"/>
              </w:rPr>
              <w:t>Model Generalization</w:t>
            </w:r>
          </w:p>
        </w:tc>
        <w:tc>
          <w:tcPr>
            <w:tcW w:type="dxa" w:w="2878"/>
          </w:tcPr>
          <w:p>
            <w:pPr>
              <w:jc w:val="left"/>
            </w:pPr>
            <w:r>
              <w:rPr>
                <w:rFonts w:ascii="宋体" w:hAnsi="宋体"/>
              </w:rPr>
            </w:r>
            <w:r>
              <w:rPr>
                <w:rFonts w:ascii="宋体" w:hAnsi="宋体"/>
                <w:b w:val="0"/>
                <w:i w:val="0"/>
                <w:sz w:val="18"/>
              </w:rPr>
              <w:t>Distribution drift, cold-start problem</w:t>
            </w:r>
          </w:p>
        </w:tc>
        <w:tc>
          <w:tcPr>
            <w:tcW w:type="dxa" w:w="2878"/>
          </w:tcPr>
          <w:p>
            <w:pPr>
              <w:jc w:val="left"/>
            </w:pPr>
            <w:r>
              <w:rPr>
                <w:rFonts w:ascii="宋体" w:hAnsi="宋体"/>
              </w:rPr>
            </w:r>
            <w:r>
              <w:rPr>
                <w:rFonts w:ascii="宋体" w:hAnsi="宋体"/>
                <w:b w:val="0"/>
                <w:i w:val="0"/>
                <w:sz w:val="18"/>
              </w:rPr>
              <w:t>Transfer learning, meta-learning, online learning</w:t>
            </w:r>
          </w:p>
        </w:tc>
      </w:tr>
    </w:tbl>
    <w:p/>
    <w:p>
      <w:pPr>
        <w:pStyle w:val="Heading3"/>
      </w:pPr>
      <w:r>
        <w:rPr>
          <w:rFonts w:ascii="黑体" w:hAnsi="黑体"/>
          <w:b/>
          <w:i w:val="0"/>
          <w:color w:val="000000"/>
          <w:sz w:val="26"/>
        </w:rPr>
        <w:t>10.1 Data Privacy and Compliance</w:t>
      </w:r>
    </w:p>
    <w:p>
      <w:pPr>
        <w:spacing w:line="360" w:lineRule="auto"/>
        <w:ind w:firstLine="480"/>
      </w:pPr>
      <w:r>
        <w:rPr>
          <w:rFonts w:ascii="宋体" w:hAnsi="宋体"/>
          <w:b w:val="0"/>
          <w:i w:val="0"/>
          <w:sz w:val="24"/>
        </w:rPr>
        <w:t>Data is the foundation of AI marketing analytics, but the collection and use of consumer data face increasingly strict legal and ethical constraints. Regulations such as the EU's General Data Protection Regulation (GDPR), the California Consumer Privacy Act (CCPA), and China's Personal Information Protection Law require enterprises to adhere to principles of informed consent, data minimization, and purpose limitation when collecting, processing, and storing consumer data (Martin &amp; Murphy, 2017).</w:t>
      </w:r>
    </w:p>
    <w:p>
      <w:pPr>
        <w:spacing w:line="360" w:lineRule="auto"/>
        <w:ind w:firstLine="480"/>
      </w:pPr>
      <w:r>
        <w:rPr>
          <w:rFonts w:ascii="宋体" w:hAnsi="宋体"/>
          <w:b w:val="0"/>
          <w:i w:val="0"/>
          <w:sz w:val="24"/>
        </w:rPr>
        <w:t>Apple's App Tracking Transparency (ATT) framework introduced in iOS 14.5 and Google's plan to gradually phase out third-party cookies have had profound impacts on the data foundations of digital marketing. These changes are driving the adoption of privacy-preserving technologies in marketing analytics, including differential privacy, federated learning, and secure multi-party computation (Yang et al., 2019).</w:t>
      </w:r>
    </w:p>
    <w:p>
      <w:pPr>
        <w:spacing w:line="360" w:lineRule="auto"/>
        <w:ind w:firstLine="480"/>
      </w:pPr>
      <w:r>
        <w:rPr>
          <w:rFonts w:ascii="宋体" w:hAnsi="宋体"/>
          <w:b w:val="0"/>
          <w:i w:val="0"/>
          <w:sz w:val="24"/>
        </w:rPr>
        <w:t>Federated learning allows multiple parties to collaboratively train machine learning models without sharing raw data, providing a privacy-preserving solution for cross-enterprise marketing data collaboration. For example, multiple retailers can use federated learning to jointly train customer churn prediction models, improving model performance while protecting their respective customer data privacy.</w:t>
      </w:r>
    </w:p>
    <w:p>
      <w:pPr>
        <w:pStyle w:val="Heading3"/>
      </w:pPr>
      <w:r>
        <w:rPr>
          <w:rFonts w:ascii="黑体" w:hAnsi="黑体"/>
          <w:b/>
          <w:i w:val="0"/>
          <w:color w:val="000000"/>
          <w:sz w:val="26"/>
        </w:rPr>
        <w:t>10.2 Algorithmic Bias and Fairness</w:t>
      </w:r>
    </w:p>
    <w:p>
      <w:pPr>
        <w:spacing w:line="360" w:lineRule="auto"/>
        <w:ind w:firstLine="480"/>
      </w:pPr>
      <w:r>
        <w:rPr>
          <w:rFonts w:ascii="宋体" w:hAnsi="宋体"/>
          <w:b w:val="0"/>
          <w:i w:val="0"/>
          <w:sz w:val="24"/>
        </w:rPr>
        <w:t>AI systems may inherit and amplify biases present in training data, leading to unfair marketing practices. Lambrecht and Tucker's (2019) research found that online advertising algorithms may produce systematically differential delivery across gender or racial groups as a result of efficiency optimization objectives, even when advertisers have not set discriminatory targeting conditions. Specifically, the study found that STEM career advertisements were shown more frequently to male users—not because the algorithm was designed to discriminate, but because female users face more intense competition in the advertising market (women are a sought-after audience for more advertisers), leading the algorithm to favor male audiences for cost-efficiency reasons.</w:t>
      </w:r>
    </w:p>
    <w:p>
      <w:pPr>
        <w:spacing w:line="360" w:lineRule="auto"/>
        <w:ind w:firstLine="480"/>
      </w:pPr>
      <w:r>
        <w:rPr>
          <w:rFonts w:ascii="宋体" w:hAnsi="宋体"/>
          <w:b w:val="0"/>
          <w:i w:val="0"/>
          <w:sz w:val="24"/>
        </w:rPr>
        <w:t>Price discrimination is another sensitive issue in AI pricing. Dynamic pricing algorithms may set personalized prices based on consumer willingness to pay, raising ethical concerns about pricing fairness. Ensuring the fairness of AI marketing systems requires introducing fairness constraints and auditing mechanisms throughout the entire process of model development, evaluation, and deployment (Barocas et al., 2019).</w:t>
      </w:r>
    </w:p>
    <w:p>
      <w:pPr>
        <w:pStyle w:val="Heading3"/>
      </w:pPr>
      <w:r>
        <w:rPr>
          <w:rFonts w:ascii="黑体" w:hAnsi="黑体"/>
          <w:b/>
          <w:i w:val="0"/>
          <w:color w:val="000000"/>
          <w:sz w:val="26"/>
        </w:rPr>
        <w:t>10.3 Model Interpretability</w:t>
      </w:r>
    </w:p>
    <w:p>
      <w:pPr>
        <w:spacing w:line="360" w:lineRule="auto"/>
        <w:ind w:firstLine="480"/>
      </w:pPr>
      <w:r>
        <w:rPr>
          <w:rFonts w:ascii="宋体" w:hAnsi="宋体"/>
          <w:b w:val="0"/>
          <w:i w:val="0"/>
          <w:sz w:val="24"/>
        </w:rPr>
        <w:t>Many high-performance AI models (particularly deep learning models) are considered "black boxes" whose decision processes are difficult for humans to understand and explain. In the marketing domain, model interpretability is not only an academic research requirement but also a practical business necessity—marketing decision-makers need to understand the logic behind model recommendations to make effective judgments and take action (Rudin, 2019).</w:t>
      </w:r>
    </w:p>
    <w:p>
      <w:pPr>
        <w:spacing w:line="360" w:lineRule="auto"/>
        <w:ind w:firstLine="480"/>
      </w:pPr>
      <w:r>
        <w:rPr>
          <w:rFonts w:ascii="宋体" w:hAnsi="宋体"/>
          <w:b w:val="0"/>
          <w:i w:val="0"/>
          <w:sz w:val="24"/>
        </w:rPr>
        <w:t>Explainable AI (XAI) technologies provide multiple approaches to addressing this challenge. Post-hoc explanation methods such as SHAP (SHapley Additive exPlanations) and LIME (Local Interpretable Model-agnostic Explanations) can provide feature importance analysis for individual predictions (Lundberg &amp; Lee, 2017). Attention visualization techniques can reveal the focus areas of deep learning models when processing text or images. Furthermore, Rudin (2019) emphasized the importance of using inherently interpretable models (such as Generalized Additive Models [GAMs] and Explainable Boosting Machines [EBMs]) in high-stakes decision-making, arguing that "post-hoc explanations cannot substitute for the transparency of the model itself."</w:t>
      </w:r>
    </w:p>
    <w:p>
      <w:pPr>
        <w:pStyle w:val="Heading3"/>
      </w:pPr>
      <w:r>
        <w:rPr>
          <w:rFonts w:ascii="黑体" w:hAnsi="黑体"/>
          <w:b/>
          <w:i w:val="0"/>
          <w:color w:val="000000"/>
          <w:sz w:val="26"/>
        </w:rPr>
        <w:t>10.4 Cross-Channel Data Integration</w:t>
      </w:r>
    </w:p>
    <w:p>
      <w:pPr>
        <w:spacing w:line="360" w:lineRule="auto"/>
        <w:ind w:firstLine="480"/>
      </w:pPr>
      <w:r>
        <w:rPr>
          <w:rFonts w:ascii="宋体" w:hAnsi="宋体"/>
          <w:b w:val="0"/>
          <w:i w:val="0"/>
          <w:sz w:val="24"/>
        </w:rPr>
        <w:t>Modern consumers interact with brands through multiple channels and devices, making the construction of a Single Customer View a significant challenge in marketing analytics. Cross-channel data integration involves technical issues such as entity resolution, data matching, and identity graph construction.</w:t>
      </w:r>
    </w:p>
    <w:p>
      <w:pPr>
        <w:spacing w:line="360" w:lineRule="auto"/>
        <w:ind w:firstLine="480"/>
      </w:pPr>
      <w:r>
        <w:rPr>
          <w:rFonts w:ascii="宋体" w:hAnsi="宋体"/>
          <w:b w:val="0"/>
          <w:i w:val="0"/>
          <w:sz w:val="24"/>
        </w:rPr>
        <w:t>Probabilistic matching and deterministic matching methods are used to link consumer data from different channels to the same individual. Christen (2012) systematically discussed data matching concepts and techniques, including core methods such as record linkage, entity resolution, and duplicate detection. Machine learning methods (such as random forests and graph neural networks) have demonstrated advantages in complex entity resolution tasks, handling noisy data, incomplete records, and fuzzy matching challenges. However, cross-channel data integration faces additional compliance pressures as privacy regulations continue to tighten, making the balance between identity resolution accuracy and privacy protection an urgent problem to address.</w:t>
      </w:r>
    </w:p>
    <w:p>
      <w:pPr>
        <w:pStyle w:val="Heading2"/>
      </w:pPr>
      <w:r>
        <w:rPr>
          <w:rFonts w:ascii="黑体" w:hAnsi="黑体"/>
          <w:b/>
          <w:i w:val="0"/>
          <w:color w:val="000000"/>
          <w:sz w:val="30"/>
        </w:rPr>
        <w:t>11 Future Research Directions</w:t>
      </w:r>
    </w:p>
    <w:p>
      <w:pPr>
        <w:spacing w:line="360" w:lineRule="auto"/>
        <w:ind w:firstLine="480"/>
      </w:pPr>
      <w:r>
        <w:rPr>
          <w:rFonts w:ascii="宋体" w:hAnsi="宋体"/>
          <w:b w:val="0"/>
          <w:i w:val="0"/>
          <w:sz w:val="24"/>
        </w:rPr>
        <w:t>Based on a systematic review of the existing literature and analysis of current challenges, this section outlines future research directions for AI in marketing analytics.</w:t>
      </w:r>
    </w:p>
    <w:p>
      <w:pPr>
        <w:pStyle w:val="Heading3"/>
      </w:pPr>
      <w:r>
        <w:rPr>
          <w:rFonts w:ascii="黑体" w:hAnsi="黑体"/>
          <w:b/>
          <w:i w:val="0"/>
          <w:color w:val="000000"/>
          <w:sz w:val="26"/>
        </w:rPr>
        <w:t>11.1 Generative AI and Marketing Innovation</w:t>
      </w:r>
    </w:p>
    <w:p>
      <w:pPr>
        <w:spacing w:line="360" w:lineRule="auto"/>
        <w:ind w:firstLine="480"/>
      </w:pPr>
      <w:r>
        <w:rPr>
          <w:rFonts w:ascii="宋体" w:hAnsi="宋体"/>
          <w:b w:val="0"/>
          <w:i w:val="0"/>
          <w:sz w:val="24"/>
        </w:rPr>
        <w:t>Generative AI is reshaping every stage of marketing. Future research needs to explore in depth: (1) the potential and limitations of large language models in marketing strategy formulation and creative generation; (2) the mechanisms through which AI-generated content (AIGC) affects consumer perception and behavior; (3) the design of human-AI collaborative marketing creative workflows; and (4) new methodologies for generative AI in market research and consumer insight.</w:t>
      </w:r>
    </w:p>
    <w:p>
      <w:pPr>
        <w:spacing w:line="360" w:lineRule="auto"/>
        <w:ind w:firstLine="480"/>
      </w:pPr>
      <w:r>
        <w:rPr>
          <w:rFonts w:ascii="宋体" w:hAnsi="宋体"/>
          <w:b w:val="0"/>
          <w:i w:val="0"/>
          <w:sz w:val="24"/>
        </w:rPr>
        <w:t>Puntoni et al. (2021) noted that the boundary between AI-generated and human-created content is becoming increasingly blurred, posing new challenges to brand authenticity and consumer trust. Future research should examine how consumers perceive and evaluate AI-generated marketing content, and the impact of AI disclosure on consumer attitudes and behavior. Additionally, the effectiveness of generative AI in scenarios such as personalized email marketing, automated product description generation, and multilingual content localization warrants in-depth investigation.</w:t>
      </w:r>
    </w:p>
    <w:p>
      <w:pPr>
        <w:pStyle w:val="Heading3"/>
      </w:pPr>
      <w:r>
        <w:rPr>
          <w:rFonts w:ascii="黑体" w:hAnsi="黑体"/>
          <w:b/>
          <w:i w:val="0"/>
          <w:color w:val="000000"/>
          <w:sz w:val="26"/>
        </w:rPr>
        <w:t>11.2 Integration of Causal Inference and AI</w:t>
      </w:r>
    </w:p>
    <w:p>
      <w:pPr>
        <w:spacing w:line="360" w:lineRule="auto"/>
        <w:ind w:firstLine="480"/>
      </w:pPr>
      <w:r>
        <w:rPr>
          <w:rFonts w:ascii="宋体" w:hAnsi="宋体"/>
          <w:b w:val="0"/>
          <w:i w:val="0"/>
          <w:sz w:val="24"/>
        </w:rPr>
        <w:t>Causal inference is becoming an important research direction in marketing analytics. Traditional machine learning methods primarily focus on correlation and prediction, but marketing decision-making often requires understanding causal relationships. Combining causal inference with machine learning (Causal ML) provides a new methodological framework for answering critical marketing questions such as "what if" and "why."</w:t>
      </w:r>
    </w:p>
    <w:p>
      <w:pPr>
        <w:spacing w:line="360" w:lineRule="auto"/>
        <w:ind w:firstLine="480"/>
      </w:pPr>
      <w:r>
        <w:rPr>
          <w:rFonts w:ascii="宋体" w:hAnsi="宋体"/>
          <w:b w:val="0"/>
          <w:i w:val="0"/>
          <w:sz w:val="24"/>
        </w:rPr>
        <w:t>Methods such as causal forests, double machine learning, and machine learning extensions of instrumental variables have demonstrated tremendous potential in estimating heterogeneous treatment effects (Athey &amp; Imbens, 2019). These methods can help marketers understand the differential effects of various marketing interventions (such as promotions, advertising, and recommendations) on different consumer segments, enabling truly personalized marketing strategy optimization. For example, causal forests can answer questions such as "which customers would generate the greatest incremental purchases from coupon distribution"—a question that traditional predictive models cannot directly address.</w:t>
      </w:r>
    </w:p>
    <w:p>
      <w:pPr>
        <w:pStyle w:val="Heading3"/>
      </w:pPr>
      <w:r>
        <w:rPr>
          <w:rFonts w:ascii="黑体" w:hAnsi="黑体"/>
          <w:b/>
          <w:i w:val="0"/>
          <w:color w:val="000000"/>
          <w:sz w:val="26"/>
        </w:rPr>
        <w:t>11.3 Multimodal AI and Immersive Marketing</w:t>
      </w:r>
    </w:p>
    <w:p>
      <w:pPr>
        <w:spacing w:line="360" w:lineRule="auto"/>
        <w:ind w:firstLine="480"/>
      </w:pPr>
      <w:r>
        <w:rPr>
          <w:rFonts w:ascii="宋体" w:hAnsi="宋体"/>
          <w:b w:val="0"/>
          <w:i w:val="0"/>
          <w:sz w:val="24"/>
        </w:rPr>
        <w:t>With the development of AR (augmented reality), VR (virtual reality), and spatial computing technologies, marketing is moving toward more immersive and multimodal directions. Multimodal AI technologies (such as vision-language models like CLIP, cross-modal retrieval, and multimodal generation) will play an increasingly important role in virtual try-on, interactive advertising, and immersive brand experiences (Radford et al., 2021).</w:t>
      </w:r>
    </w:p>
    <w:p>
      <w:pPr>
        <w:spacing w:line="360" w:lineRule="auto"/>
        <w:ind w:firstLine="480"/>
      </w:pPr>
      <w:r>
        <w:rPr>
          <w:rFonts w:ascii="宋体" w:hAnsi="宋体"/>
          <w:b w:val="0"/>
          <w:i w:val="0"/>
          <w:sz w:val="24"/>
        </w:rPr>
        <w:t>Future research can focus on: (1) fusion modeling methods for multimodal consumer data (text + image + video + behavior); (2) effectiveness evaluation frameworks for AR/VR marketing experiences; and (3) new marketing models and consumer behavior characteristics in spatial computing and metaverse environments. Multimodal AI will also drive the evolution of marketing content from static to dynamic and from two-dimensional to three-dimensional, providing consumers with richer and more immersive brand experiences.</w:t>
      </w:r>
    </w:p>
    <w:p>
      <w:pPr>
        <w:pStyle w:val="Heading3"/>
      </w:pPr>
      <w:r>
        <w:rPr>
          <w:rFonts w:ascii="黑体" w:hAnsi="黑体"/>
          <w:b/>
          <w:i w:val="0"/>
          <w:color w:val="000000"/>
          <w:sz w:val="26"/>
        </w:rPr>
        <w:t>11.4 Marketing Analytics Under Privacy Protection</w:t>
      </w:r>
    </w:p>
    <w:p>
      <w:pPr>
        <w:spacing w:line="360" w:lineRule="auto"/>
        <w:ind w:firstLine="480"/>
      </w:pPr>
      <w:r>
        <w:rPr>
          <w:rFonts w:ascii="宋体" w:hAnsi="宋体"/>
          <w:b w:val="0"/>
          <w:i w:val="0"/>
          <w:sz w:val="24"/>
        </w:rPr>
        <w:t>Against the backdrop of increasingly strengthened privacy protections, how to effectively leverage data for marketing analytics while protecting consumer privacy has become a critical issue. Privacy-enhancing technologies (PETs) such as federated learning, differential privacy, and synthetic data generation will become foundational infrastructure for future marketing analytics.</w:t>
      </w:r>
    </w:p>
    <w:p>
      <w:pPr>
        <w:spacing w:line="360" w:lineRule="auto"/>
        <w:ind w:firstLine="480"/>
      </w:pPr>
      <w:r>
        <w:rPr>
          <w:rFonts w:ascii="宋体" w:hAnsi="宋体"/>
          <w:b w:val="0"/>
          <w:i w:val="0"/>
          <w:sz w:val="24"/>
        </w:rPr>
        <w:t>The application of cryptographic technologies such as zero-knowledge proofs and secure multi-party computation in marketing data collaboration also deserves attention. These technologies allow multiple parties to conduct joint analysis and model training without revealing raw data, opening new possibilities for cross-enterprise marketing collaboration. Furthermore, synthetic data technologies (using generative models to create datasets that preserve statistical properties without containing real personal information) have shown unique potential in privacy-preserving marketing analytics; future research needs to validate their effectiveness and limitations across various marketing analytics tasks.</w:t>
      </w:r>
    </w:p>
    <w:p>
      <w:pPr>
        <w:pStyle w:val="Heading3"/>
      </w:pPr>
      <w:r>
        <w:rPr>
          <w:rFonts w:ascii="黑体" w:hAnsi="黑体"/>
          <w:b/>
          <w:i w:val="0"/>
          <w:color w:val="000000"/>
          <w:sz w:val="26"/>
        </w:rPr>
        <w:t>11.5 Responsible AI and Marketing Ethics</w:t>
      </w:r>
    </w:p>
    <w:p>
      <w:pPr>
        <w:spacing w:line="360" w:lineRule="auto"/>
        <w:ind w:firstLine="480"/>
      </w:pPr>
      <w:r>
        <w:rPr>
          <w:rFonts w:ascii="宋体" w:hAnsi="宋体"/>
          <w:b w:val="0"/>
          <w:i w:val="0"/>
          <w:sz w:val="24"/>
        </w:rPr>
        <w:t>As AI becomes more deeply embedded in marketing, establishing responsible AI governance frameworks becomes increasingly important. This includes algorithmic transparency, fairness auditing, bias detection and correction, and accountability mechanisms for AI decisions. Future research needs to develop more comprehensive AI ethics guidelines and practical standards to ensure that AI-driven marketing activities are both effective and equitable.</w:t>
      </w:r>
    </w:p>
    <w:p>
      <w:pPr>
        <w:spacing w:line="360" w:lineRule="auto"/>
        <w:ind w:firstLine="480"/>
      </w:pPr>
      <w:r>
        <w:rPr>
          <w:rFonts w:ascii="宋体" w:hAnsi="宋体"/>
          <w:b w:val="0"/>
          <w:i w:val="0"/>
          <w:sz w:val="24"/>
        </w:rPr>
        <w:t>Of particular concern is AI's impact on consumer autonomy. Excessively precise personalized recommendations and persuasive AI may limit consumers' freedom of choice and information diversity (the so-called "filter bubble" effect); future research should explore how to balance personalization efficiency with consumer autonomy (Pariser, 2011). Additionally, the potential misuse of deepfake technology in marketing (such as fake endorsers and fabricated user testimonial videos) is an ethical issue requiring forward-looking research.</w:t>
      </w:r>
    </w:p>
    <w:p>
      <w:pPr>
        <w:pStyle w:val="Heading2"/>
      </w:pPr>
      <w:r>
        <w:rPr>
          <w:rFonts w:ascii="黑体" w:hAnsi="黑体"/>
          <w:b/>
          <w:i w:val="0"/>
          <w:color w:val="000000"/>
          <w:sz w:val="30"/>
        </w:rPr>
        <w:t>12 Conclusion</w:t>
      </w:r>
    </w:p>
    <w:p>
      <w:pPr>
        <w:spacing w:line="360" w:lineRule="auto"/>
        <w:ind w:firstLine="480"/>
      </w:pPr>
      <w:r>
        <w:rPr>
          <w:rFonts w:ascii="宋体" w:hAnsi="宋体"/>
          <w:b w:val="0"/>
          <w:i w:val="0"/>
          <w:sz w:val="24"/>
        </w:rPr>
        <w:t>This paper has systematically reviewed the application of artificial intelligence technologies across core domains of marketing analytics, covering the complete marketing chain from consumer behavior analysis to customer relationship management. Drawing on 77 references, we arrive at the following main conclusions.</w:t>
      </w:r>
    </w:p>
    <w:p>
      <w:pPr>
        <w:spacing w:line="360" w:lineRule="auto"/>
        <w:ind w:firstLine="480"/>
      </w:pPr>
      <w:r>
        <w:rPr>
          <w:rFonts w:ascii="宋体" w:hAnsi="宋体"/>
          <w:b w:val="0"/>
          <w:i w:val="0"/>
          <w:sz w:val="24"/>
        </w:rPr>
        <w:t>First, AI technologies have been widely applied across all stages of marketing analytics—from consumer behavior prediction, market segmentation, and pricing optimization to advertising and customer relationship management—significantly improving the precision and efficiency of marketing decisions. In particular, advances in deep learning and large language models have provided powerful technical support for processing unstructured data and generating personalized marketing content.</w:t>
      </w:r>
    </w:p>
    <w:p>
      <w:pPr>
        <w:spacing w:line="360" w:lineRule="auto"/>
        <w:ind w:firstLine="480"/>
      </w:pPr>
      <w:r>
        <w:rPr>
          <w:rFonts w:ascii="宋体" w:hAnsi="宋体"/>
          <w:b w:val="0"/>
          <w:i w:val="0"/>
          <w:sz w:val="24"/>
        </w:rPr>
        <w:t>Second, AI applications in marketing analytics are evolving from point-specific optimization toward end-to-end intelligence. Mature applications such as recommendation systems, programmatic advertising, and dynamic pricing demonstrate the commercial value of large-scale AI deployment, while generative AI and multimodal technologies are opening new possibilities in marketing content creation and consumer experience. Notably, the integration of causal inference with machine learning is advancing marketing analytics from "predicting what will happen" toward "understanding why it happens and how to intervene"—a higher-order evolution.</w:t>
      </w:r>
    </w:p>
    <w:p>
      <w:pPr>
        <w:spacing w:line="360" w:lineRule="auto"/>
        <w:ind w:firstLine="480"/>
      </w:pPr>
      <w:r>
        <w:rPr>
          <w:rFonts w:ascii="宋体" w:hAnsi="宋体"/>
          <w:b w:val="0"/>
          <w:i w:val="0"/>
          <w:sz w:val="24"/>
        </w:rPr>
        <w:t>Third, AI marketing analytics faces multifaceted challenges including data privacy, algorithmic bias, model interpretability, and cross-channel data integration. These challenges are not merely technical; they involve deeper ethical and social considerations. The development of privacy-preserving technologies, fairness constraints, and explainable AI will contribute to building a more responsible AI marketing ecosystem.</w:t>
      </w:r>
    </w:p>
    <w:p>
      <w:pPr>
        <w:spacing w:line="360" w:lineRule="auto"/>
        <w:ind w:firstLine="480"/>
      </w:pPr>
      <w:r>
        <w:rPr>
          <w:rFonts w:ascii="宋体" w:hAnsi="宋体"/>
          <w:b w:val="0"/>
          <w:i w:val="0"/>
          <w:sz w:val="24"/>
        </w:rPr>
        <w:t>Fourth, future research should prioritize the following agenda: (1) deep integration of generative AI and marketing innovation, particularly the impact of AIGC on consumer trust and brand authenticity; (2) application of causal inference in marketing decision-making, achieving the leap from correlational prediction to causal understanding; (3) new paradigms for marketing analytics under privacy protection, including technical pathways such as federated learning, synthetic data, and differential privacy; and (4) responsible AI governance frameworks, ensuring that AI-driven marketing activities achieve balance between efficiency and fairness, and between personalization and autonomy.</w:t>
      </w:r>
    </w:p>
    <w:p>
      <w:pPr>
        <w:spacing w:line="360" w:lineRule="auto"/>
        <w:ind w:firstLine="480"/>
      </w:pPr>
      <w:r>
        <w:rPr>
          <w:rFonts w:ascii="宋体" w:hAnsi="宋体"/>
          <w:b w:val="0"/>
          <w:i w:val="0"/>
          <w:sz w:val="24"/>
        </w:rPr>
        <w:t>In summary, AI is profoundly reshaping both the theory and practice of marketing analytics. Against the backdrop of rapid technological evolution and a constantly changing regulatory environment, researchers and practitioners must continuously monitor the latest developments in AI, actively explore effective combinations of technological innovation and marketing application, and maintain steadfast attention to ethics and social responsibility. Only by aligning technological efficacy, commercial value, and social responsibility can AI-driven marketing analytics sustainably create genuine value for both enterprises and consumers.</w:t>
      </w:r>
    </w:p>
    <w:p>
      <w:pPr>
        <w:pStyle w:val="Heading2"/>
      </w:pPr>
      <w:r>
        <w:rPr>
          <w:rFonts w:ascii="黑体" w:hAnsi="黑体"/>
          <w:b/>
          <w:i w:val="0"/>
          <w:color w:val="000000"/>
          <w:sz w:val="30"/>
        </w:rPr>
        <w:t>References</w:t>
      </w:r>
    </w:p>
    <w:p>
      <w:pPr>
        <w:pStyle w:val="ListNumber"/>
        <w:spacing w:line="360" w:lineRule="auto"/>
      </w:pPr>
      <w:r>
        <w:rPr>
          <w:rFonts w:ascii="宋体" w:hAnsi="宋体"/>
          <w:b w:val="0"/>
          <w:i w:val="0"/>
          <w:sz w:val="24"/>
        </w:rPr>
        <w:t xml:space="preserve">Aguirre, E., Mahr, D., Grewal, D., de Ruyter, K., &amp; Wetzels, M. (2015). Unraveling the personalization paradox: The effect of information collection and trust-building strategies on online advertisement effectiveness. </w:t>
      </w:r>
      <w:r>
        <w:rPr>
          <w:rFonts w:ascii="宋体" w:hAnsi="宋体"/>
          <w:b w:val="0"/>
          <w:i/>
          <w:sz w:val="24"/>
        </w:rPr>
        <w:t>Journal of Retailing</w:t>
      </w:r>
      <w:r>
        <w:rPr>
          <w:rFonts w:ascii="宋体" w:hAnsi="宋体"/>
          <w:b w:val="0"/>
          <w:i w:val="0"/>
          <w:sz w:val="24"/>
        </w:rPr>
        <w:t>, 91(1), 34-49.</w:t>
      </w:r>
    </w:p>
    <w:p>
      <w:pPr>
        <w:pStyle w:val="ListNumber"/>
        <w:spacing w:line="360" w:lineRule="auto"/>
      </w:pPr>
      <w:r>
        <w:rPr>
          <w:rFonts w:ascii="宋体" w:hAnsi="宋体"/>
          <w:b w:val="0"/>
          <w:i w:val="0"/>
          <w:sz w:val="24"/>
        </w:rPr>
        <w:t xml:space="preserve">Ascarza, E. (2018). Retention futility: Targeting high-risk customers might be ineffective. </w:t>
      </w:r>
      <w:r>
        <w:rPr>
          <w:rFonts w:ascii="宋体" w:hAnsi="宋体"/>
          <w:b w:val="0"/>
          <w:i/>
          <w:sz w:val="24"/>
        </w:rPr>
        <w:t>Journal of Marketing Research</w:t>
      </w:r>
      <w:r>
        <w:rPr>
          <w:rFonts w:ascii="宋体" w:hAnsi="宋体"/>
          <w:b w:val="0"/>
          <w:i w:val="0"/>
          <w:sz w:val="24"/>
        </w:rPr>
        <w:t>, 55(1), 80-98.</w:t>
      </w:r>
    </w:p>
    <w:p>
      <w:pPr>
        <w:pStyle w:val="ListNumber"/>
        <w:spacing w:line="360" w:lineRule="auto"/>
      </w:pPr>
      <w:r>
        <w:rPr>
          <w:rFonts w:ascii="宋体" w:hAnsi="宋体"/>
          <w:b w:val="0"/>
          <w:i w:val="0"/>
          <w:sz w:val="24"/>
        </w:rPr>
        <w:t xml:space="preserve">Athey, S., &amp; Imbens, G. W. (2019). Machine learning methods that economists should know about. </w:t>
      </w:r>
      <w:r>
        <w:rPr>
          <w:rFonts w:ascii="宋体" w:hAnsi="宋体"/>
          <w:b w:val="0"/>
          <w:i/>
          <w:sz w:val="24"/>
        </w:rPr>
        <w:t>Annual Review of Economics</w:t>
      </w:r>
      <w:r>
        <w:rPr>
          <w:rFonts w:ascii="宋体" w:hAnsi="宋体"/>
          <w:b w:val="0"/>
          <w:i w:val="0"/>
          <w:sz w:val="24"/>
        </w:rPr>
        <w:t>, 11, 685-725.</w:t>
      </w:r>
    </w:p>
    <w:p>
      <w:pPr>
        <w:pStyle w:val="ListNumber"/>
        <w:spacing w:line="360" w:lineRule="auto"/>
      </w:pPr>
      <w:r>
        <w:rPr>
          <w:rFonts w:ascii="宋体" w:hAnsi="宋体"/>
          <w:b w:val="0"/>
          <w:i w:val="0"/>
          <w:sz w:val="24"/>
        </w:rPr>
        <w:t xml:space="preserve">Barocas, S., Hardt, M., &amp; Narayanan, A. (2019). </w:t>
      </w:r>
      <w:r>
        <w:rPr>
          <w:rFonts w:ascii="宋体" w:hAnsi="宋体"/>
          <w:b w:val="0"/>
          <w:i/>
          <w:sz w:val="24"/>
        </w:rPr>
        <w:t>Fairness and machine learning: Limitations and opportunities</w:t>
      </w:r>
      <w:r>
        <w:rPr>
          <w:rFonts w:ascii="宋体" w:hAnsi="宋体"/>
          <w:b w:val="0"/>
          <w:i w:val="0"/>
          <w:sz w:val="24"/>
        </w:rPr>
        <w:t>. MIT Press.</w:t>
      </w:r>
    </w:p>
    <w:p>
      <w:pPr>
        <w:pStyle w:val="ListNumber"/>
        <w:spacing w:line="360" w:lineRule="auto"/>
      </w:pPr>
      <w:r>
        <w:rPr>
          <w:rFonts w:ascii="宋体" w:hAnsi="宋体"/>
          <w:b w:val="0"/>
          <w:i w:val="0"/>
          <w:sz w:val="24"/>
        </w:rPr>
        <w:t xml:space="preserve">Blei, D. M., Ng, A. Y., &amp; Jordan, M. I. (2003). Latent Dirichlet allocation. </w:t>
      </w:r>
      <w:r>
        <w:rPr>
          <w:rFonts w:ascii="宋体" w:hAnsi="宋体"/>
          <w:b w:val="0"/>
          <w:i/>
          <w:sz w:val="24"/>
        </w:rPr>
        <w:t>Journal of Machine Learning Research</w:t>
      </w:r>
      <w:r>
        <w:rPr>
          <w:rFonts w:ascii="宋体" w:hAnsi="宋体"/>
          <w:b w:val="0"/>
          <w:i w:val="0"/>
          <w:sz w:val="24"/>
        </w:rPr>
        <w:t>, 3, 993-1022.</w:t>
      </w:r>
    </w:p>
    <w:p>
      <w:pPr>
        <w:pStyle w:val="ListNumber"/>
        <w:spacing w:line="360" w:lineRule="auto"/>
      </w:pPr>
      <w:r>
        <w:rPr>
          <w:rFonts w:ascii="宋体" w:hAnsi="宋体"/>
          <w:b w:val="0"/>
          <w:i w:val="0"/>
          <w:sz w:val="24"/>
        </w:rPr>
        <w:t xml:space="preserve">Brown, T. B., Mann, B., Ryder, N., Subbiah, M., Kaplan, J., et al. (2020). Language models are few-shot learners. </w:t>
      </w:r>
      <w:r>
        <w:rPr>
          <w:rFonts w:ascii="宋体" w:hAnsi="宋体"/>
          <w:b w:val="0"/>
          <w:i/>
          <w:sz w:val="24"/>
        </w:rPr>
        <w:t>Advances in Neural Information Processing Systems</w:t>
      </w:r>
      <w:r>
        <w:rPr>
          <w:rFonts w:ascii="宋体" w:hAnsi="宋体"/>
          <w:b w:val="0"/>
          <w:i w:val="0"/>
          <w:sz w:val="24"/>
        </w:rPr>
        <w:t>, 33, 1877-1901.</w:t>
      </w:r>
    </w:p>
    <w:p>
      <w:pPr>
        <w:pStyle w:val="ListNumber"/>
        <w:spacing w:line="360" w:lineRule="auto"/>
      </w:pPr>
      <w:r>
        <w:rPr>
          <w:rFonts w:ascii="宋体" w:hAnsi="宋体"/>
          <w:b w:val="0"/>
          <w:i w:val="0"/>
          <w:sz w:val="24"/>
        </w:rPr>
        <w:t xml:space="preserve">Cai, H., Ren, K., Zhang, W., Malber, K., Wang, J., Yu, Y., &amp; He, D. (2017). Real-time bidding by reinforcement learning in display advertising. </w:t>
      </w:r>
      <w:r>
        <w:rPr>
          <w:rFonts w:ascii="宋体" w:hAnsi="宋体"/>
          <w:b w:val="0"/>
          <w:i/>
          <w:sz w:val="24"/>
        </w:rPr>
        <w:t>Proceedings of the 10th ACM International Conference on Web Search and Data Mining</w:t>
      </w:r>
      <w:r>
        <w:rPr>
          <w:rFonts w:ascii="宋体" w:hAnsi="宋体"/>
          <w:b w:val="0"/>
          <w:i w:val="0"/>
          <w:sz w:val="24"/>
        </w:rPr>
        <w:t>, 661-670.</w:t>
      </w:r>
    </w:p>
    <w:p>
      <w:pPr>
        <w:pStyle w:val="ListNumber"/>
        <w:spacing w:line="360" w:lineRule="auto"/>
      </w:pPr>
      <w:r>
        <w:rPr>
          <w:rFonts w:ascii="宋体" w:hAnsi="宋体"/>
          <w:b w:val="0"/>
          <w:i w:val="0"/>
          <w:sz w:val="24"/>
        </w:rPr>
        <w:t xml:space="preserve">Campbell, C., Sands, S., Ferraro, C., Tsao, H. Y., &amp; Mavrommatis, A. (2020). From data to action: How marketers can leverage AI. </w:t>
      </w:r>
      <w:r>
        <w:rPr>
          <w:rFonts w:ascii="宋体" w:hAnsi="宋体"/>
          <w:b w:val="0"/>
          <w:i/>
          <w:sz w:val="24"/>
        </w:rPr>
        <w:t>Business Horizons</w:t>
      </w:r>
      <w:r>
        <w:rPr>
          <w:rFonts w:ascii="宋体" w:hAnsi="宋体"/>
          <w:b w:val="0"/>
          <w:i w:val="0"/>
          <w:sz w:val="24"/>
        </w:rPr>
        <w:t>, 63(2), 227-243.</w:t>
      </w:r>
    </w:p>
    <w:p>
      <w:pPr>
        <w:pStyle w:val="ListNumber"/>
        <w:spacing w:line="360" w:lineRule="auto"/>
      </w:pPr>
      <w:r>
        <w:rPr>
          <w:rFonts w:ascii="宋体" w:hAnsi="宋体"/>
          <w:b w:val="0"/>
          <w:i w:val="0"/>
          <w:sz w:val="24"/>
        </w:rPr>
        <w:t xml:space="preserve">Chamberlain, B. P., Cardoso, A., Liu, C. H., Pagliari, R., &amp; Sherr, M. (2017). Customer lifetime value prediction using embeddings. </w:t>
      </w:r>
      <w:r>
        <w:rPr>
          <w:rFonts w:ascii="宋体" w:hAnsi="宋体"/>
          <w:b w:val="0"/>
          <w:i/>
          <w:sz w:val="24"/>
        </w:rPr>
        <w:t>Proceedings of the 23rd ACM SIGKDD International Conference on Knowledge Discovery and Data Mining</w:t>
      </w:r>
      <w:r>
        <w:rPr>
          <w:rFonts w:ascii="宋体" w:hAnsi="宋体"/>
          <w:b w:val="0"/>
          <w:i w:val="0"/>
          <w:sz w:val="24"/>
        </w:rPr>
        <w:t>, 1753-1762.</w:t>
      </w:r>
    </w:p>
    <w:p>
      <w:pPr>
        <w:pStyle w:val="ListNumber"/>
        <w:spacing w:line="360" w:lineRule="auto"/>
      </w:pPr>
      <w:r>
        <w:rPr>
          <w:rFonts w:ascii="宋体" w:hAnsi="宋体"/>
          <w:b w:val="0"/>
          <w:i w:val="0"/>
          <w:sz w:val="24"/>
        </w:rPr>
        <w:t xml:space="preserve">Chen, T., &amp; Guestrin, C. (2016). XGBoost: A scalable tree boosting system. </w:t>
      </w:r>
      <w:r>
        <w:rPr>
          <w:rFonts w:ascii="宋体" w:hAnsi="宋体"/>
          <w:b w:val="0"/>
          <w:i/>
          <w:sz w:val="24"/>
        </w:rPr>
        <w:t>Proceedings of the 22nd ACM SIGKDD International Conference on Knowledge Discovery and Data Mining</w:t>
      </w:r>
      <w:r>
        <w:rPr>
          <w:rFonts w:ascii="宋体" w:hAnsi="宋体"/>
          <w:b w:val="0"/>
          <w:i w:val="0"/>
          <w:sz w:val="24"/>
        </w:rPr>
        <w:t>, 785-794.</w:t>
      </w:r>
    </w:p>
    <w:p>
      <w:pPr>
        <w:pStyle w:val="ListNumber"/>
        <w:spacing w:line="360" w:lineRule="auto"/>
      </w:pPr>
      <w:r>
        <w:rPr>
          <w:rFonts w:ascii="宋体" w:hAnsi="宋体"/>
          <w:b w:val="0"/>
          <w:i w:val="0"/>
          <w:sz w:val="24"/>
        </w:rPr>
        <w:t xml:space="preserve">Cheng, H. T., Koc, L., Harmsen, J., Shaked, T., Chandra, T., et al. (2016). Wide &amp; deep learning for recommender systems. </w:t>
      </w:r>
      <w:r>
        <w:rPr>
          <w:rFonts w:ascii="宋体" w:hAnsi="宋体"/>
          <w:b w:val="0"/>
          <w:i/>
          <w:sz w:val="24"/>
        </w:rPr>
        <w:t>Proceedings of the 1st Workshop on Deep Learning for Recommender Systems</w:t>
      </w:r>
      <w:r>
        <w:rPr>
          <w:rFonts w:ascii="宋体" w:hAnsi="宋体"/>
          <w:b w:val="0"/>
          <w:i w:val="0"/>
          <w:sz w:val="24"/>
        </w:rPr>
        <w:t>, 7-10.</w:t>
      </w:r>
    </w:p>
    <w:p>
      <w:pPr>
        <w:pStyle w:val="ListNumber"/>
        <w:spacing w:line="360" w:lineRule="auto"/>
      </w:pPr>
      <w:r>
        <w:rPr>
          <w:rFonts w:ascii="宋体" w:hAnsi="宋体"/>
          <w:b w:val="0"/>
          <w:i w:val="0"/>
          <w:sz w:val="24"/>
        </w:rPr>
        <w:t xml:space="preserve">Chernozhukov, V., Chetverikov, D., Demirer, M., Duflo, E., Hansen, C., Newey, W., &amp; Robins, J. (2018). Double/debiased machine learning for treatment and structural parameters. </w:t>
      </w:r>
      <w:r>
        <w:rPr>
          <w:rFonts w:ascii="宋体" w:hAnsi="宋体"/>
          <w:b w:val="0"/>
          <w:i/>
          <w:sz w:val="24"/>
        </w:rPr>
        <w:t>The Econometrics Journal</w:t>
      </w:r>
      <w:r>
        <w:rPr>
          <w:rFonts w:ascii="宋体" w:hAnsi="宋体"/>
          <w:b w:val="0"/>
          <w:i w:val="0"/>
          <w:sz w:val="24"/>
        </w:rPr>
        <w:t>, 21(1), C1-C68.</w:t>
      </w:r>
    </w:p>
    <w:p>
      <w:pPr>
        <w:pStyle w:val="ListNumber"/>
        <w:spacing w:line="360" w:lineRule="auto"/>
      </w:pPr>
      <w:r>
        <w:rPr>
          <w:rFonts w:ascii="宋体" w:hAnsi="宋体"/>
          <w:b w:val="0"/>
          <w:i w:val="0"/>
          <w:sz w:val="24"/>
        </w:rPr>
        <w:t xml:space="preserve">Chintagunta, P. K., Hanssens, D. M., &amp; Hauser, J. R. (2016). Marketing science and big data. </w:t>
      </w:r>
      <w:r>
        <w:rPr>
          <w:rFonts w:ascii="宋体" w:hAnsi="宋体"/>
          <w:b w:val="0"/>
          <w:i/>
          <w:sz w:val="24"/>
        </w:rPr>
        <w:t>Marketing Science</w:t>
      </w:r>
      <w:r>
        <w:rPr>
          <w:rFonts w:ascii="宋体" w:hAnsi="宋体"/>
          <w:b w:val="0"/>
          <w:i w:val="0"/>
          <w:sz w:val="24"/>
        </w:rPr>
        <w:t>, 35(3), 341-342.</w:t>
      </w:r>
    </w:p>
    <w:p>
      <w:pPr>
        <w:pStyle w:val="ListNumber"/>
        <w:spacing w:line="360" w:lineRule="auto"/>
      </w:pPr>
      <w:r>
        <w:rPr>
          <w:rFonts w:ascii="宋体" w:hAnsi="宋体"/>
          <w:b w:val="0"/>
          <w:i w:val="0"/>
          <w:sz w:val="24"/>
        </w:rPr>
        <w:t xml:space="preserve">Choi, H., Mela, C. F., Balseiro, S. R., &amp; Leary, A. (2020). Online display advertising markets: A literature review and future directions. </w:t>
      </w:r>
      <w:r>
        <w:rPr>
          <w:rFonts w:ascii="宋体" w:hAnsi="宋体"/>
          <w:b w:val="0"/>
          <w:i/>
          <w:sz w:val="24"/>
        </w:rPr>
        <w:t>Information Systems Research</w:t>
      </w:r>
      <w:r>
        <w:rPr>
          <w:rFonts w:ascii="宋体" w:hAnsi="宋体"/>
          <w:b w:val="0"/>
          <w:i w:val="0"/>
          <w:sz w:val="24"/>
        </w:rPr>
        <w:t>, 31(2), 556-575.</w:t>
      </w:r>
    </w:p>
    <w:p>
      <w:pPr>
        <w:pStyle w:val="ListNumber"/>
        <w:spacing w:line="360" w:lineRule="auto"/>
      </w:pPr>
      <w:r>
        <w:rPr>
          <w:rFonts w:ascii="宋体" w:hAnsi="宋体"/>
          <w:b w:val="0"/>
          <w:i w:val="0"/>
          <w:sz w:val="24"/>
        </w:rPr>
        <w:t xml:space="preserve">Christen, P. (2012). </w:t>
      </w:r>
      <w:r>
        <w:rPr>
          <w:rFonts w:ascii="宋体" w:hAnsi="宋体"/>
          <w:b w:val="0"/>
          <w:i/>
          <w:sz w:val="24"/>
        </w:rPr>
        <w:t>Data matching: Concepts and techniques for record linkage, entity resolution, and duplicate detection</w:t>
      </w:r>
      <w:r>
        <w:rPr>
          <w:rFonts w:ascii="宋体" w:hAnsi="宋体"/>
          <w:b w:val="0"/>
          <w:i w:val="0"/>
          <w:sz w:val="24"/>
        </w:rPr>
        <w:t>. Springer.</w:t>
      </w:r>
    </w:p>
    <w:p>
      <w:pPr>
        <w:pStyle w:val="ListNumber"/>
        <w:spacing w:line="360" w:lineRule="auto"/>
      </w:pPr>
      <w:r>
        <w:rPr>
          <w:rFonts w:ascii="宋体" w:hAnsi="宋体"/>
          <w:b w:val="0"/>
          <w:i w:val="0"/>
          <w:sz w:val="24"/>
        </w:rPr>
        <w:t xml:space="preserve">Dalessandro, B., Perlich, C., Stitelman, O., &amp; Provost, F. (2012). Causally motivated attribution for online advertising. </w:t>
      </w:r>
      <w:r>
        <w:rPr>
          <w:rFonts w:ascii="宋体" w:hAnsi="宋体"/>
          <w:b w:val="0"/>
          <w:i/>
          <w:sz w:val="24"/>
        </w:rPr>
        <w:t>Proceedings of the 6th International Workshop on Data Mining for Online Advertising</w:t>
      </w:r>
      <w:r>
        <w:rPr>
          <w:rFonts w:ascii="宋体" w:hAnsi="宋体"/>
          <w:b w:val="0"/>
          <w:i w:val="0"/>
          <w:sz w:val="24"/>
        </w:rPr>
        <w:t>, 1-9.</w:t>
      </w:r>
    </w:p>
    <w:p>
      <w:pPr>
        <w:pStyle w:val="ListNumber"/>
        <w:spacing w:line="360" w:lineRule="auto"/>
      </w:pPr>
      <w:r>
        <w:rPr>
          <w:rFonts w:ascii="宋体" w:hAnsi="宋体"/>
          <w:b w:val="0"/>
          <w:i w:val="0"/>
          <w:sz w:val="24"/>
        </w:rPr>
        <w:t xml:space="preserve">Davenport, T., Guha, A., Grewal, D., &amp; Bressgott, T. (2020). How artificial intelligence will change the future of marketing. </w:t>
      </w:r>
      <w:r>
        <w:rPr>
          <w:rFonts w:ascii="宋体" w:hAnsi="宋体"/>
          <w:b w:val="0"/>
          <w:i/>
          <w:sz w:val="24"/>
        </w:rPr>
        <w:t>Journal of the Academy of Marketing Science</w:t>
      </w:r>
      <w:r>
        <w:rPr>
          <w:rFonts w:ascii="宋体" w:hAnsi="宋体"/>
          <w:b w:val="0"/>
          <w:i w:val="0"/>
          <w:sz w:val="24"/>
        </w:rPr>
        <w:t>, 48(1), 24-42.</w:t>
      </w:r>
    </w:p>
    <w:p>
      <w:pPr>
        <w:pStyle w:val="ListNumber"/>
        <w:spacing w:line="360" w:lineRule="auto"/>
      </w:pPr>
      <w:r>
        <w:rPr>
          <w:rFonts w:ascii="宋体" w:hAnsi="宋体"/>
          <w:b w:val="0"/>
          <w:i w:val="0"/>
          <w:sz w:val="24"/>
        </w:rPr>
        <w:t xml:space="preserve">De Veirman, M., Cauberghe, V., &amp; Hudders, L. (2017). Marketing through Instagram influencers: The impact of number of followers and product divergence on brand attitude. </w:t>
      </w:r>
      <w:r>
        <w:rPr>
          <w:rFonts w:ascii="宋体" w:hAnsi="宋体"/>
          <w:b w:val="0"/>
          <w:i/>
          <w:sz w:val="24"/>
        </w:rPr>
        <w:t>International Journal of Advertising</w:t>
      </w:r>
      <w:r>
        <w:rPr>
          <w:rFonts w:ascii="宋体" w:hAnsi="宋体"/>
          <w:b w:val="0"/>
          <w:i w:val="0"/>
          <w:sz w:val="24"/>
        </w:rPr>
        <w:t>, 36(5), 798-828.</w:t>
      </w:r>
    </w:p>
    <w:p>
      <w:pPr>
        <w:pStyle w:val="ListNumber"/>
        <w:spacing w:line="360" w:lineRule="auto"/>
      </w:pPr>
      <w:r>
        <w:rPr>
          <w:rFonts w:ascii="宋体" w:hAnsi="宋体"/>
          <w:b w:val="0"/>
          <w:i w:val="0"/>
          <w:sz w:val="24"/>
        </w:rPr>
        <w:t xml:space="preserve">den Boer, A. V. (2015). Dynamic pricing and learning: Historical origins, current research, and new directions. </w:t>
      </w:r>
      <w:r>
        <w:rPr>
          <w:rFonts w:ascii="宋体" w:hAnsi="宋体"/>
          <w:b w:val="0"/>
          <w:i/>
          <w:sz w:val="24"/>
        </w:rPr>
        <w:t>Surveys in Operations Research and Management Science</w:t>
      </w:r>
      <w:r>
        <w:rPr>
          <w:rFonts w:ascii="宋体" w:hAnsi="宋体"/>
          <w:b w:val="0"/>
          <w:i w:val="0"/>
          <w:sz w:val="24"/>
        </w:rPr>
        <w:t>, 20(1), 1-18.</w:t>
      </w:r>
    </w:p>
    <w:p>
      <w:pPr>
        <w:pStyle w:val="ListNumber"/>
        <w:spacing w:line="360" w:lineRule="auto"/>
      </w:pPr>
      <w:r>
        <w:rPr>
          <w:rFonts w:ascii="宋体" w:hAnsi="宋体"/>
          <w:b w:val="0"/>
          <w:i w:val="0"/>
          <w:sz w:val="24"/>
        </w:rPr>
        <w:t xml:space="preserve">Devlin, J., Chang, M. W., Lee, K., &amp; Toutanova, K. (2019). BERT: Pre-training of deep bidirectional transformers for language understanding. </w:t>
      </w:r>
      <w:r>
        <w:rPr>
          <w:rFonts w:ascii="宋体" w:hAnsi="宋体"/>
          <w:b w:val="0"/>
          <w:i/>
          <w:sz w:val="24"/>
        </w:rPr>
        <w:t>Proceedings of NAACL-HLT</w:t>
      </w:r>
      <w:r>
        <w:rPr>
          <w:rFonts w:ascii="宋体" w:hAnsi="宋体"/>
          <w:b w:val="0"/>
          <w:i w:val="0"/>
          <w:sz w:val="24"/>
        </w:rPr>
        <w:t>, 4171-4186.</w:t>
      </w:r>
    </w:p>
    <w:p>
      <w:pPr>
        <w:pStyle w:val="ListNumber"/>
        <w:spacing w:line="360" w:lineRule="auto"/>
      </w:pPr>
      <w:r>
        <w:rPr>
          <w:rFonts w:ascii="宋体" w:hAnsi="宋体"/>
          <w:b w:val="0"/>
          <w:i w:val="0"/>
          <w:sz w:val="24"/>
        </w:rPr>
        <w:t xml:space="preserve">Devriendt, F., Moldovan, D., &amp; Verbeke, W. (2018). A literature survey and experimental evaluation of the state-of-the-art in uplift modeling. </w:t>
      </w:r>
      <w:r>
        <w:rPr>
          <w:rFonts w:ascii="宋体" w:hAnsi="宋体"/>
          <w:b w:val="0"/>
          <w:i/>
          <w:sz w:val="24"/>
        </w:rPr>
        <w:t>Journal of Big Data</w:t>
      </w:r>
      <w:r>
        <w:rPr>
          <w:rFonts w:ascii="宋体" w:hAnsi="宋体"/>
          <w:b w:val="0"/>
          <w:i w:val="0"/>
          <w:sz w:val="24"/>
        </w:rPr>
        <w:t>, 5(1), 1-20.</w:t>
      </w:r>
    </w:p>
    <w:p>
      <w:pPr>
        <w:pStyle w:val="ListNumber"/>
        <w:spacing w:line="360" w:lineRule="auto"/>
      </w:pPr>
      <w:r>
        <w:rPr>
          <w:rFonts w:ascii="宋体" w:hAnsi="宋体"/>
          <w:b w:val="0"/>
          <w:i w:val="0"/>
          <w:sz w:val="24"/>
        </w:rPr>
        <w:t xml:space="preserve">Dolnicar, S., &amp; Leisch, F. (2010). Evaluation of structure and reproducibility of cluster solutions using the bootstrap. </w:t>
      </w:r>
      <w:r>
        <w:rPr>
          <w:rFonts w:ascii="宋体" w:hAnsi="宋体"/>
          <w:b w:val="0"/>
          <w:i/>
          <w:sz w:val="24"/>
        </w:rPr>
        <w:t>Marketing Letters</w:t>
      </w:r>
      <w:r>
        <w:rPr>
          <w:rFonts w:ascii="宋体" w:hAnsi="宋体"/>
          <w:b w:val="0"/>
          <w:i w:val="0"/>
          <w:sz w:val="24"/>
        </w:rPr>
        <w:t>, 21(1), 83-101.</w:t>
      </w:r>
    </w:p>
    <w:p>
      <w:pPr>
        <w:pStyle w:val="ListNumber"/>
        <w:spacing w:line="360" w:lineRule="auto"/>
      </w:pPr>
      <w:r>
        <w:rPr>
          <w:rFonts w:ascii="宋体" w:hAnsi="宋体"/>
          <w:b w:val="0"/>
          <w:i w:val="0"/>
          <w:sz w:val="24"/>
        </w:rPr>
        <w:t xml:space="preserve">Dosovitskiy, A., Beyer, L., Kolesnikov, A., Weissenbruch, D., Zhai, X., et al. (2020). An image is worth 16x16 words: Transformers for image recognition at scale. </w:t>
      </w:r>
      <w:r>
        <w:rPr>
          <w:rFonts w:ascii="宋体" w:hAnsi="宋体"/>
          <w:b w:val="0"/>
          <w:i/>
          <w:sz w:val="24"/>
        </w:rPr>
        <w:t>Proceedings of ICLR 2021</w:t>
      </w:r>
      <w:r>
        <w:rPr>
          <w:rFonts w:ascii="宋体" w:hAnsi="宋体"/>
          <w:b w:val="0"/>
          <w:i w:val="0"/>
          <w:sz w:val="24"/>
        </w:rPr>
        <w:t>.</w:t>
      </w:r>
    </w:p>
    <w:p>
      <w:pPr>
        <w:pStyle w:val="ListNumber"/>
        <w:spacing w:line="360" w:lineRule="auto"/>
      </w:pPr>
      <w:r>
        <w:rPr>
          <w:rFonts w:ascii="宋体" w:hAnsi="宋体"/>
          <w:b w:val="0"/>
          <w:i w:val="0"/>
          <w:sz w:val="24"/>
        </w:rPr>
        <w:t xml:space="preserve">Fader, P. S., Hardie, B. G., &amp; Lee, K. L. (2005). RFM and CLV: Using iso-value curves for customer base analysis. </w:t>
      </w:r>
      <w:r>
        <w:rPr>
          <w:rFonts w:ascii="宋体" w:hAnsi="宋体"/>
          <w:b w:val="0"/>
          <w:i/>
          <w:sz w:val="24"/>
        </w:rPr>
        <w:t>Journal of Marketing Research</w:t>
      </w:r>
      <w:r>
        <w:rPr>
          <w:rFonts w:ascii="宋体" w:hAnsi="宋体"/>
          <w:b w:val="0"/>
          <w:i w:val="0"/>
          <w:sz w:val="24"/>
        </w:rPr>
        <w:t>, 42(4), 415-430.</w:t>
      </w:r>
    </w:p>
    <w:p>
      <w:pPr>
        <w:pStyle w:val="ListNumber"/>
        <w:spacing w:line="360" w:lineRule="auto"/>
      </w:pPr>
      <w:r>
        <w:rPr>
          <w:rFonts w:ascii="宋体" w:hAnsi="宋体"/>
          <w:b w:val="0"/>
          <w:i w:val="0"/>
          <w:sz w:val="24"/>
        </w:rPr>
        <w:t xml:space="preserve">Goodfellow, I., Bengio, Y., &amp; Courville, A. (2016). </w:t>
      </w:r>
      <w:r>
        <w:rPr>
          <w:rFonts w:ascii="宋体" w:hAnsi="宋体"/>
          <w:b w:val="0"/>
          <w:i/>
          <w:sz w:val="24"/>
        </w:rPr>
        <w:t>Deep learning</w:t>
      </w:r>
      <w:r>
        <w:rPr>
          <w:rFonts w:ascii="宋体" w:hAnsi="宋体"/>
          <w:b w:val="0"/>
          <w:i w:val="0"/>
          <w:sz w:val="24"/>
        </w:rPr>
        <w:t>. MIT Press.</w:t>
      </w:r>
    </w:p>
    <w:p>
      <w:pPr>
        <w:pStyle w:val="ListNumber"/>
        <w:spacing w:line="360" w:lineRule="auto"/>
      </w:pPr>
      <w:r>
        <w:rPr>
          <w:rFonts w:ascii="宋体" w:hAnsi="宋体"/>
          <w:b w:val="0"/>
          <w:i w:val="0"/>
          <w:sz w:val="24"/>
        </w:rPr>
        <w:t xml:space="preserve">Guadagni, P. M., &amp; Little, J. D. C. (1983). A logit model of brand choice calibrated on scanner data. </w:t>
      </w:r>
      <w:r>
        <w:rPr>
          <w:rFonts w:ascii="宋体" w:hAnsi="宋体"/>
          <w:b w:val="0"/>
          <w:i/>
          <w:sz w:val="24"/>
        </w:rPr>
        <w:t>Marketing Science</w:t>
      </w:r>
      <w:r>
        <w:rPr>
          <w:rFonts w:ascii="宋体" w:hAnsi="宋体"/>
          <w:b w:val="0"/>
          <w:i w:val="0"/>
          <w:sz w:val="24"/>
        </w:rPr>
        <w:t>, 2(3), 203-238.</w:t>
      </w:r>
    </w:p>
    <w:p>
      <w:pPr>
        <w:pStyle w:val="ListNumber"/>
        <w:spacing w:line="360" w:lineRule="auto"/>
      </w:pPr>
      <w:r>
        <w:rPr>
          <w:rFonts w:ascii="宋体" w:hAnsi="宋体"/>
          <w:b w:val="0"/>
          <w:i w:val="0"/>
          <w:sz w:val="24"/>
        </w:rPr>
        <w:t xml:space="preserve">Guo, H., Tang, R., Ye, Y., Li, Z., &amp; He, X. (2017). DeepFM: A factorization-machine based neural network for CTR prediction. </w:t>
      </w:r>
      <w:r>
        <w:rPr>
          <w:rFonts w:ascii="宋体" w:hAnsi="宋体"/>
          <w:b w:val="0"/>
          <w:i/>
          <w:sz w:val="24"/>
        </w:rPr>
        <w:t>Proceedings of the 26th International Joint Conference on Artificial Intelligence</w:t>
      </w:r>
      <w:r>
        <w:rPr>
          <w:rFonts w:ascii="宋体" w:hAnsi="宋体"/>
          <w:b w:val="0"/>
          <w:i w:val="0"/>
          <w:sz w:val="24"/>
        </w:rPr>
        <w:t>, 1725-1731.</w:t>
      </w:r>
    </w:p>
    <w:p>
      <w:pPr>
        <w:pStyle w:val="ListNumber"/>
        <w:spacing w:line="360" w:lineRule="auto"/>
      </w:pPr>
      <w:r>
        <w:rPr>
          <w:rFonts w:ascii="宋体" w:hAnsi="宋体"/>
          <w:b w:val="0"/>
          <w:i w:val="0"/>
          <w:sz w:val="24"/>
        </w:rPr>
        <w:t xml:space="preserve">Hidasi, B., Karatzoglou, A., Baltrunas, L., &amp; Tikk, D. (2016). Session-based recommendations with recurrent neural networks. </w:t>
      </w:r>
      <w:r>
        <w:rPr>
          <w:rFonts w:ascii="宋体" w:hAnsi="宋体"/>
          <w:b w:val="0"/>
          <w:i/>
          <w:sz w:val="24"/>
        </w:rPr>
        <w:t>Proceedings of ICLR 2016</w:t>
      </w:r>
      <w:r>
        <w:rPr>
          <w:rFonts w:ascii="宋体" w:hAnsi="宋体"/>
          <w:b w:val="0"/>
          <w:i w:val="0"/>
          <w:sz w:val="24"/>
        </w:rPr>
        <w:t>.</w:t>
      </w:r>
    </w:p>
    <w:p>
      <w:pPr>
        <w:pStyle w:val="ListNumber"/>
        <w:spacing w:line="360" w:lineRule="auto"/>
      </w:pPr>
      <w:r>
        <w:rPr>
          <w:rFonts w:ascii="宋体" w:hAnsi="宋体"/>
          <w:b w:val="0"/>
          <w:i w:val="0"/>
          <w:sz w:val="24"/>
        </w:rPr>
        <w:t xml:space="preserve">Hochreiter, S., &amp; Schmidhuber, J. (1997). Long short-term memory. </w:t>
      </w:r>
      <w:r>
        <w:rPr>
          <w:rFonts w:ascii="宋体" w:hAnsi="宋体"/>
          <w:b w:val="0"/>
          <w:i/>
          <w:sz w:val="24"/>
        </w:rPr>
        <w:t>Neural Computation</w:t>
      </w:r>
      <w:r>
        <w:rPr>
          <w:rFonts w:ascii="宋体" w:hAnsi="宋体"/>
          <w:b w:val="0"/>
          <w:i w:val="0"/>
          <w:sz w:val="24"/>
        </w:rPr>
        <w:t>, 9(8), 1735-1780.</w:t>
      </w:r>
    </w:p>
    <w:p>
      <w:pPr>
        <w:pStyle w:val="ListNumber"/>
        <w:spacing w:line="360" w:lineRule="auto"/>
      </w:pPr>
      <w:r>
        <w:rPr>
          <w:rFonts w:ascii="宋体" w:hAnsi="宋体"/>
          <w:b w:val="0"/>
          <w:i w:val="0"/>
          <w:sz w:val="24"/>
        </w:rPr>
        <w:t xml:space="preserve">Huang, M. H., &amp; Rust, R. T. (2018). Artificial intelligence in service. </w:t>
      </w:r>
      <w:r>
        <w:rPr>
          <w:rFonts w:ascii="宋体" w:hAnsi="宋体"/>
          <w:b w:val="0"/>
          <w:i/>
          <w:sz w:val="24"/>
        </w:rPr>
        <w:t>Journal of Service Research</w:t>
      </w:r>
      <w:r>
        <w:rPr>
          <w:rFonts w:ascii="宋体" w:hAnsi="宋体"/>
          <w:b w:val="0"/>
          <w:i w:val="0"/>
          <w:sz w:val="24"/>
        </w:rPr>
        <w:t>, 21(2), 155-172.</w:t>
      </w:r>
    </w:p>
    <w:p>
      <w:pPr>
        <w:pStyle w:val="ListNumber"/>
        <w:spacing w:line="360" w:lineRule="auto"/>
      </w:pPr>
      <w:r>
        <w:rPr>
          <w:rFonts w:ascii="宋体" w:hAnsi="宋体"/>
          <w:b w:val="0"/>
          <w:i w:val="0"/>
          <w:sz w:val="24"/>
        </w:rPr>
        <w:t xml:space="preserve">Huang, M. H., &amp; Rust, R. T. (2021). A strategic framework for artificial intelligence in marketing. </w:t>
      </w:r>
      <w:r>
        <w:rPr>
          <w:rFonts w:ascii="宋体" w:hAnsi="宋体"/>
          <w:b w:val="0"/>
          <w:i/>
          <w:sz w:val="24"/>
        </w:rPr>
        <w:t>Journal of the Academy of Marketing Science</w:t>
      </w:r>
      <w:r>
        <w:rPr>
          <w:rFonts w:ascii="宋体" w:hAnsi="宋体"/>
          <w:b w:val="0"/>
          <w:i w:val="0"/>
          <w:sz w:val="24"/>
        </w:rPr>
        <w:t>, 49(1), 30-50.</w:t>
      </w:r>
    </w:p>
    <w:p>
      <w:pPr>
        <w:pStyle w:val="ListNumber"/>
        <w:spacing w:line="360" w:lineRule="auto"/>
      </w:pPr>
      <w:r>
        <w:rPr>
          <w:rFonts w:ascii="宋体" w:hAnsi="宋体"/>
          <w:b w:val="0"/>
          <w:i w:val="0"/>
          <w:sz w:val="24"/>
        </w:rPr>
        <w:t xml:space="preserve">Jin, Y., Wang, Y., Sun, Y., Chan, D., &amp; Koehler, J. (2017). Bayesian methods for media mix modeling with carryover and shape effects. </w:t>
      </w:r>
      <w:r>
        <w:rPr>
          <w:rFonts w:ascii="宋体" w:hAnsi="宋体"/>
          <w:b w:val="0"/>
          <w:i/>
          <w:sz w:val="24"/>
        </w:rPr>
        <w:t>Google Technical Report</w:t>
      </w:r>
      <w:r>
        <w:rPr>
          <w:rFonts w:ascii="宋体" w:hAnsi="宋体"/>
          <w:b w:val="0"/>
          <w:i w:val="0"/>
          <w:sz w:val="24"/>
        </w:rPr>
        <w:t>.</w:t>
      </w:r>
    </w:p>
    <w:p>
      <w:pPr>
        <w:pStyle w:val="ListNumber"/>
        <w:spacing w:line="360" w:lineRule="auto"/>
      </w:pPr>
      <w:r>
        <w:rPr>
          <w:rFonts w:ascii="宋体" w:hAnsi="宋体"/>
          <w:b w:val="0"/>
          <w:i w:val="0"/>
          <w:sz w:val="24"/>
        </w:rPr>
        <w:t xml:space="preserve">Kingma, D. P., &amp; Welling, M. (2014). Auto-encoding variational Bayes. </w:t>
      </w:r>
      <w:r>
        <w:rPr>
          <w:rFonts w:ascii="宋体" w:hAnsi="宋体"/>
          <w:b w:val="0"/>
          <w:i/>
          <w:sz w:val="24"/>
        </w:rPr>
        <w:t>Proceedings of ICLR 2014</w:t>
      </w:r>
      <w:r>
        <w:rPr>
          <w:rFonts w:ascii="宋体" w:hAnsi="宋体"/>
          <w:b w:val="0"/>
          <w:i w:val="0"/>
          <w:sz w:val="24"/>
        </w:rPr>
        <w:t>.</w:t>
      </w:r>
    </w:p>
    <w:p>
      <w:pPr>
        <w:pStyle w:val="ListNumber"/>
        <w:spacing w:line="360" w:lineRule="auto"/>
      </w:pPr>
      <w:r>
        <w:rPr>
          <w:rFonts w:ascii="宋体" w:hAnsi="宋体"/>
          <w:b w:val="0"/>
          <w:i w:val="0"/>
          <w:sz w:val="24"/>
        </w:rPr>
        <w:t xml:space="preserve">Koren, Y., Bell, R., &amp; Volinsky, C. (2009). Matrix factorization techniques for recommender systems. </w:t>
      </w:r>
      <w:r>
        <w:rPr>
          <w:rFonts w:ascii="宋体" w:hAnsi="宋体"/>
          <w:b w:val="0"/>
          <w:i/>
          <w:sz w:val="24"/>
        </w:rPr>
        <w:t>Computer</w:t>
      </w:r>
      <w:r>
        <w:rPr>
          <w:rFonts w:ascii="宋体" w:hAnsi="宋体"/>
          <w:b w:val="0"/>
          <w:i w:val="0"/>
          <w:sz w:val="24"/>
        </w:rPr>
        <w:t>, 42(8), 30-37.</w:t>
      </w:r>
    </w:p>
    <w:p>
      <w:pPr>
        <w:pStyle w:val="ListNumber"/>
        <w:spacing w:line="360" w:lineRule="auto"/>
      </w:pPr>
      <w:r>
        <w:rPr>
          <w:rFonts w:ascii="宋体" w:hAnsi="宋体"/>
          <w:b w:val="0"/>
          <w:i w:val="0"/>
          <w:sz w:val="24"/>
        </w:rPr>
        <w:t xml:space="preserve">Kumar, V., Chattaraman, V., Neghina, C., Skiera, B., Aksoy, L., Buoye, A., &amp; Henseler, J. (2013). Data-driven services marketing in a connected world. </w:t>
      </w:r>
      <w:r>
        <w:rPr>
          <w:rFonts w:ascii="宋体" w:hAnsi="宋体"/>
          <w:b w:val="0"/>
          <w:i/>
          <w:sz w:val="24"/>
        </w:rPr>
        <w:t>Journal of Service Management</w:t>
      </w:r>
      <w:r>
        <w:rPr>
          <w:rFonts w:ascii="宋体" w:hAnsi="宋体"/>
          <w:b w:val="0"/>
          <w:i w:val="0"/>
          <w:sz w:val="24"/>
        </w:rPr>
        <w:t>, 24(3), 330-352.</w:t>
      </w:r>
    </w:p>
    <w:p>
      <w:pPr>
        <w:pStyle w:val="ListNumber"/>
        <w:spacing w:line="360" w:lineRule="auto"/>
      </w:pPr>
      <w:r>
        <w:rPr>
          <w:rFonts w:ascii="宋体" w:hAnsi="宋体"/>
          <w:b w:val="0"/>
          <w:i w:val="0"/>
          <w:sz w:val="24"/>
        </w:rPr>
        <w:t xml:space="preserve">Lambrecht, A., &amp; Tucker, C. (2019). Algorithmic bias? An empirical study of apparent gender-based discrimination in the display of STEM career ads. </w:t>
      </w:r>
      <w:r>
        <w:rPr>
          <w:rFonts w:ascii="宋体" w:hAnsi="宋体"/>
          <w:b w:val="0"/>
          <w:i/>
          <w:sz w:val="24"/>
        </w:rPr>
        <w:t>Management Science</w:t>
      </w:r>
      <w:r>
        <w:rPr>
          <w:rFonts w:ascii="宋体" w:hAnsi="宋体"/>
          <w:b w:val="0"/>
          <w:i w:val="0"/>
          <w:sz w:val="24"/>
        </w:rPr>
        <w:t>, 65(7), 2966-2981.</w:t>
      </w:r>
    </w:p>
    <w:p>
      <w:pPr>
        <w:pStyle w:val="ListNumber"/>
        <w:spacing w:line="360" w:lineRule="auto"/>
      </w:pPr>
      <w:r>
        <w:rPr>
          <w:rFonts w:ascii="宋体" w:hAnsi="宋体"/>
          <w:b w:val="0"/>
          <w:i w:val="0"/>
          <w:sz w:val="24"/>
        </w:rPr>
        <w:t xml:space="preserve">LeCun, Y., Bengio, Y., &amp; Hinton, G. (2015). Deep learning. </w:t>
      </w:r>
      <w:r>
        <w:rPr>
          <w:rFonts w:ascii="宋体" w:hAnsi="宋体"/>
          <w:b w:val="0"/>
          <w:i/>
          <w:sz w:val="24"/>
        </w:rPr>
        <w:t>Nature</w:t>
      </w:r>
      <w:r>
        <w:rPr>
          <w:rFonts w:ascii="宋体" w:hAnsi="宋体"/>
          <w:b w:val="0"/>
          <w:i w:val="0"/>
          <w:sz w:val="24"/>
        </w:rPr>
        <w:t>, 521(7553), 436-444.</w:t>
      </w:r>
    </w:p>
    <w:p>
      <w:pPr>
        <w:pStyle w:val="ListNumber"/>
        <w:spacing w:line="360" w:lineRule="auto"/>
      </w:pPr>
      <w:r>
        <w:rPr>
          <w:rFonts w:ascii="宋体" w:hAnsi="宋体"/>
          <w:b w:val="0"/>
          <w:i w:val="0"/>
          <w:sz w:val="24"/>
        </w:rPr>
        <w:t xml:space="preserve">Lessmann, S., Baesens, B., Seow, H. V., &amp; Thomas, L. C. (2015). Benchmarking state-of-the-art classification algorithms for credit scoring: An update of research. </w:t>
      </w:r>
      <w:r>
        <w:rPr>
          <w:rFonts w:ascii="宋体" w:hAnsi="宋体"/>
          <w:b w:val="0"/>
          <w:i/>
          <w:sz w:val="24"/>
        </w:rPr>
        <w:t>European Journal of Operational Research</w:t>
      </w:r>
      <w:r>
        <w:rPr>
          <w:rFonts w:ascii="宋体" w:hAnsi="宋体"/>
          <w:b w:val="0"/>
          <w:i w:val="0"/>
          <w:sz w:val="24"/>
        </w:rPr>
        <w:t>, 247(1), 124-136.</w:t>
      </w:r>
    </w:p>
    <w:p>
      <w:pPr>
        <w:pStyle w:val="ListNumber"/>
        <w:spacing w:line="360" w:lineRule="auto"/>
      </w:pPr>
      <w:r>
        <w:rPr>
          <w:rFonts w:ascii="宋体" w:hAnsi="宋体"/>
          <w:b w:val="0"/>
          <w:i w:val="0"/>
          <w:sz w:val="24"/>
        </w:rPr>
        <w:t xml:space="preserve">Li, L., Chu, W., Langford, J., &amp; Schapire, R. E. (2010). A contextual-bandit approach to personalized news article recommendation. </w:t>
      </w:r>
      <w:r>
        <w:rPr>
          <w:rFonts w:ascii="宋体" w:hAnsi="宋体"/>
          <w:b w:val="0"/>
          <w:i/>
          <w:sz w:val="24"/>
        </w:rPr>
        <w:t>Proceedings of the 19th International Conference on World Wide Web</w:t>
      </w:r>
      <w:r>
        <w:rPr>
          <w:rFonts w:ascii="宋体" w:hAnsi="宋体"/>
          <w:b w:val="0"/>
          <w:i w:val="0"/>
          <w:sz w:val="24"/>
        </w:rPr>
        <w:t>, 661-670.</w:t>
      </w:r>
    </w:p>
    <w:p>
      <w:pPr>
        <w:pStyle w:val="ListNumber"/>
        <w:spacing w:line="360" w:lineRule="auto"/>
      </w:pPr>
      <w:r>
        <w:rPr>
          <w:rFonts w:ascii="宋体" w:hAnsi="宋体"/>
          <w:b w:val="0"/>
          <w:i w:val="0"/>
          <w:sz w:val="24"/>
        </w:rPr>
        <w:t xml:space="preserve">Liu, L., Dzyabura, D., &amp; Mizik, N. (2020). Visual listening in: Extracting brand image portrayed on social media. </w:t>
      </w:r>
      <w:r>
        <w:rPr>
          <w:rFonts w:ascii="宋体" w:hAnsi="宋体"/>
          <w:b w:val="0"/>
          <w:i/>
          <w:sz w:val="24"/>
        </w:rPr>
        <w:t>Marketing Science</w:t>
      </w:r>
      <w:r>
        <w:rPr>
          <w:rFonts w:ascii="宋体" w:hAnsi="宋体"/>
          <w:b w:val="0"/>
          <w:i w:val="0"/>
          <w:sz w:val="24"/>
        </w:rPr>
        <w:t>, 39(4), 669-686.</w:t>
      </w:r>
    </w:p>
    <w:p>
      <w:pPr>
        <w:pStyle w:val="ListNumber"/>
        <w:spacing w:line="360" w:lineRule="auto"/>
      </w:pPr>
      <w:r>
        <w:rPr>
          <w:rFonts w:ascii="宋体" w:hAnsi="宋体"/>
          <w:b w:val="0"/>
          <w:i w:val="0"/>
          <w:sz w:val="24"/>
        </w:rPr>
        <w:t xml:space="preserve">Lundberg, S. M., &amp; Lee, S. I. (2017). A unified approach to interpreting model predictions. </w:t>
      </w:r>
      <w:r>
        <w:rPr>
          <w:rFonts w:ascii="宋体" w:hAnsi="宋体"/>
          <w:b w:val="0"/>
          <w:i/>
          <w:sz w:val="24"/>
        </w:rPr>
        <w:t>Advances in Neural Information Processing Systems</w:t>
      </w:r>
      <w:r>
        <w:rPr>
          <w:rFonts w:ascii="宋体" w:hAnsi="宋体"/>
          <w:b w:val="0"/>
          <w:i w:val="0"/>
          <w:sz w:val="24"/>
        </w:rPr>
        <w:t>, 30, 4765-4774.</w:t>
      </w:r>
    </w:p>
    <w:p>
      <w:pPr>
        <w:pStyle w:val="ListNumber"/>
        <w:spacing w:line="360" w:lineRule="auto"/>
      </w:pPr>
      <w:r>
        <w:rPr>
          <w:rFonts w:ascii="宋体" w:hAnsi="宋体"/>
          <w:b w:val="0"/>
          <w:i w:val="0"/>
          <w:sz w:val="24"/>
        </w:rPr>
        <w:t xml:space="preserve">Luo, X., Tong, S., Fang, Z., &amp; Qu, Z. (2019). Frontiers: Machines vs. humans: The impact of artificial intelligence chatbot disclosure on customer purchases. </w:t>
      </w:r>
      <w:r>
        <w:rPr>
          <w:rFonts w:ascii="宋体" w:hAnsi="宋体"/>
          <w:b w:val="0"/>
          <w:i/>
          <w:sz w:val="24"/>
        </w:rPr>
        <w:t>Marketing Science</w:t>
      </w:r>
      <w:r>
        <w:rPr>
          <w:rFonts w:ascii="宋体" w:hAnsi="宋体"/>
          <w:b w:val="0"/>
          <w:i w:val="0"/>
          <w:sz w:val="24"/>
        </w:rPr>
        <w:t>, 38(6), 937-947.</w:t>
      </w:r>
    </w:p>
    <w:p>
      <w:pPr>
        <w:pStyle w:val="ListNumber"/>
        <w:spacing w:line="360" w:lineRule="auto"/>
      </w:pPr>
      <w:r>
        <w:rPr>
          <w:rFonts w:ascii="宋体" w:hAnsi="宋体"/>
          <w:b w:val="0"/>
          <w:i w:val="0"/>
          <w:sz w:val="24"/>
        </w:rPr>
        <w:t xml:space="preserve">Ma, L., &amp; Sun, B. (2020). Machine learning and AI in marketing—Connecting computing power to human insights. </w:t>
      </w:r>
      <w:r>
        <w:rPr>
          <w:rFonts w:ascii="宋体" w:hAnsi="宋体"/>
          <w:b w:val="0"/>
          <w:i/>
          <w:sz w:val="24"/>
        </w:rPr>
        <w:t>International Journal of Research in Marketing</w:t>
      </w:r>
      <w:r>
        <w:rPr>
          <w:rFonts w:ascii="宋体" w:hAnsi="宋体"/>
          <w:b w:val="0"/>
          <w:i w:val="0"/>
          <w:sz w:val="24"/>
        </w:rPr>
        <w:t>, 37(3), 481-504.</w:t>
      </w:r>
    </w:p>
    <w:p>
      <w:pPr>
        <w:pStyle w:val="ListNumber"/>
        <w:spacing w:line="360" w:lineRule="auto"/>
      </w:pPr>
      <w:r>
        <w:rPr>
          <w:rFonts w:ascii="宋体" w:hAnsi="宋体"/>
          <w:b w:val="0"/>
          <w:i w:val="0"/>
          <w:sz w:val="24"/>
        </w:rPr>
        <w:t xml:space="preserve">Martin, K. D., &amp; Murphy, P. E. (2017). The role of data privacy in marketing. </w:t>
      </w:r>
      <w:r>
        <w:rPr>
          <w:rFonts w:ascii="宋体" w:hAnsi="宋体"/>
          <w:b w:val="0"/>
          <w:i/>
          <w:sz w:val="24"/>
        </w:rPr>
        <w:t>Journal of the Academy of Marketing Science</w:t>
      </w:r>
      <w:r>
        <w:rPr>
          <w:rFonts w:ascii="宋体" w:hAnsi="宋体"/>
          <w:b w:val="0"/>
          <w:i w:val="0"/>
          <w:sz w:val="24"/>
        </w:rPr>
        <w:t>, 45(2), 135-155.</w:t>
      </w:r>
    </w:p>
    <w:p>
      <w:pPr>
        <w:pStyle w:val="ListNumber"/>
        <w:spacing w:line="360" w:lineRule="auto"/>
      </w:pPr>
      <w:r>
        <w:rPr>
          <w:rFonts w:ascii="宋体" w:hAnsi="宋体"/>
          <w:b w:val="0"/>
          <w:i w:val="0"/>
          <w:sz w:val="24"/>
        </w:rPr>
        <w:t xml:space="preserve">Mitchell, T. M. (1997). </w:t>
      </w:r>
      <w:r>
        <w:rPr>
          <w:rFonts w:ascii="宋体" w:hAnsi="宋体"/>
          <w:b w:val="0"/>
          <w:i/>
          <w:sz w:val="24"/>
        </w:rPr>
        <w:t>Machine learning</w:t>
      </w:r>
      <w:r>
        <w:rPr>
          <w:rFonts w:ascii="宋体" w:hAnsi="宋体"/>
          <w:b w:val="0"/>
          <w:i w:val="0"/>
          <w:sz w:val="24"/>
        </w:rPr>
        <w:t>. McGraw-Hill.</w:t>
      </w:r>
    </w:p>
    <w:p>
      <w:pPr>
        <w:pStyle w:val="ListNumber"/>
        <w:spacing w:line="360" w:lineRule="auto"/>
      </w:pPr>
      <w:r>
        <w:rPr>
          <w:rFonts w:ascii="宋体" w:hAnsi="宋体"/>
          <w:b w:val="0"/>
          <w:i w:val="0"/>
          <w:sz w:val="24"/>
        </w:rPr>
        <w:t xml:space="preserve">Mustak, M., Salminen, J., Plé, L., &amp; Wirtz, J. (2021). Artificial intelligence in marketing: Topic modeling, scientometric analysis, and research agenda. </w:t>
      </w:r>
      <w:r>
        <w:rPr>
          <w:rFonts w:ascii="宋体" w:hAnsi="宋体"/>
          <w:b w:val="0"/>
          <w:i/>
          <w:sz w:val="24"/>
        </w:rPr>
        <w:t>Journal of Business Research</w:t>
      </w:r>
      <w:r>
        <w:rPr>
          <w:rFonts w:ascii="宋体" w:hAnsi="宋体"/>
          <w:b w:val="0"/>
          <w:i w:val="0"/>
          <w:sz w:val="24"/>
        </w:rPr>
        <w:t>, 124, 389-404.</w:t>
      </w:r>
    </w:p>
    <w:p>
      <w:pPr>
        <w:pStyle w:val="ListNumber"/>
        <w:spacing w:line="360" w:lineRule="auto"/>
      </w:pPr>
      <w:r>
        <w:rPr>
          <w:rFonts w:ascii="宋体" w:hAnsi="宋体"/>
          <w:b w:val="0"/>
          <w:i w:val="0"/>
          <w:sz w:val="24"/>
        </w:rPr>
        <w:t xml:space="preserve">Neslin, S. A., Gupta, S., Kamakura, W., Lu, J., &amp; Mason, C. H. (2006). Defection detection: Measuring and understanding the predictive accuracy of customer churn models. </w:t>
      </w:r>
      <w:r>
        <w:rPr>
          <w:rFonts w:ascii="宋体" w:hAnsi="宋体"/>
          <w:b w:val="0"/>
          <w:i/>
          <w:sz w:val="24"/>
        </w:rPr>
        <w:t>Journal of Marketing Research</w:t>
      </w:r>
      <w:r>
        <w:rPr>
          <w:rFonts w:ascii="宋体" w:hAnsi="宋体"/>
          <w:b w:val="0"/>
          <w:i w:val="0"/>
          <w:sz w:val="24"/>
        </w:rPr>
        <w:t>, 43(2), 204-211.</w:t>
      </w:r>
    </w:p>
    <w:p>
      <w:pPr>
        <w:pStyle w:val="ListNumber"/>
        <w:spacing w:line="360" w:lineRule="auto"/>
      </w:pPr>
      <w:r>
        <w:rPr>
          <w:rFonts w:ascii="宋体" w:hAnsi="宋体"/>
          <w:b w:val="0"/>
          <w:i w:val="0"/>
          <w:sz w:val="24"/>
        </w:rPr>
        <w:t xml:space="preserve">Ott, M., Choi, Y., Cardie, C., &amp; Hancock, J. T. (2011). Finding deceptive opinion spam by any stretch of the imagination. </w:t>
      </w:r>
      <w:r>
        <w:rPr>
          <w:rFonts w:ascii="宋体" w:hAnsi="宋体"/>
          <w:b w:val="0"/>
          <w:i/>
          <w:sz w:val="24"/>
        </w:rPr>
        <w:t>Proceedings of the 49th Annual Meeting of the Association for Computational Linguistics</w:t>
      </w:r>
      <w:r>
        <w:rPr>
          <w:rFonts w:ascii="宋体" w:hAnsi="宋体"/>
          <w:b w:val="0"/>
          <w:i w:val="0"/>
          <w:sz w:val="24"/>
        </w:rPr>
        <w:t>, 309-319.</w:t>
      </w:r>
    </w:p>
    <w:p>
      <w:pPr>
        <w:pStyle w:val="ListNumber"/>
        <w:spacing w:line="360" w:lineRule="auto"/>
      </w:pPr>
      <w:r>
        <w:rPr>
          <w:rFonts w:ascii="宋体" w:hAnsi="宋体"/>
          <w:b w:val="0"/>
          <w:i w:val="0"/>
          <w:sz w:val="24"/>
        </w:rPr>
        <w:t xml:space="preserve">Pang, B., &amp; Lee, L. (2008). Opinion mining and sentiment analysis. </w:t>
      </w:r>
      <w:r>
        <w:rPr>
          <w:rFonts w:ascii="宋体" w:hAnsi="宋体"/>
          <w:b w:val="0"/>
          <w:i/>
          <w:sz w:val="24"/>
        </w:rPr>
        <w:t>Foundations and Trends in Information Retrieval</w:t>
      </w:r>
      <w:r>
        <w:rPr>
          <w:rFonts w:ascii="宋体" w:hAnsi="宋体"/>
          <w:b w:val="0"/>
          <w:i w:val="0"/>
          <w:sz w:val="24"/>
        </w:rPr>
        <w:t>, 2(1-2), 1-135.</w:t>
      </w:r>
    </w:p>
    <w:p>
      <w:pPr>
        <w:pStyle w:val="ListNumber"/>
        <w:spacing w:line="360" w:lineRule="auto"/>
      </w:pPr>
      <w:r>
        <w:rPr>
          <w:rFonts w:ascii="宋体" w:hAnsi="宋体"/>
          <w:b w:val="0"/>
          <w:i w:val="0"/>
          <w:sz w:val="24"/>
        </w:rPr>
        <w:t xml:space="preserve">Pariser, E. (2011). </w:t>
      </w:r>
      <w:r>
        <w:rPr>
          <w:rFonts w:ascii="宋体" w:hAnsi="宋体"/>
          <w:b w:val="0"/>
          <w:i/>
          <w:sz w:val="24"/>
        </w:rPr>
        <w:t>The filter bubble: What the Internet is hiding from you</w:t>
      </w:r>
      <w:r>
        <w:rPr>
          <w:rFonts w:ascii="宋体" w:hAnsi="宋体"/>
          <w:b w:val="0"/>
          <w:i w:val="0"/>
          <w:sz w:val="24"/>
        </w:rPr>
        <w:t>. Penguin Press.</w:t>
      </w:r>
    </w:p>
    <w:p>
      <w:pPr>
        <w:pStyle w:val="ListNumber"/>
        <w:spacing w:line="360" w:lineRule="auto"/>
      </w:pPr>
      <w:r>
        <w:rPr>
          <w:rFonts w:ascii="宋体" w:hAnsi="宋体"/>
          <w:b w:val="0"/>
          <w:i w:val="0"/>
          <w:sz w:val="24"/>
        </w:rPr>
        <w:t xml:space="preserve">Pontiki, M., Galanis, D., Papageorgiou, H., Androutsopoulos, I., Manandhar, S., et al. (2016). SemEval-2016 task 5: Aspect based sentiment analysis. </w:t>
      </w:r>
      <w:r>
        <w:rPr>
          <w:rFonts w:ascii="宋体" w:hAnsi="宋体"/>
          <w:b w:val="0"/>
          <w:i/>
          <w:sz w:val="24"/>
        </w:rPr>
        <w:t>Proceedings of the 10th International Workshop on Semantic Evaluation</w:t>
      </w:r>
      <w:r>
        <w:rPr>
          <w:rFonts w:ascii="宋体" w:hAnsi="宋体"/>
          <w:b w:val="0"/>
          <w:i w:val="0"/>
          <w:sz w:val="24"/>
        </w:rPr>
        <w:t>, 19-30.</w:t>
      </w:r>
    </w:p>
    <w:p>
      <w:pPr>
        <w:pStyle w:val="ListNumber"/>
        <w:spacing w:line="360" w:lineRule="auto"/>
      </w:pPr>
      <w:r>
        <w:rPr>
          <w:rFonts w:ascii="宋体" w:hAnsi="宋体"/>
          <w:b w:val="0"/>
          <w:i w:val="0"/>
          <w:sz w:val="24"/>
        </w:rPr>
        <w:t xml:space="preserve">Poria, S., Majumder, N., Mihalcea, R., &amp; Hasan, E. (2019). Emotion recognition in conversation: Research challenges, datasets, and recent advances. </w:t>
      </w:r>
      <w:r>
        <w:rPr>
          <w:rFonts w:ascii="宋体" w:hAnsi="宋体"/>
          <w:b w:val="0"/>
          <w:i/>
          <w:sz w:val="24"/>
        </w:rPr>
        <w:t>IEEE Access</w:t>
      </w:r>
      <w:r>
        <w:rPr>
          <w:rFonts w:ascii="宋体" w:hAnsi="宋体"/>
          <w:b w:val="0"/>
          <w:i w:val="0"/>
          <w:sz w:val="24"/>
        </w:rPr>
        <w:t>, 7, 166894-166916.</w:t>
      </w:r>
    </w:p>
    <w:p>
      <w:pPr>
        <w:pStyle w:val="ListNumber"/>
        <w:spacing w:line="360" w:lineRule="auto"/>
      </w:pPr>
      <w:r>
        <w:rPr>
          <w:rFonts w:ascii="宋体" w:hAnsi="宋体"/>
          <w:b w:val="0"/>
          <w:i w:val="0"/>
          <w:sz w:val="24"/>
        </w:rPr>
        <w:t xml:space="preserve">Provost, F., &amp; Fawcett, T. (2013). </w:t>
      </w:r>
      <w:r>
        <w:rPr>
          <w:rFonts w:ascii="宋体" w:hAnsi="宋体"/>
          <w:b w:val="0"/>
          <w:i/>
          <w:sz w:val="24"/>
        </w:rPr>
        <w:t>Data science for business</w:t>
      </w:r>
      <w:r>
        <w:rPr>
          <w:rFonts w:ascii="宋体" w:hAnsi="宋体"/>
          <w:b w:val="0"/>
          <w:i w:val="0"/>
          <w:sz w:val="24"/>
        </w:rPr>
        <w:t>. O'Reilly Media.</w:t>
      </w:r>
    </w:p>
    <w:p>
      <w:pPr>
        <w:pStyle w:val="ListNumber"/>
        <w:spacing w:line="360" w:lineRule="auto"/>
      </w:pPr>
      <w:r>
        <w:rPr>
          <w:rFonts w:ascii="宋体" w:hAnsi="宋体"/>
          <w:b w:val="0"/>
          <w:i w:val="0"/>
          <w:sz w:val="24"/>
        </w:rPr>
        <w:t xml:space="preserve">Punj, G., &amp; Stewart, D. W. (1983). Cluster analysis in marketing research: Review and suggestions for application. </w:t>
      </w:r>
      <w:r>
        <w:rPr>
          <w:rFonts w:ascii="宋体" w:hAnsi="宋体"/>
          <w:b w:val="0"/>
          <w:i/>
          <w:sz w:val="24"/>
        </w:rPr>
        <w:t>Journal of Marketing Research</w:t>
      </w:r>
      <w:r>
        <w:rPr>
          <w:rFonts w:ascii="宋体" w:hAnsi="宋体"/>
          <w:b w:val="0"/>
          <w:i w:val="0"/>
          <w:sz w:val="24"/>
        </w:rPr>
        <w:t>, 20(2), 134-148.</w:t>
      </w:r>
    </w:p>
    <w:p>
      <w:pPr>
        <w:pStyle w:val="ListNumber"/>
        <w:spacing w:line="360" w:lineRule="auto"/>
      </w:pPr>
      <w:r>
        <w:rPr>
          <w:rFonts w:ascii="宋体" w:hAnsi="宋体"/>
          <w:b w:val="0"/>
          <w:i w:val="0"/>
          <w:sz w:val="24"/>
        </w:rPr>
        <w:t xml:space="preserve">Puntoni, S., Reczek, R. W., Giesler, M., &amp; Botti, S. (2021). Consumers and artificial intelligence: An experiential perspective. </w:t>
      </w:r>
      <w:r>
        <w:rPr>
          <w:rFonts w:ascii="宋体" w:hAnsi="宋体"/>
          <w:b w:val="0"/>
          <w:i/>
          <w:sz w:val="24"/>
        </w:rPr>
        <w:t>Journal of Marketing</w:t>
      </w:r>
      <w:r>
        <w:rPr>
          <w:rFonts w:ascii="宋体" w:hAnsi="宋体"/>
          <w:b w:val="0"/>
          <w:i w:val="0"/>
          <w:sz w:val="24"/>
        </w:rPr>
        <w:t>, 85(1), 131-151.</w:t>
      </w:r>
    </w:p>
    <w:p>
      <w:pPr>
        <w:pStyle w:val="ListNumber"/>
        <w:spacing w:line="360" w:lineRule="auto"/>
      </w:pPr>
      <w:r>
        <w:rPr>
          <w:rFonts w:ascii="宋体" w:hAnsi="宋体"/>
          <w:b w:val="0"/>
          <w:i w:val="0"/>
          <w:sz w:val="24"/>
        </w:rPr>
        <w:t xml:space="preserve">Radford, A., Kim, J. W., Hallacy, C., Ramesh, A., Goh, G., et al. (2021). Learning transferable visual models from natural language supervision. </w:t>
      </w:r>
      <w:r>
        <w:rPr>
          <w:rFonts w:ascii="宋体" w:hAnsi="宋体"/>
          <w:b w:val="0"/>
          <w:i/>
          <w:sz w:val="24"/>
        </w:rPr>
        <w:t>Proceedings of ICML 2021</w:t>
      </w:r>
      <w:r>
        <w:rPr>
          <w:rFonts w:ascii="宋体" w:hAnsi="宋体"/>
          <w:b w:val="0"/>
          <w:i w:val="0"/>
          <w:sz w:val="24"/>
        </w:rPr>
        <w:t>, 8748-8763.</w:t>
      </w:r>
    </w:p>
    <w:p>
      <w:pPr>
        <w:pStyle w:val="ListNumber"/>
        <w:spacing w:line="360" w:lineRule="auto"/>
      </w:pPr>
      <w:r>
        <w:rPr>
          <w:rFonts w:ascii="宋体" w:hAnsi="宋体"/>
          <w:b w:val="0"/>
          <w:i w:val="0"/>
          <w:sz w:val="24"/>
        </w:rPr>
        <w:t xml:space="preserve">Reichheld, F. F., &amp; Sasser, W. E. (1990). Zero defections: Quality comes to services. </w:t>
      </w:r>
      <w:r>
        <w:rPr>
          <w:rFonts w:ascii="宋体" w:hAnsi="宋体"/>
          <w:b w:val="0"/>
          <w:i/>
          <w:sz w:val="24"/>
        </w:rPr>
        <w:t>Harvard Business Review</w:t>
      </w:r>
      <w:r>
        <w:rPr>
          <w:rFonts w:ascii="宋体" w:hAnsi="宋体"/>
          <w:b w:val="0"/>
          <w:i w:val="0"/>
          <w:sz w:val="24"/>
        </w:rPr>
        <w:t>, 68(5), 105-111.</w:t>
      </w:r>
    </w:p>
    <w:p>
      <w:pPr>
        <w:pStyle w:val="ListNumber"/>
        <w:spacing w:line="360" w:lineRule="auto"/>
      </w:pPr>
      <w:r>
        <w:rPr>
          <w:rFonts w:ascii="宋体" w:hAnsi="宋体"/>
          <w:b w:val="0"/>
          <w:i w:val="0"/>
          <w:sz w:val="24"/>
        </w:rPr>
        <w:t xml:space="preserve">Reisenbichler, M., Reutterer, T., Schweidel, D. A., &amp; Dan, D. (2022). Frontiers: Supporting content marketing with natural language generation. </w:t>
      </w:r>
      <w:r>
        <w:rPr>
          <w:rFonts w:ascii="宋体" w:hAnsi="宋体"/>
          <w:b w:val="0"/>
          <w:i/>
          <w:sz w:val="24"/>
        </w:rPr>
        <w:t>Marketing Science</w:t>
      </w:r>
      <w:r>
        <w:rPr>
          <w:rFonts w:ascii="宋体" w:hAnsi="宋体"/>
          <w:b w:val="0"/>
          <w:i w:val="0"/>
          <w:sz w:val="24"/>
        </w:rPr>
        <w:t>, 41(3), 441-452.</w:t>
      </w:r>
    </w:p>
    <w:p>
      <w:pPr>
        <w:pStyle w:val="ListNumber"/>
        <w:spacing w:line="360" w:lineRule="auto"/>
      </w:pPr>
      <w:r>
        <w:rPr>
          <w:rFonts w:ascii="宋体" w:hAnsi="宋体"/>
          <w:b w:val="0"/>
          <w:i w:val="0"/>
          <w:sz w:val="24"/>
        </w:rPr>
        <w:t xml:space="preserve">Rombach, R., Blattmann, A., Lorenz, D., Esser, P., &amp; Ommer, B. (2022). High-resolution image synthesis with latent diffusion models. </w:t>
      </w:r>
      <w:r>
        <w:rPr>
          <w:rFonts w:ascii="宋体" w:hAnsi="宋体"/>
          <w:b w:val="0"/>
          <w:i/>
          <w:sz w:val="24"/>
        </w:rPr>
        <w:t>Proceedings of the IEEE/CVF Conference on Computer Vision and Pattern Recognition</w:t>
      </w:r>
      <w:r>
        <w:rPr>
          <w:rFonts w:ascii="宋体" w:hAnsi="宋体"/>
          <w:b w:val="0"/>
          <w:i w:val="0"/>
          <w:sz w:val="24"/>
        </w:rPr>
        <w:t>, 10684-10695.</w:t>
      </w:r>
    </w:p>
    <w:p>
      <w:pPr>
        <w:pStyle w:val="ListNumber"/>
        <w:spacing w:line="360" w:lineRule="auto"/>
      </w:pPr>
      <w:r>
        <w:rPr>
          <w:rFonts w:ascii="宋体" w:hAnsi="宋体"/>
          <w:b w:val="0"/>
          <w:i w:val="0"/>
          <w:sz w:val="24"/>
        </w:rPr>
        <w:t xml:space="preserve">Rudin, C. (2019). Stop explaining black box machine learning models for high stakes decisions and use interpretable models instead. </w:t>
      </w:r>
      <w:r>
        <w:rPr>
          <w:rFonts w:ascii="宋体" w:hAnsi="宋体"/>
          <w:b w:val="0"/>
          <w:i/>
          <w:sz w:val="24"/>
        </w:rPr>
        <w:t>Nature Machine Intelligence</w:t>
      </w:r>
      <w:r>
        <w:rPr>
          <w:rFonts w:ascii="宋体" w:hAnsi="宋体"/>
          <w:b w:val="0"/>
          <w:i w:val="0"/>
          <w:sz w:val="24"/>
        </w:rPr>
        <w:t>, 1(5), 206-215.</w:t>
      </w:r>
    </w:p>
    <w:p>
      <w:pPr>
        <w:pStyle w:val="ListNumber"/>
        <w:spacing w:line="360" w:lineRule="auto"/>
      </w:pPr>
      <w:r>
        <w:rPr>
          <w:rFonts w:ascii="宋体" w:hAnsi="宋体"/>
          <w:b w:val="0"/>
          <w:i w:val="0"/>
          <w:sz w:val="24"/>
        </w:rPr>
        <w:t xml:space="preserve">Schwartz, E. M., Bradlow, E. T., &amp; Fader, P. S. (2017). Customer acquisition via display advertising using multi-armed bandit experiments. </w:t>
      </w:r>
      <w:r>
        <w:rPr>
          <w:rFonts w:ascii="宋体" w:hAnsi="宋体"/>
          <w:b w:val="0"/>
          <w:i/>
          <w:sz w:val="24"/>
        </w:rPr>
        <w:t>Marketing Science</w:t>
      </w:r>
      <w:r>
        <w:rPr>
          <w:rFonts w:ascii="宋体" w:hAnsi="宋体"/>
          <w:b w:val="0"/>
          <w:i w:val="0"/>
          <w:sz w:val="24"/>
        </w:rPr>
        <w:t>, 36(4), 500-522.</w:t>
      </w:r>
    </w:p>
    <w:p>
      <w:pPr>
        <w:pStyle w:val="ListNumber"/>
        <w:spacing w:line="360" w:lineRule="auto"/>
      </w:pPr>
      <w:r>
        <w:rPr>
          <w:rFonts w:ascii="宋体" w:hAnsi="宋体"/>
          <w:b w:val="0"/>
          <w:i w:val="0"/>
          <w:sz w:val="24"/>
        </w:rPr>
        <w:t xml:space="preserve">Shan, Y., Hoens, T. R., Jiao, J., Wang, H., Yu, D., &amp; Mao, J. C. (2016). Deep crossing: Web-scale modeling without manually crafted combinatorial features. </w:t>
      </w:r>
      <w:r>
        <w:rPr>
          <w:rFonts w:ascii="宋体" w:hAnsi="宋体"/>
          <w:b w:val="0"/>
          <w:i/>
          <w:sz w:val="24"/>
        </w:rPr>
        <w:t>Proceedings of the 22nd ACM SIGKDD International Conference on Knowledge Discovery and Data Mining</w:t>
      </w:r>
      <w:r>
        <w:rPr>
          <w:rFonts w:ascii="宋体" w:hAnsi="宋体"/>
          <w:b w:val="0"/>
          <w:i w:val="0"/>
          <w:sz w:val="24"/>
        </w:rPr>
        <w:t>, 255-262.</w:t>
      </w:r>
    </w:p>
    <w:p>
      <w:pPr>
        <w:pStyle w:val="ListNumber"/>
        <w:spacing w:line="360" w:lineRule="auto"/>
      </w:pPr>
      <w:r>
        <w:rPr>
          <w:rFonts w:ascii="宋体" w:hAnsi="宋体"/>
          <w:b w:val="0"/>
          <w:i w:val="0"/>
          <w:sz w:val="24"/>
        </w:rPr>
        <w:t xml:space="preserve">Smith, B., &amp; Linden, G. (2017). Two decades of recommender systems at Amazon.com. </w:t>
      </w:r>
      <w:r>
        <w:rPr>
          <w:rFonts w:ascii="宋体" w:hAnsi="宋体"/>
          <w:b w:val="0"/>
          <w:i/>
          <w:sz w:val="24"/>
        </w:rPr>
        <w:t>IEEE Internet Computing</w:t>
      </w:r>
      <w:r>
        <w:rPr>
          <w:rFonts w:ascii="宋体" w:hAnsi="宋体"/>
          <w:b w:val="0"/>
          <w:i w:val="0"/>
          <w:sz w:val="24"/>
        </w:rPr>
        <w:t>, 21(3), 12-18.</w:t>
      </w:r>
    </w:p>
    <w:p>
      <w:pPr>
        <w:pStyle w:val="ListNumber"/>
        <w:spacing w:line="360" w:lineRule="auto"/>
      </w:pPr>
      <w:r>
        <w:rPr>
          <w:rFonts w:ascii="宋体" w:hAnsi="宋体"/>
          <w:b w:val="0"/>
          <w:i w:val="0"/>
          <w:sz w:val="24"/>
        </w:rPr>
        <w:t xml:space="preserve">Sun, F., Liu, J., Wu, J., Pei, C., Lin, X., Ou, W., &amp; Jiang, P. (2019). BERT4Rec: Sequential recommendation with bidirectional encoder representations from Transformers. </w:t>
      </w:r>
      <w:r>
        <w:rPr>
          <w:rFonts w:ascii="宋体" w:hAnsi="宋体"/>
          <w:b w:val="0"/>
          <w:i/>
          <w:sz w:val="24"/>
        </w:rPr>
        <w:t>Proceedings of the 28th ACM International Conference on Information and Knowledge Management</w:t>
      </w:r>
      <w:r>
        <w:rPr>
          <w:rFonts w:ascii="宋体" w:hAnsi="宋体"/>
          <w:b w:val="0"/>
          <w:i w:val="0"/>
          <w:sz w:val="24"/>
        </w:rPr>
        <w:t>, 1441-1450.</w:t>
      </w:r>
    </w:p>
    <w:p>
      <w:pPr>
        <w:pStyle w:val="ListNumber"/>
        <w:spacing w:line="360" w:lineRule="auto"/>
      </w:pPr>
      <w:r>
        <w:rPr>
          <w:rFonts w:ascii="宋体" w:hAnsi="宋体"/>
          <w:b w:val="0"/>
          <w:i w:val="0"/>
          <w:sz w:val="24"/>
        </w:rPr>
        <w:t xml:space="preserve">Sutton, R. S., &amp; Barto, A. G. (2018). </w:t>
      </w:r>
      <w:r>
        <w:rPr>
          <w:rFonts w:ascii="宋体" w:hAnsi="宋体"/>
          <w:b w:val="0"/>
          <w:i/>
          <w:sz w:val="24"/>
        </w:rPr>
        <w:t>Reinforcement learning: An introduction</w:t>
      </w:r>
      <w:r>
        <w:rPr>
          <w:rFonts w:ascii="宋体" w:hAnsi="宋体"/>
          <w:b w:val="0"/>
          <w:i w:val="0"/>
          <w:sz w:val="24"/>
        </w:rPr>
        <w:t xml:space="preserve"> (2nd ed.). MIT Press.</w:t>
      </w:r>
    </w:p>
    <w:p>
      <w:pPr>
        <w:pStyle w:val="ListNumber"/>
        <w:spacing w:line="360" w:lineRule="auto"/>
      </w:pPr>
      <w:r>
        <w:rPr>
          <w:rFonts w:ascii="宋体" w:hAnsi="宋体"/>
          <w:b w:val="0"/>
          <w:i w:val="0"/>
          <w:sz w:val="24"/>
        </w:rPr>
        <w:t xml:space="preserve">Vanderveld, A., Pandey, A., Han, A., &amp; Parekh, R. (2016). An engagement-based customer lifetime value system for e-commerce. </w:t>
      </w:r>
      <w:r>
        <w:rPr>
          <w:rFonts w:ascii="宋体" w:hAnsi="宋体"/>
          <w:b w:val="0"/>
          <w:i/>
          <w:sz w:val="24"/>
        </w:rPr>
        <w:t>Proceedings of the 22nd ACM SIGKDD International Conference on Knowledge Discovery and Data Mining</w:t>
      </w:r>
      <w:r>
        <w:rPr>
          <w:rFonts w:ascii="宋体" w:hAnsi="宋体"/>
          <w:b w:val="0"/>
          <w:i w:val="0"/>
          <w:sz w:val="24"/>
        </w:rPr>
        <w:t>, 293-302.</w:t>
      </w:r>
    </w:p>
    <w:p>
      <w:pPr>
        <w:pStyle w:val="ListNumber"/>
        <w:spacing w:line="360" w:lineRule="auto"/>
      </w:pPr>
      <w:r>
        <w:rPr>
          <w:rFonts w:ascii="宋体" w:hAnsi="宋体"/>
          <w:b w:val="0"/>
          <w:i w:val="0"/>
          <w:sz w:val="24"/>
        </w:rPr>
        <w:t xml:space="preserve">Vaswani, A., Shazeer, N., Parmar, N., Uszkoreit, J., Jones, L., et al. (2017). Attention is all you need. </w:t>
      </w:r>
      <w:r>
        <w:rPr>
          <w:rFonts w:ascii="宋体" w:hAnsi="宋体"/>
          <w:b w:val="0"/>
          <w:i/>
          <w:sz w:val="24"/>
        </w:rPr>
        <w:t>Advances in Neural Information Processing Systems</w:t>
      </w:r>
      <w:r>
        <w:rPr>
          <w:rFonts w:ascii="宋体" w:hAnsi="宋体"/>
          <w:b w:val="0"/>
          <w:i w:val="0"/>
          <w:sz w:val="24"/>
        </w:rPr>
        <w:t>, 30, 5998-6008.</w:t>
      </w:r>
    </w:p>
    <w:p>
      <w:pPr>
        <w:pStyle w:val="ListNumber"/>
        <w:spacing w:line="360" w:lineRule="auto"/>
      </w:pPr>
      <w:r>
        <w:rPr>
          <w:rFonts w:ascii="宋体" w:hAnsi="宋体"/>
          <w:b w:val="0"/>
          <w:i w:val="0"/>
          <w:sz w:val="24"/>
        </w:rPr>
        <w:t xml:space="preserve">Verbeke, W., Dejaeger, K., Martens, D., Hur, J., &amp; Baesens, B. (2012). New insights into churn prediction in the telecommunication sector: A profit driven data mining approach. </w:t>
      </w:r>
      <w:r>
        <w:rPr>
          <w:rFonts w:ascii="宋体" w:hAnsi="宋体"/>
          <w:b w:val="0"/>
          <w:i/>
          <w:sz w:val="24"/>
        </w:rPr>
        <w:t>European Journal of Operational Research</w:t>
      </w:r>
      <w:r>
        <w:rPr>
          <w:rFonts w:ascii="宋体" w:hAnsi="宋体"/>
          <w:b w:val="0"/>
          <w:i w:val="0"/>
          <w:sz w:val="24"/>
        </w:rPr>
        <w:t>, 218(1), 211-229.</w:t>
      </w:r>
    </w:p>
    <w:p>
      <w:pPr>
        <w:pStyle w:val="ListNumber"/>
        <w:spacing w:line="360" w:lineRule="auto"/>
      </w:pPr>
      <w:r>
        <w:rPr>
          <w:rFonts w:ascii="宋体" w:hAnsi="宋体"/>
          <w:b w:val="0"/>
          <w:i w:val="0"/>
          <w:sz w:val="24"/>
        </w:rPr>
        <w:t xml:space="preserve">Verhoef, P. C., Broekhuizen, T., Bart, Y., Bhattacharya, A., Qi Dong, J., Fabian, N., &amp; Haenlein, M. (2021). Digital transformation: A multidisciplinary reflection and research agenda. </w:t>
      </w:r>
      <w:r>
        <w:rPr>
          <w:rFonts w:ascii="宋体" w:hAnsi="宋体"/>
          <w:b w:val="0"/>
          <w:i/>
          <w:sz w:val="24"/>
        </w:rPr>
        <w:t>Journal of Business Research</w:t>
      </w:r>
      <w:r>
        <w:rPr>
          <w:rFonts w:ascii="宋体" w:hAnsi="宋体"/>
          <w:b w:val="0"/>
          <w:i w:val="0"/>
          <w:sz w:val="24"/>
        </w:rPr>
        <w:t>, 122, 889-901.</w:t>
      </w:r>
    </w:p>
    <w:p>
      <w:pPr>
        <w:pStyle w:val="ListNumber"/>
        <w:spacing w:line="360" w:lineRule="auto"/>
      </w:pPr>
      <w:r>
        <w:rPr>
          <w:rFonts w:ascii="宋体" w:hAnsi="宋体"/>
          <w:b w:val="0"/>
          <w:i w:val="0"/>
          <w:sz w:val="24"/>
        </w:rPr>
        <w:t xml:space="preserve">Wedel, M., &amp; Kannan, P. K. (2016). Marketing analytics for data-rich environments. </w:t>
      </w:r>
      <w:r>
        <w:rPr>
          <w:rFonts w:ascii="宋体" w:hAnsi="宋体"/>
          <w:b w:val="0"/>
          <w:i/>
          <w:sz w:val="24"/>
        </w:rPr>
        <w:t>Journal of Marketing</w:t>
      </w:r>
      <w:r>
        <w:rPr>
          <w:rFonts w:ascii="宋体" w:hAnsi="宋体"/>
          <w:b w:val="0"/>
          <w:i w:val="0"/>
          <w:sz w:val="24"/>
        </w:rPr>
        <w:t>, 80(6), 97-121.</w:t>
      </w:r>
    </w:p>
    <w:p>
      <w:pPr>
        <w:pStyle w:val="ListNumber"/>
        <w:spacing w:line="360" w:lineRule="auto"/>
      </w:pPr>
      <w:r>
        <w:rPr>
          <w:rFonts w:ascii="宋体" w:hAnsi="宋体"/>
          <w:b w:val="0"/>
          <w:i w:val="0"/>
          <w:sz w:val="24"/>
        </w:rPr>
        <w:t xml:space="preserve">Wirth, N. (2018). Hello marketing, what can artificial intelligence help you with? </w:t>
      </w:r>
      <w:r>
        <w:rPr>
          <w:rFonts w:ascii="宋体" w:hAnsi="宋体"/>
          <w:b w:val="0"/>
          <w:i/>
          <w:sz w:val="24"/>
        </w:rPr>
        <w:t>International Journal of Market Research</w:t>
      </w:r>
      <w:r>
        <w:rPr>
          <w:rFonts w:ascii="宋体" w:hAnsi="宋体"/>
          <w:b w:val="0"/>
          <w:i w:val="0"/>
          <w:sz w:val="24"/>
        </w:rPr>
        <w:t>, 60(5), 435-438.</w:t>
      </w:r>
    </w:p>
    <w:p>
      <w:pPr>
        <w:pStyle w:val="ListNumber"/>
        <w:spacing w:line="360" w:lineRule="auto"/>
      </w:pPr>
      <w:r>
        <w:rPr>
          <w:rFonts w:ascii="宋体" w:hAnsi="宋体"/>
          <w:b w:val="0"/>
          <w:i w:val="0"/>
          <w:sz w:val="24"/>
        </w:rPr>
        <w:t xml:space="preserve">Wu, Z., Pan, S., Chen, F., Long, G., Zhang, C., &amp; Yu, P. S. (2020). A comprehensive survey on graph neural networks. </w:t>
      </w:r>
      <w:r>
        <w:rPr>
          <w:rFonts w:ascii="宋体" w:hAnsi="宋体"/>
          <w:b w:val="0"/>
          <w:i/>
          <w:sz w:val="24"/>
        </w:rPr>
        <w:t>IEEE Transactions on Neural Networks and Learning Systems</w:t>
      </w:r>
      <w:r>
        <w:rPr>
          <w:rFonts w:ascii="宋体" w:hAnsi="宋体"/>
          <w:b w:val="0"/>
          <w:i w:val="0"/>
          <w:sz w:val="24"/>
        </w:rPr>
        <w:t>, 32(1), 4-24.</w:t>
      </w:r>
    </w:p>
    <w:p>
      <w:pPr>
        <w:pStyle w:val="ListNumber"/>
        <w:spacing w:line="360" w:lineRule="auto"/>
      </w:pPr>
      <w:r>
        <w:rPr>
          <w:rFonts w:ascii="宋体" w:hAnsi="宋体"/>
          <w:b w:val="0"/>
          <w:i w:val="0"/>
          <w:sz w:val="24"/>
        </w:rPr>
        <w:t xml:space="preserve">Xie, J., Girshick, R., &amp; Farhadi, A. (2016). Unsupervised deep embedding for clustering analysis. </w:t>
      </w:r>
      <w:r>
        <w:rPr>
          <w:rFonts w:ascii="宋体" w:hAnsi="宋体"/>
          <w:b w:val="0"/>
          <w:i/>
          <w:sz w:val="24"/>
        </w:rPr>
        <w:t>Proceedings of the 33rd International Conference on Machine Learning</w:t>
      </w:r>
      <w:r>
        <w:rPr>
          <w:rFonts w:ascii="宋体" w:hAnsi="宋体"/>
          <w:b w:val="0"/>
          <w:i w:val="0"/>
          <w:sz w:val="24"/>
        </w:rPr>
        <w:t>, 478-487.</w:t>
      </w:r>
    </w:p>
    <w:p>
      <w:pPr>
        <w:pStyle w:val="ListNumber"/>
        <w:spacing w:line="360" w:lineRule="auto"/>
      </w:pPr>
      <w:r>
        <w:rPr>
          <w:rFonts w:ascii="宋体" w:hAnsi="宋体"/>
          <w:b w:val="0"/>
          <w:i w:val="0"/>
          <w:sz w:val="24"/>
        </w:rPr>
        <w:t xml:space="preserve">Yang, Q., Liu, Y., Chen, T., &amp; Tong, Y. (2019). Federated machine learning: Concept and applications. </w:t>
      </w:r>
      <w:r>
        <w:rPr>
          <w:rFonts w:ascii="宋体" w:hAnsi="宋体"/>
          <w:b w:val="0"/>
          <w:i/>
          <w:sz w:val="24"/>
        </w:rPr>
        <w:t>ACM Transactions on Intelligent Systems and Technology</w:t>
      </w:r>
      <w:r>
        <w:rPr>
          <w:rFonts w:ascii="宋体" w:hAnsi="宋体"/>
          <w:b w:val="0"/>
          <w:i w:val="0"/>
          <w:sz w:val="24"/>
        </w:rPr>
        <w:t>, 10(2), 1-19.</w:t>
      </w:r>
    </w:p>
    <w:p>
      <w:pPr>
        <w:pStyle w:val="ListNumber"/>
        <w:spacing w:line="360" w:lineRule="auto"/>
      </w:pPr>
      <w:r>
        <w:rPr>
          <w:rFonts w:ascii="宋体" w:hAnsi="宋体"/>
          <w:b w:val="0"/>
          <w:i w:val="0"/>
          <w:sz w:val="24"/>
        </w:rPr>
        <w:t xml:space="preserve">Zhou, G., Zhu, X., Song, C., Fan, Y., Zhu, H., et al. (2018). Deep interest network for click-through rate prediction. </w:t>
      </w:r>
      <w:r>
        <w:rPr>
          <w:rFonts w:ascii="宋体" w:hAnsi="宋体"/>
          <w:b w:val="0"/>
          <w:i/>
          <w:sz w:val="24"/>
        </w:rPr>
        <w:t>Proceedings of the 24th ACM SIGKDD International Conference on Knowledge Discovery and Data Mining</w:t>
      </w:r>
      <w:r>
        <w:rPr>
          <w:rFonts w:ascii="宋体" w:hAnsi="宋体"/>
          <w:b w:val="0"/>
          <w:i w:val="0"/>
          <w:sz w:val="24"/>
        </w:rPr>
        <w:t>, 1059-1068.</w:t>
      </w:r>
    </w:p>
    <w:p>
      <w:pPr>
        <w:pStyle w:val="ListNumber"/>
        <w:spacing w:line="360" w:lineRule="auto"/>
      </w:pPr>
      <w:r>
        <w:rPr>
          <w:rFonts w:ascii="宋体" w:hAnsi="宋体"/>
          <w:b w:val="0"/>
          <w:i w:val="0"/>
          <w:sz w:val="24"/>
        </w:rPr>
        <w:t xml:space="preserve">Zhou, H., Zhang, S., Peng, J., Zhang, S., Li, J., Xiong, H., &amp; Zhang, W. (2021). Informer: Beyond efficient Transformer for long sequence time-series forecasting. </w:t>
      </w:r>
      <w:r>
        <w:rPr>
          <w:rFonts w:ascii="宋体" w:hAnsi="宋体"/>
          <w:b w:val="0"/>
          <w:i/>
          <w:sz w:val="24"/>
        </w:rPr>
        <w:t>Proceedings of AAAI 2021</w:t>
      </w:r>
      <w:r>
        <w:rPr>
          <w:rFonts w:ascii="宋体" w:hAnsi="宋体"/>
          <w:b w:val="0"/>
          <w:i w:val="0"/>
          <w:sz w:val="24"/>
        </w:rPr>
        <w:t>, 35(12), 11106-11115.</w:t>
      </w:r>
    </w:p>
    <w:p>
      <w:pPr>
        <w:pStyle w:val="ListNumber"/>
        <w:spacing w:line="360" w:lineRule="auto"/>
      </w:pPr>
      <w:r>
        <w:rPr>
          <w:rFonts w:ascii="宋体" w:hAnsi="宋体"/>
          <w:b w:val="0"/>
          <w:i w:val="0"/>
          <w:sz w:val="24"/>
        </w:rPr>
        <w:t xml:space="preserve">Zubiaga, A., Aker, A., Bontcheva, K., Liakata, M., &amp; Procter, R. (2018). Detection and resolution of rumours in social media: A survey. </w:t>
      </w:r>
      <w:r>
        <w:rPr>
          <w:rFonts w:ascii="宋体" w:hAnsi="宋体"/>
          <w:b w:val="0"/>
          <w:i/>
          <w:sz w:val="24"/>
        </w:rPr>
        <w:t>ACM Computing Surveys</w:t>
      </w:r>
      <w:r>
        <w:rPr>
          <w:rFonts w:ascii="宋体" w:hAnsi="宋体"/>
          <w:b w:val="0"/>
          <w:i w:val="0"/>
          <w:sz w:val="24"/>
        </w:rPr>
        <w:t>, 51(2), 1-36.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