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i w:val="0"/>
          <w:color w:val="000000"/>
          <w:sz w:val="36"/>
        </w:rPr>
        <w:t>多智能体系统在营销分析中的研究进展：从Agent-Based Modeling到LLM驱动的协作智能</w:t>
      </w:r>
    </w:p>
    <w:p>
      <w:pPr>
        <w:pStyle w:val="Heading2"/>
      </w:pPr>
      <w:r>
        <w:rPr>
          <w:rFonts w:ascii="黑体" w:hAnsi="黑体"/>
          <w:b/>
          <w:i w:val="0"/>
          <w:color w:val="000000"/>
          <w:sz w:val="30"/>
        </w:rPr>
        <w:t>摘要</w:t>
      </w:r>
    </w:p>
    <w:p>
      <w:pPr>
        <w:spacing w:line="360" w:lineRule="auto"/>
        <w:ind w:firstLine="480"/>
      </w:pPr>
      <w:r>
        <w:rPr>
          <w:rFonts w:ascii="宋体" w:hAnsi="宋体"/>
          <w:b w:val="0"/>
          <w:i w:val="0"/>
          <w:sz w:val="24"/>
        </w:rPr>
        <w:t>多智能体系统（Multi-Agent Systems, MAS）作为分布式人工智能的核心范式，在营销分析领域的应用经历了从传统仿真建模到大语言模型（LLM）驱动协作智能的深刻演变。早期，基于智能体的建模（Agent-Based Modeling, ABM）通过模拟消费者个体的决策行为和交互过程，为市场扩散、口碑传播和竞争动态等复杂营销现象提供了"自底向上"的分析工具。近年来，以大语言模型为基座的多智能体协作系统（如AutoGen、CrewAI、MetaGPT等）的兴起，开辟了AI Agent自主协作执行营销任务的全新范式——从市场调研、内容生成到广告投放优化，多个具有专业角色的AI智能体能够通过对话、推理和工具调用实现复杂营销工作流的自动化编排。本文系统梳理了多智能体系统在营销分析领域的研究脉络，涵盖理论基础、传统ABM应用、LLM多智能体架构、核心应用场景、评估方法与关键挑战，旨在为研究者提供跨越两代技术范式的完整知识图景，并展望多智能体营销智能的未来发展方向。</w:t>
      </w:r>
    </w:p>
    <w:p>
      <w:pPr>
        <w:spacing w:line="360" w:lineRule="auto"/>
        <w:ind w:firstLine="480"/>
      </w:pPr>
      <w:r>
        <w:rPr>
          <w:rFonts w:ascii="宋体" w:hAnsi="宋体"/>
          <w:b/>
          <w:i w:val="0"/>
          <w:sz w:val="24"/>
        </w:rPr>
        <w:t>关键词：</w:t>
      </w:r>
      <w:r>
        <w:rPr>
          <w:rFonts w:ascii="宋体" w:hAnsi="宋体"/>
          <w:b w:val="0"/>
          <w:i w:val="0"/>
          <w:sz w:val="24"/>
        </w:rPr>
        <w:t xml:space="preserve"> 多智能体系统；Agent-Based Modeling；大语言模型；营销分析；协作智能；消费者行为仿真</w:t>
      </w:r>
    </w:p>
    <w:p>
      <w:pPr>
        <w:pStyle w:val="Heading2"/>
      </w:pPr>
      <w:r>
        <w:rPr>
          <w:rFonts w:ascii="黑体" w:hAnsi="黑体"/>
          <w:b/>
          <w:i w:val="0"/>
          <w:color w:val="000000"/>
          <w:sz w:val="30"/>
        </w:rPr>
        <w:t>1 引言</w:t>
      </w:r>
    </w:p>
    <w:p>
      <w:pPr>
        <w:spacing w:line="360" w:lineRule="auto"/>
        <w:ind w:firstLine="480"/>
      </w:pPr>
      <w:r>
        <w:rPr>
          <w:rFonts w:ascii="宋体" w:hAnsi="宋体"/>
          <w:b w:val="0"/>
          <w:i w:val="0"/>
          <w:sz w:val="24"/>
        </w:rPr>
        <w:t>营销分析的核心目标是理解消费者行为、评估营销策略效果并优化营销决策。然而，现实中的营销环境本质上是一个由大量异质性个体（消费者、企业、中介平台等）相互作用构成的复杂适应系统（Complex Adaptive System），个体层面的微观决策通过社交网络、市场机制和信息传播等渠道汇聚为宏观层面的市场现象（Rand &amp; Rust, 2011）。传统的营销分析方法——无论是计量经济学模型还是机器学习方法——通常将消费者视为同质或有限异质的群体，难以充分捕捉个体间交互和涌现效应（Emergence）对市场动态的影响（Bonabeau, 2002）。正如Farmer和Foley（2009）在《Nature》上所呼吁的，经济和市场系统的分析亟需基于智能体的建模方法来弥补传统方法的不足。</w:t>
      </w:r>
    </w:p>
    <w:p>
      <w:pPr>
        <w:spacing w:line="360" w:lineRule="auto"/>
        <w:ind w:firstLine="480"/>
      </w:pPr>
      <w:r>
        <w:rPr>
          <w:rFonts w:ascii="宋体" w:hAnsi="宋体"/>
          <w:b w:val="0"/>
          <w:i w:val="0"/>
          <w:sz w:val="24"/>
        </w:rPr>
        <w:t>多智能体系统（Multi-Agent Systems, MAS）为理解和分析这类复杂营销现象提供了独特的方法论视角。在MAS框架中，每个智能体（Agent）是一个具有自主决策能力的计算实体，能够感知环境、与其他智能体交互并根据自身目标采取行动（Wooldridge, 2009）。当大量智能体在共享环境中交互时，系统层面会涌现出无法从个体行为直接预测的复杂模式——正如Schelling（1971）在其经典的种族隔离模型中所揭示的，个体层面轻微的偏好差异可以在群体层面产生极端的空间分离模式。这种从微观到宏观的涌现机制与真实市场的运行逻辑高度吻合。</w:t>
      </w:r>
    </w:p>
    <w:p>
      <w:pPr>
        <w:spacing w:line="360" w:lineRule="auto"/>
        <w:ind w:firstLine="480"/>
      </w:pPr>
      <w:r>
        <w:rPr>
          <w:rFonts w:ascii="宋体" w:hAnsi="宋体"/>
          <w:b w:val="0"/>
          <w:i w:val="0"/>
          <w:sz w:val="24"/>
        </w:rPr>
        <w:t>多智能体在营销分析中的应用可以追溯到20世纪末。Epstein和Axtell（1996）的开创性著作《Growing Artificial Societies》奠定了ABM的理论基础，展示了如何通过简单规则的个体交互生成复杂的社会现象。此后，ABM被广泛应用于市场扩散建模（Goldenberg et al., 2001）、消费者选择行为模拟（Zhang &amp; Chang, 2012）和竞争策略分析（Garcia, 2005）等营销研究领域。Macy和Willer（2002）在《Annual Review of Sociology》上指出，ABM标志着社会科学从"因素分析"到"行动者分析"的方法论转向——这一观点同样适用于营销研究。Rand和Rust（2011）在《International Journal of Research in Marketing》上发表的综述明确提出，ABM应成为营销研究者工具箱中的重要组成部分，并指出其在处理异质性、社交网络效应和非线性动态方面的独特优势。Negahban和Yilmaz（2014）进一步对ABM在营销研究中的应用进行了整合性综述，识别了该领域的主要研究主题和方法论趋势。</w:t>
      </w:r>
    </w:p>
    <w:p>
      <w:pPr>
        <w:spacing w:line="360" w:lineRule="auto"/>
        <w:ind w:firstLine="480"/>
      </w:pPr>
      <w:r>
        <w:rPr>
          <w:rFonts w:ascii="宋体" w:hAnsi="宋体"/>
          <w:b w:val="0"/>
          <w:i w:val="0"/>
          <w:sz w:val="24"/>
        </w:rPr>
        <w:t>近年来，大语言模型（LLM）的突破性进展催生了一种全新的多智能体范式。与传统ABM中基于预定义规则或简单启发式的智能体不同，基于LLM的智能体具有强大的自然语言理解和生成能力、复杂推理能力以及工具使用能力（Brown et al., 2020; OpenAI, 2023）。Yao等人（2023）提出的ReAct框架展示了LLM智能体如何将推理（Reasoning）与行动（Acting）相结合，为智能体的自主决策和环境交互提供了技术基础。Park等人（2023）的"生成式智能体"研究展示了LLM智能体能够产生可信的人类行为模拟，为消费者行为仿真开辟了新的可能性。Wu等人（2023）提出的AutoGen框架为多智能体对话和协作提供了通用的技术基础设施。</w:t>
      </w:r>
    </w:p>
    <w:p>
      <w:pPr>
        <w:spacing w:line="360" w:lineRule="auto"/>
        <w:ind w:firstLine="480"/>
      </w:pPr>
      <w:r>
        <w:rPr>
          <w:rFonts w:ascii="宋体" w:hAnsi="宋体"/>
          <w:b w:val="0"/>
          <w:i w:val="0"/>
          <w:sz w:val="24"/>
        </w:rPr>
        <w:t>然而，目前学术界缺乏一篇系统性的综述来连接传统ABM和新兴LLM多智能体这两个研究脉络，并全面梳理多智能体方法在营销分析中的应用图景。本文旨在填补这一空白。本文的主要贡献包括：（1）构建了从传统ABM到LLM多智能体的技术演进框架；（2）系统梳理了多智能体系统在营销分析各核心领域的应用现状；（3）对比分析了两代技术范式的优势与局限（见表2）；（4）提出了未来研究的方向和开放性问题。</w:t>
      </w:r>
    </w:p>
    <w:p>
      <w:pPr>
        <w:spacing w:line="360" w:lineRule="auto"/>
        <w:ind w:firstLine="480"/>
      </w:pPr>
      <w:r>
        <w:rPr>
          <w:rFonts w:ascii="宋体" w:hAnsi="宋体"/>
          <w:b w:val="0"/>
          <w:i w:val="0"/>
          <w:sz w:val="24"/>
        </w:rPr>
        <w:t>本文余下部分的结构安排如下：第2节介绍文献综述方法；第3节概述多智能体系统的理论基础与技术演进；第4节至第7节分别讨论多智能体在消费者行为仿真、市场竞争与扩散建模、营销任务自动化与协作、以及个性化营销与推荐中的应用；第8节讨论评估方法与基准；第9节分析关键挑战与伦理问题；第10节展望未来研究方向；第11节总结全文。</w:t>
      </w:r>
    </w:p>
    <w:p>
      <w:pPr>
        <w:pStyle w:val="Heading2"/>
      </w:pPr>
      <w:r>
        <w:rPr>
          <w:rFonts w:ascii="黑体" w:hAnsi="黑体"/>
          <w:b/>
          <w:i w:val="0"/>
          <w:color w:val="000000"/>
          <w:sz w:val="30"/>
        </w:rPr>
        <w:t>2 文献综述方法</w:t>
      </w:r>
    </w:p>
    <w:p>
      <w:pPr>
        <w:spacing w:line="360" w:lineRule="auto"/>
        <w:ind w:firstLine="480"/>
      </w:pPr>
      <w:r>
        <w:rPr>
          <w:rFonts w:ascii="宋体" w:hAnsi="宋体"/>
          <w:b w:val="0"/>
          <w:i w:val="0"/>
          <w:sz w:val="24"/>
        </w:rPr>
        <w:t>为确保本综述的系统性和全面性，本文采用了结构化的文献检索与筛选策略。</w:t>
      </w:r>
    </w:p>
    <w:p>
      <w:pPr>
        <w:spacing w:line="360" w:lineRule="auto"/>
        <w:ind w:firstLine="480"/>
      </w:pPr>
      <w:r>
        <w:rPr>
          <w:rFonts w:ascii="宋体" w:hAnsi="宋体"/>
          <w:b/>
          <w:i w:val="0"/>
          <w:sz w:val="24"/>
        </w:rPr>
        <w:t>检索策略</w:t>
      </w:r>
      <w:r>
        <w:rPr>
          <w:rFonts w:ascii="宋体" w:hAnsi="宋体"/>
          <w:b w:val="0"/>
          <w:i w:val="0"/>
          <w:sz w:val="24"/>
        </w:rPr>
        <w:t>：本文检索了Web of Science、Scopus、Google Scholar、ACM Digital Library和IEEE Xplore五个学术数据库。检索关键词包括两组组合：（1）传统ABM方向："agent-based model*" AND ("marketing" OR "consumer behavior" OR "market simulation" OR "diffusion")；（2）LLM多智能体方向："multi-agent" AND ("large language model" OR "LLM" OR "GPT") AND ("marketing" OR "advertising" OR "analytics")，以及"AI agent" AND "marketing"。检索时间范围为1996年至2025年，以涵盖从ABM早期应用到LLM多智能体最新进展的完整脉络。</w:t>
      </w:r>
    </w:p>
    <w:p>
      <w:pPr>
        <w:spacing w:line="360" w:lineRule="auto"/>
        <w:ind w:firstLine="480"/>
      </w:pPr>
      <w:r>
        <w:rPr>
          <w:rFonts w:ascii="宋体" w:hAnsi="宋体"/>
          <w:b/>
          <w:i w:val="0"/>
          <w:sz w:val="24"/>
        </w:rPr>
        <w:t>筛选标准</w:t>
      </w:r>
      <w:r>
        <w:rPr>
          <w:rFonts w:ascii="宋体" w:hAnsi="宋体"/>
          <w:b w:val="0"/>
          <w:i w:val="0"/>
          <w:sz w:val="24"/>
        </w:rPr>
        <w:t>：初始检索获得约400篇文献，经过以下标准筛选后保留了77篇核心文献：（1）发表在同行评审期刊或顶级学术会议上，或为具有重大影响力的预印本；（2）明确涉及多智能体方法在营销相关场景中的理论、方法或应用；（3）优先选择高被引文献和各子方向的代表性工作；（4）兼顾营销学、计算机科学和复杂系统科学三个学科视角。</w:t>
      </w:r>
    </w:p>
    <w:p>
      <w:pPr>
        <w:spacing w:line="360" w:lineRule="auto"/>
        <w:ind w:firstLine="480"/>
      </w:pPr>
      <w:r>
        <w:rPr>
          <w:rFonts w:ascii="宋体" w:hAnsi="宋体"/>
          <w:b/>
          <w:i w:val="0"/>
          <w:sz w:val="24"/>
        </w:rPr>
        <w:t>文献分布</w:t>
      </w:r>
      <w:r>
        <w:rPr>
          <w:rFonts w:ascii="宋体" w:hAnsi="宋体"/>
          <w:b w:val="0"/>
          <w:i w:val="0"/>
          <w:sz w:val="24"/>
        </w:rPr>
        <w:t>：从时间看，传统ABM文献主要集中在2001-2018年，而LLM多智能体文献几乎全部发表于2023年之后，体现了该领域的快速兴起。从主题看，消费者行为仿真和市场扩散是传统ABM的核心应用，而营销任务自动化和内容生成是LLM多智能体的主要关注点。</w:t>
      </w:r>
    </w:p>
    <w:p>
      <w:pPr>
        <w:pStyle w:val="Heading2"/>
      </w:pPr>
      <w:r>
        <w:rPr>
          <w:rFonts w:ascii="黑体" w:hAnsi="黑体"/>
          <w:b/>
          <w:i w:val="0"/>
          <w:color w:val="000000"/>
          <w:sz w:val="30"/>
        </w:rPr>
        <w:t>3 理论基础与技术演进</w:t>
      </w:r>
    </w:p>
    <w:p>
      <w:pPr>
        <w:pStyle w:val="Heading3"/>
      </w:pPr>
      <w:r>
        <w:rPr>
          <w:rFonts w:ascii="黑体" w:hAnsi="黑体"/>
          <w:b/>
          <w:i w:val="0"/>
          <w:color w:val="000000"/>
          <w:sz w:val="26"/>
        </w:rPr>
        <w:t>3.1 多智能体系统的理论基础</w:t>
      </w:r>
    </w:p>
    <w:p>
      <w:pPr>
        <w:spacing w:line="360" w:lineRule="auto"/>
        <w:ind w:firstLine="480"/>
      </w:pPr>
      <w:r>
        <w:rPr>
          <w:rFonts w:ascii="宋体" w:hAnsi="宋体"/>
          <w:b w:val="0"/>
          <w:i w:val="0"/>
          <w:sz w:val="24"/>
        </w:rPr>
        <w:t>多智能体系统的理论根基植根于分布式人工智能和复杂适应系统理论。一个多智能体系统由多个智能体及其所处的共享环境组成，每个智能体具有以下核心特征：（1）</w:t>
      </w:r>
      <w:r>
        <w:rPr>
          <w:rFonts w:ascii="宋体" w:hAnsi="宋体"/>
          <w:b/>
          <w:i w:val="0"/>
          <w:sz w:val="24"/>
        </w:rPr>
        <w:t>自主性</w:t>
      </w:r>
      <w:r>
        <w:rPr>
          <w:rFonts w:ascii="宋体" w:hAnsi="宋体"/>
          <w:b w:val="0"/>
          <w:i w:val="0"/>
          <w:sz w:val="24"/>
        </w:rPr>
        <w:t>——能够在没有外部直接控制的情况下独立决策；（2）</w:t>
      </w:r>
      <w:r>
        <w:rPr>
          <w:rFonts w:ascii="宋体" w:hAnsi="宋体"/>
          <w:b/>
          <w:i w:val="0"/>
          <w:sz w:val="24"/>
        </w:rPr>
        <w:t>社会性</w:t>
      </w:r>
      <w:r>
        <w:rPr>
          <w:rFonts w:ascii="宋体" w:hAnsi="宋体"/>
          <w:b w:val="0"/>
          <w:i w:val="0"/>
          <w:sz w:val="24"/>
        </w:rPr>
        <w:t>——能够通过通信协议与其他智能体交互；（3）</w:t>
      </w:r>
      <w:r>
        <w:rPr>
          <w:rFonts w:ascii="宋体" w:hAnsi="宋体"/>
          <w:b/>
          <w:i w:val="0"/>
          <w:sz w:val="24"/>
        </w:rPr>
        <w:t>反应性</w:t>
      </w:r>
      <w:r>
        <w:rPr>
          <w:rFonts w:ascii="宋体" w:hAnsi="宋体"/>
          <w:b w:val="0"/>
          <w:i w:val="0"/>
          <w:sz w:val="24"/>
        </w:rPr>
        <w:t>——能够感知环境变化并做出响应；（4）</w:t>
      </w:r>
      <w:r>
        <w:rPr>
          <w:rFonts w:ascii="宋体" w:hAnsi="宋体"/>
          <w:b/>
          <w:i w:val="0"/>
          <w:sz w:val="24"/>
        </w:rPr>
        <w:t>主动性</w:t>
      </w:r>
      <w:r>
        <w:rPr>
          <w:rFonts w:ascii="宋体" w:hAnsi="宋体"/>
          <w:b w:val="0"/>
          <w:i w:val="0"/>
          <w:sz w:val="24"/>
        </w:rPr>
        <w:t>——能够根据内部目标主动采取行动（Wooldridge, 2009）。</w:t>
      </w:r>
    </w:p>
    <w:p>
      <w:pPr>
        <w:spacing w:line="360" w:lineRule="auto"/>
        <w:ind w:firstLine="480"/>
      </w:pPr>
      <w:r>
        <w:rPr>
          <w:rFonts w:ascii="宋体" w:hAnsi="宋体"/>
          <w:b w:val="0"/>
          <w:i w:val="0"/>
          <w:sz w:val="24"/>
        </w:rPr>
        <w:t>在营销语境中，智能体可以代表消费者、企业、广告平台、意见领袖或监管机构等市场参与者。智能体之间的交互机制包括直接通信（如消费者间的口碑传播）、间接通信（如通过市场价格信号的间接协调）和环境影响（如广告对消费者注意力的竞争），这些交互共同驱动了市场层面宏观模式的涌现（Tesfatsion, 2006）。</w:t>
      </w:r>
    </w:p>
    <w:p>
      <w:pPr>
        <w:spacing w:line="360" w:lineRule="auto"/>
        <w:ind w:firstLine="480"/>
      </w:pPr>
      <w:r>
        <w:rPr>
          <w:rFonts w:ascii="宋体" w:hAnsi="宋体"/>
          <w:b w:val="0"/>
          <w:i w:val="0"/>
          <w:sz w:val="24"/>
        </w:rPr>
        <w:t>复杂适应系统（CAS）理论为理解市场动态提供了关键概念框架。Holland（1995）指出，CAS的核心特征包括涌现、自组织、适应和非线性反馈。营销环境完美契合这些特征：消费者趋势的涌现、品牌社区的自组织、企业对市场信号的适应以及口碑传播的非线性级联效应——特别是Watts和Strogatz（1998）所揭示的"小世界网络"特性，使得信息和影响力能够在消费者网络中以远超预期的速度传播。ABM作为研究CAS的主要计算工具，能够"自底向上"地从个体行为规则生成系统层面的涌现现象，这是传统"自顶向下"的计量经济学方法所难以实现的（Bonabeau, 2002）。</w:t>
      </w:r>
    </w:p>
    <w:p>
      <w:pPr>
        <w:pStyle w:val="Heading3"/>
      </w:pPr>
      <w:r>
        <w:rPr>
          <w:rFonts w:ascii="黑体" w:hAnsi="黑体"/>
          <w:b/>
          <w:i w:val="0"/>
          <w:color w:val="000000"/>
          <w:sz w:val="26"/>
        </w:rPr>
        <w:t>3.2 技术演进：从规则驱动到认知驱动</w:t>
      </w:r>
    </w:p>
    <w:p>
      <w:pPr>
        <w:spacing w:line="360" w:lineRule="auto"/>
        <w:ind w:firstLine="480"/>
      </w:pPr>
      <w:r>
        <w:rPr>
          <w:rFonts w:ascii="宋体" w:hAnsi="宋体"/>
          <w:b w:val="0"/>
          <w:i w:val="0"/>
          <w:sz w:val="24"/>
        </w:rPr>
        <w:t>多智能体系统在营销分析中的技术演进可以划分为三个阶段，如表1所示。</w:t>
      </w:r>
    </w:p>
    <w:p>
      <w:pPr>
        <w:spacing w:line="360" w:lineRule="auto"/>
        <w:ind w:firstLine="480"/>
      </w:pPr>
      <w:r>
        <w:rPr>
          <w:rFonts w:ascii="宋体" w:hAnsi="宋体"/>
          <w:b/>
          <w:i w:val="0"/>
          <w:sz w:val="24"/>
        </w:rPr>
        <w:t>表1：多智能体营销分析的技术演进</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E2F3" w:val="clear"/>
          </w:tcPr>
          <w:p>
            <w:pPr>
              <w:jc w:val="left"/>
            </w:pPr>
            <w:r>
              <w:rPr>
                <w:rFonts w:ascii="宋体" w:hAnsi="宋体"/>
                <w:b/>
              </w:rPr>
            </w:r>
            <w:r>
              <w:rPr>
                <w:rFonts w:ascii="宋体" w:hAnsi="宋体"/>
                <w:b/>
                <w:i w:val="0"/>
                <w:sz w:val="18"/>
              </w:rPr>
              <w:t>阶段</w:t>
            </w:r>
          </w:p>
        </w:tc>
        <w:tc>
          <w:tcPr>
            <w:tcW w:type="dxa" w:w="1439"/>
            <w:shd w:fill="D9E2F3" w:val="clear"/>
          </w:tcPr>
          <w:p>
            <w:pPr>
              <w:jc w:val="left"/>
            </w:pPr>
            <w:r>
              <w:rPr>
                <w:rFonts w:ascii="宋体" w:hAnsi="宋体"/>
                <w:b/>
              </w:rPr>
            </w:r>
            <w:r>
              <w:rPr>
                <w:rFonts w:ascii="宋体" w:hAnsi="宋体"/>
                <w:b/>
                <w:i w:val="0"/>
                <w:sz w:val="18"/>
              </w:rPr>
              <w:t>时期</w:t>
            </w:r>
          </w:p>
        </w:tc>
        <w:tc>
          <w:tcPr>
            <w:tcW w:type="dxa" w:w="1439"/>
            <w:shd w:fill="D9E2F3" w:val="clear"/>
          </w:tcPr>
          <w:p>
            <w:pPr>
              <w:jc w:val="left"/>
            </w:pPr>
            <w:r>
              <w:rPr>
                <w:rFonts w:ascii="宋体" w:hAnsi="宋体"/>
                <w:b/>
              </w:rPr>
            </w:r>
            <w:r>
              <w:rPr>
                <w:rFonts w:ascii="宋体" w:hAnsi="宋体"/>
                <w:b/>
                <w:i w:val="0"/>
                <w:sz w:val="18"/>
              </w:rPr>
              <w:t>智能体类型</w:t>
            </w:r>
          </w:p>
        </w:tc>
        <w:tc>
          <w:tcPr>
            <w:tcW w:type="dxa" w:w="1439"/>
            <w:shd w:fill="D9E2F3" w:val="clear"/>
          </w:tcPr>
          <w:p>
            <w:pPr>
              <w:jc w:val="left"/>
            </w:pPr>
            <w:r>
              <w:rPr>
                <w:rFonts w:ascii="宋体" w:hAnsi="宋体"/>
                <w:b/>
              </w:rPr>
            </w:r>
            <w:r>
              <w:rPr>
                <w:rFonts w:ascii="宋体" w:hAnsi="宋体"/>
                <w:b/>
                <w:i w:val="0"/>
                <w:sz w:val="18"/>
              </w:rPr>
              <w:t>决策机制</w:t>
            </w:r>
          </w:p>
        </w:tc>
        <w:tc>
          <w:tcPr>
            <w:tcW w:type="dxa" w:w="1439"/>
            <w:shd w:fill="D9E2F3" w:val="clear"/>
          </w:tcPr>
          <w:p>
            <w:pPr>
              <w:jc w:val="left"/>
            </w:pPr>
            <w:r>
              <w:rPr>
                <w:rFonts w:ascii="宋体" w:hAnsi="宋体"/>
                <w:b/>
              </w:rPr>
            </w:r>
            <w:r>
              <w:rPr>
                <w:rFonts w:ascii="宋体" w:hAnsi="宋体"/>
                <w:b/>
                <w:i w:val="0"/>
                <w:sz w:val="18"/>
              </w:rPr>
              <w:t>代表性应用</w:t>
            </w:r>
          </w:p>
        </w:tc>
        <w:tc>
          <w:tcPr>
            <w:tcW w:type="dxa" w:w="1439"/>
            <w:shd w:fill="D9E2F3" w:val="clear"/>
          </w:tcPr>
          <w:p>
            <w:pPr>
              <w:jc w:val="left"/>
            </w:pPr>
            <w:r>
              <w:rPr>
                <w:rFonts w:ascii="宋体" w:hAnsi="宋体"/>
                <w:b/>
              </w:rPr>
            </w:r>
            <w:r>
              <w:rPr>
                <w:rFonts w:ascii="宋体" w:hAnsi="宋体"/>
                <w:b/>
                <w:i w:val="0"/>
                <w:sz w:val="18"/>
              </w:rPr>
              <w:t>局限性</w:t>
            </w:r>
          </w:p>
        </w:tc>
      </w:tr>
      <w:tr>
        <w:tc>
          <w:tcPr>
            <w:tcW w:type="dxa" w:w="1439"/>
          </w:tcPr>
          <w:p>
            <w:pPr>
              <w:jc w:val="left"/>
            </w:pPr>
            <w:r>
              <w:rPr>
                <w:rFonts w:ascii="宋体" w:hAnsi="宋体"/>
              </w:rPr>
            </w:r>
            <w:r>
              <w:rPr>
                <w:rFonts w:ascii="宋体" w:hAnsi="宋体"/>
                <w:b w:val="0"/>
                <w:i w:val="0"/>
                <w:sz w:val="18"/>
              </w:rPr>
              <w:t>规则驱动ABM</w:t>
            </w:r>
          </w:p>
        </w:tc>
        <w:tc>
          <w:tcPr>
            <w:tcW w:type="dxa" w:w="1439"/>
          </w:tcPr>
          <w:p>
            <w:pPr>
              <w:jc w:val="left"/>
            </w:pPr>
            <w:r>
              <w:rPr>
                <w:rFonts w:ascii="宋体" w:hAnsi="宋体"/>
              </w:rPr>
            </w:r>
            <w:r>
              <w:rPr>
                <w:rFonts w:ascii="宋体" w:hAnsi="宋体"/>
                <w:b w:val="0"/>
                <w:i w:val="0"/>
                <w:sz w:val="18"/>
              </w:rPr>
              <w:t>1996-2010</w:t>
            </w:r>
          </w:p>
        </w:tc>
        <w:tc>
          <w:tcPr>
            <w:tcW w:type="dxa" w:w="1439"/>
          </w:tcPr>
          <w:p>
            <w:pPr>
              <w:jc w:val="left"/>
            </w:pPr>
            <w:r>
              <w:rPr>
                <w:rFonts w:ascii="宋体" w:hAnsi="宋体"/>
              </w:rPr>
            </w:r>
            <w:r>
              <w:rPr>
                <w:rFonts w:ascii="宋体" w:hAnsi="宋体"/>
                <w:b w:val="0"/>
                <w:i w:val="0"/>
                <w:sz w:val="18"/>
              </w:rPr>
              <w:t>简单反应式智能体</w:t>
            </w:r>
          </w:p>
        </w:tc>
        <w:tc>
          <w:tcPr>
            <w:tcW w:type="dxa" w:w="1439"/>
          </w:tcPr>
          <w:p>
            <w:pPr>
              <w:jc w:val="left"/>
            </w:pPr>
            <w:r>
              <w:rPr>
                <w:rFonts w:ascii="宋体" w:hAnsi="宋体"/>
              </w:rPr>
            </w:r>
            <w:r>
              <w:rPr>
                <w:rFonts w:ascii="宋体" w:hAnsi="宋体"/>
                <w:b w:val="0"/>
                <w:i w:val="0"/>
                <w:sz w:val="18"/>
              </w:rPr>
              <w:t>if-then规则、阈值模型</w:t>
            </w:r>
          </w:p>
        </w:tc>
        <w:tc>
          <w:tcPr>
            <w:tcW w:type="dxa" w:w="1439"/>
          </w:tcPr>
          <w:p>
            <w:pPr>
              <w:jc w:val="left"/>
            </w:pPr>
            <w:r>
              <w:rPr>
                <w:rFonts w:ascii="宋体" w:hAnsi="宋体"/>
              </w:rPr>
            </w:r>
            <w:r>
              <w:rPr>
                <w:rFonts w:ascii="宋体" w:hAnsi="宋体"/>
                <w:b w:val="0"/>
                <w:i w:val="0"/>
                <w:sz w:val="18"/>
              </w:rPr>
              <w:t>扩散仿真、市场进入</w:t>
            </w:r>
          </w:p>
        </w:tc>
        <w:tc>
          <w:tcPr>
            <w:tcW w:type="dxa" w:w="1439"/>
          </w:tcPr>
          <w:p>
            <w:pPr>
              <w:jc w:val="left"/>
            </w:pPr>
            <w:r>
              <w:rPr>
                <w:rFonts w:ascii="宋体" w:hAnsi="宋体"/>
              </w:rPr>
            </w:r>
            <w:r>
              <w:rPr>
                <w:rFonts w:ascii="宋体" w:hAnsi="宋体"/>
                <w:b w:val="0"/>
                <w:i w:val="0"/>
                <w:sz w:val="18"/>
              </w:rPr>
              <w:t>行为规则过度简化</w:t>
            </w:r>
          </w:p>
        </w:tc>
      </w:tr>
      <w:tr>
        <w:tc>
          <w:tcPr>
            <w:tcW w:type="dxa" w:w="1439"/>
          </w:tcPr>
          <w:p>
            <w:pPr>
              <w:jc w:val="left"/>
            </w:pPr>
            <w:r>
              <w:rPr>
                <w:rFonts w:ascii="宋体" w:hAnsi="宋体"/>
              </w:rPr>
            </w:r>
            <w:r>
              <w:rPr>
                <w:rFonts w:ascii="宋体" w:hAnsi="宋体"/>
                <w:b w:val="0"/>
                <w:i w:val="0"/>
                <w:sz w:val="18"/>
              </w:rPr>
              <w:t>学习型ABM</w:t>
            </w:r>
          </w:p>
        </w:tc>
        <w:tc>
          <w:tcPr>
            <w:tcW w:type="dxa" w:w="1439"/>
          </w:tcPr>
          <w:p>
            <w:pPr>
              <w:jc w:val="left"/>
            </w:pPr>
            <w:r>
              <w:rPr>
                <w:rFonts w:ascii="宋体" w:hAnsi="宋体"/>
              </w:rPr>
            </w:r>
            <w:r>
              <w:rPr>
                <w:rFonts w:ascii="宋体" w:hAnsi="宋体"/>
                <w:b w:val="0"/>
                <w:i w:val="0"/>
                <w:sz w:val="18"/>
              </w:rPr>
              <w:t>2010-2022</w:t>
            </w:r>
          </w:p>
        </w:tc>
        <w:tc>
          <w:tcPr>
            <w:tcW w:type="dxa" w:w="1439"/>
          </w:tcPr>
          <w:p>
            <w:pPr>
              <w:jc w:val="left"/>
            </w:pPr>
            <w:r>
              <w:rPr>
                <w:rFonts w:ascii="宋体" w:hAnsi="宋体"/>
              </w:rPr>
            </w:r>
            <w:r>
              <w:rPr>
                <w:rFonts w:ascii="宋体" w:hAnsi="宋体"/>
                <w:b w:val="0"/>
                <w:i w:val="0"/>
                <w:sz w:val="18"/>
              </w:rPr>
              <w:t>自适应智能体</w:t>
            </w:r>
          </w:p>
        </w:tc>
        <w:tc>
          <w:tcPr>
            <w:tcW w:type="dxa" w:w="1439"/>
          </w:tcPr>
          <w:p>
            <w:pPr>
              <w:jc w:val="left"/>
            </w:pPr>
            <w:r>
              <w:rPr>
                <w:rFonts w:ascii="宋体" w:hAnsi="宋体"/>
              </w:rPr>
            </w:r>
            <w:r>
              <w:rPr>
                <w:rFonts w:ascii="宋体" w:hAnsi="宋体"/>
                <w:b w:val="0"/>
                <w:i w:val="0"/>
                <w:sz w:val="18"/>
              </w:rPr>
              <w:t>强化学习、进化算法、贝叶斯更新</w:t>
            </w:r>
          </w:p>
        </w:tc>
        <w:tc>
          <w:tcPr>
            <w:tcW w:type="dxa" w:w="1439"/>
          </w:tcPr>
          <w:p>
            <w:pPr>
              <w:jc w:val="left"/>
            </w:pPr>
            <w:r>
              <w:rPr>
                <w:rFonts w:ascii="宋体" w:hAnsi="宋体"/>
              </w:rPr>
            </w:r>
            <w:r>
              <w:rPr>
                <w:rFonts w:ascii="宋体" w:hAnsi="宋体"/>
                <w:b w:val="0"/>
                <w:i w:val="0"/>
                <w:sz w:val="18"/>
              </w:rPr>
              <w:t>动态定价博弈、竞争策略</w:t>
            </w:r>
          </w:p>
        </w:tc>
        <w:tc>
          <w:tcPr>
            <w:tcW w:type="dxa" w:w="1439"/>
          </w:tcPr>
          <w:p>
            <w:pPr>
              <w:jc w:val="left"/>
            </w:pPr>
            <w:r>
              <w:rPr>
                <w:rFonts w:ascii="宋体" w:hAnsi="宋体"/>
              </w:rPr>
            </w:r>
            <w:r>
              <w:rPr>
                <w:rFonts w:ascii="宋体" w:hAnsi="宋体"/>
                <w:b w:val="0"/>
                <w:i w:val="0"/>
                <w:sz w:val="18"/>
              </w:rPr>
              <w:t>缺乏语言和推理能力</w:t>
            </w:r>
          </w:p>
        </w:tc>
      </w:tr>
      <w:tr>
        <w:tc>
          <w:tcPr>
            <w:tcW w:type="dxa" w:w="1439"/>
          </w:tcPr>
          <w:p>
            <w:pPr>
              <w:jc w:val="left"/>
            </w:pPr>
            <w:r>
              <w:rPr>
                <w:rFonts w:ascii="宋体" w:hAnsi="宋体"/>
              </w:rPr>
            </w:r>
            <w:r>
              <w:rPr>
                <w:rFonts w:ascii="宋体" w:hAnsi="宋体"/>
                <w:b w:val="0"/>
                <w:i w:val="0"/>
                <w:sz w:val="18"/>
              </w:rPr>
              <w:t>LLM多智能体</w:t>
            </w:r>
          </w:p>
        </w:tc>
        <w:tc>
          <w:tcPr>
            <w:tcW w:type="dxa" w:w="1439"/>
          </w:tcPr>
          <w:p>
            <w:pPr>
              <w:jc w:val="left"/>
            </w:pPr>
            <w:r>
              <w:rPr>
                <w:rFonts w:ascii="宋体" w:hAnsi="宋体"/>
              </w:rPr>
            </w:r>
            <w:r>
              <w:rPr>
                <w:rFonts w:ascii="宋体" w:hAnsi="宋体"/>
                <w:b w:val="0"/>
                <w:i w:val="0"/>
                <w:sz w:val="18"/>
              </w:rPr>
              <w:t>2023-至今</w:t>
            </w:r>
          </w:p>
        </w:tc>
        <w:tc>
          <w:tcPr>
            <w:tcW w:type="dxa" w:w="1439"/>
          </w:tcPr>
          <w:p>
            <w:pPr>
              <w:jc w:val="left"/>
            </w:pPr>
            <w:r>
              <w:rPr>
                <w:rFonts w:ascii="宋体" w:hAnsi="宋体"/>
              </w:rPr>
            </w:r>
            <w:r>
              <w:rPr>
                <w:rFonts w:ascii="宋体" w:hAnsi="宋体"/>
                <w:b w:val="0"/>
                <w:i w:val="0"/>
                <w:sz w:val="18"/>
              </w:rPr>
              <w:t>认知型智能体</w:t>
            </w:r>
          </w:p>
        </w:tc>
        <w:tc>
          <w:tcPr>
            <w:tcW w:type="dxa" w:w="1439"/>
          </w:tcPr>
          <w:p>
            <w:pPr>
              <w:jc w:val="left"/>
            </w:pPr>
            <w:r>
              <w:rPr>
                <w:rFonts w:ascii="宋体" w:hAnsi="宋体"/>
              </w:rPr>
            </w:r>
            <w:r>
              <w:rPr>
                <w:rFonts w:ascii="宋体" w:hAnsi="宋体"/>
                <w:b w:val="0"/>
                <w:i w:val="0"/>
                <w:sz w:val="18"/>
              </w:rPr>
              <w:t>LLM推理、工具调用、记忆检索</w:t>
            </w:r>
          </w:p>
        </w:tc>
        <w:tc>
          <w:tcPr>
            <w:tcW w:type="dxa" w:w="1439"/>
          </w:tcPr>
          <w:p>
            <w:pPr>
              <w:jc w:val="left"/>
            </w:pPr>
            <w:r>
              <w:rPr>
                <w:rFonts w:ascii="宋体" w:hAnsi="宋体"/>
              </w:rPr>
            </w:r>
            <w:r>
              <w:rPr>
                <w:rFonts w:ascii="宋体" w:hAnsi="宋体"/>
                <w:b w:val="0"/>
                <w:i w:val="0"/>
                <w:sz w:val="18"/>
              </w:rPr>
              <w:t>营销任务自动化、消费者模拟</w:t>
            </w:r>
          </w:p>
        </w:tc>
        <w:tc>
          <w:tcPr>
            <w:tcW w:type="dxa" w:w="1439"/>
          </w:tcPr>
          <w:p>
            <w:pPr>
              <w:jc w:val="left"/>
            </w:pPr>
            <w:r>
              <w:rPr>
                <w:rFonts w:ascii="宋体" w:hAnsi="宋体"/>
              </w:rPr>
            </w:r>
            <w:r>
              <w:rPr>
                <w:rFonts w:ascii="宋体" w:hAnsi="宋体"/>
                <w:b w:val="0"/>
                <w:i w:val="0"/>
                <w:sz w:val="18"/>
              </w:rPr>
              <w:t>成本高、幻觉问题、可控性</w:t>
            </w:r>
          </w:p>
        </w:tc>
      </w:tr>
    </w:tbl>
    <w:p/>
    <w:p>
      <w:pPr>
        <w:spacing w:line="360" w:lineRule="auto"/>
        <w:ind w:firstLine="480"/>
      </w:pPr>
      <w:r>
        <w:rPr>
          <w:rFonts w:ascii="宋体" w:hAnsi="宋体"/>
          <w:b/>
          <w:i w:val="0"/>
          <w:sz w:val="24"/>
        </w:rPr>
        <w:t>第一阶段：规则驱动ABM（1996-2010）</w:t>
      </w:r>
      <w:r>
        <w:rPr>
          <w:rFonts w:ascii="宋体" w:hAnsi="宋体"/>
          <w:b w:val="0"/>
          <w:i w:val="0"/>
          <w:sz w:val="24"/>
        </w:rPr>
        <w:t>。早期ABM中的智能体基于预定义的决策规则运行。例如，在经典的创新扩散模型中，消费者智能体根据社交网络中已采纳邻居的比例是否超过阈值来决定是否采纳新产品（Goldenberg et al., 2001）。Gilbert（2008）的著作系统论述了这一时期ABM的方法论基础。这一阶段的ABM为理解市场涌现现象提供了直观的计算工具，但智能体的行为规则过于简单，难以反映真实消费者的认知复杂性。</w:t>
      </w:r>
    </w:p>
    <w:p>
      <w:pPr>
        <w:spacing w:line="360" w:lineRule="auto"/>
        <w:ind w:firstLine="480"/>
      </w:pPr>
      <w:r>
        <w:rPr>
          <w:rFonts w:ascii="宋体" w:hAnsi="宋体"/>
          <w:b/>
          <w:i w:val="0"/>
          <w:sz w:val="24"/>
        </w:rPr>
        <w:t>第二阶段：学习型ABM（2010-2022）</w:t>
      </w:r>
      <w:r>
        <w:rPr>
          <w:rFonts w:ascii="宋体" w:hAnsi="宋体"/>
          <w:b w:val="0"/>
          <w:i w:val="0"/>
          <w:sz w:val="24"/>
        </w:rPr>
        <w:t>。研究者将强化学习、进化计算和贝叶斯推断等机器学习方法引入ABM智能体，使其能够从经验中学习和适应。例如，多智能体强化学习（MARL）被应用于动态定价竞争和广告竞价策略的研究（Tesauro &amp; Kephart, 2002；Jin et al., 2018）。Dawid和Delli Gatti（2018）在基于智能体的宏观经济建模综述中指出，学习型智能体在模拟市场均衡的动态形成过程方面展现了独特价值。这一阶段的智能体具有了一定的学习和适应能力，但仍缺乏对自然语言、常识推理和创造性任务的处理能力。</w:t>
      </w:r>
    </w:p>
    <w:p>
      <w:pPr>
        <w:spacing w:line="360" w:lineRule="auto"/>
        <w:ind w:firstLine="480"/>
      </w:pPr>
      <w:r>
        <w:rPr>
          <w:rFonts w:ascii="宋体" w:hAnsi="宋体"/>
          <w:b/>
          <w:i w:val="0"/>
          <w:sz w:val="24"/>
        </w:rPr>
        <w:t>第三阶段：LLM多智能体（2023-至今）</w:t>
      </w:r>
      <w:r>
        <w:rPr>
          <w:rFonts w:ascii="宋体" w:hAnsi="宋体"/>
          <w:b w:val="0"/>
          <w:i w:val="0"/>
          <w:sz w:val="24"/>
        </w:rPr>
        <w:t>。大语言模型的出现使得智能体具备了类人的语言理解、推理和生成能力。LLM智能体不仅能够处理结构化数据，还能理解和生成自然语言指令，使用外部工具（如搜索引擎、数据分析API），并通过对话与其他智能体协调复杂任务（Xi et al., 2023）。这标志着多智能体系统从"模拟世界"（ABM）向"在世界中行动"（AI Agent）的范式转变。Chen等人（2023）在《PNAS》上发表的研究进一步证明了GPT模型能够展现出经济理性行为，为LLM智能体在市场仿真中的应用提供了重要的理论支撑。</w:t>
      </w:r>
    </w:p>
    <w:p>
      <w:pPr>
        <w:pStyle w:val="Heading3"/>
      </w:pPr>
      <w:r>
        <w:rPr>
          <w:rFonts w:ascii="黑体" w:hAnsi="黑体"/>
          <w:b/>
          <w:i w:val="0"/>
          <w:color w:val="000000"/>
          <w:sz w:val="26"/>
        </w:rPr>
        <w:t>3.3 LLM多智能体系统的架构</w:t>
      </w:r>
    </w:p>
    <w:p>
      <w:pPr>
        <w:spacing w:line="360" w:lineRule="auto"/>
        <w:ind w:firstLine="480"/>
      </w:pPr>
      <w:r>
        <w:rPr>
          <w:rFonts w:ascii="宋体" w:hAnsi="宋体"/>
          <w:b w:val="0"/>
          <w:i w:val="0"/>
          <w:sz w:val="24"/>
        </w:rPr>
        <w:t>当前主流的LLM多智能体系统通常包含以下核心组件（Wang et al., 2024）：</w:t>
      </w:r>
    </w:p>
    <w:p>
      <w:pPr>
        <w:spacing w:line="360" w:lineRule="auto"/>
        <w:ind w:firstLine="480"/>
      </w:pPr>
      <w:r>
        <w:rPr>
          <w:rFonts w:ascii="宋体" w:hAnsi="宋体"/>
          <w:b/>
          <w:i w:val="0"/>
          <w:sz w:val="24"/>
        </w:rPr>
        <w:t>智能体架构</w:t>
      </w:r>
      <w:r>
        <w:rPr>
          <w:rFonts w:ascii="宋体" w:hAnsi="宋体"/>
          <w:b w:val="0"/>
          <w:i w:val="0"/>
          <w:sz w:val="24"/>
        </w:rPr>
        <w:t>：每个LLM智能体通常由四个模块组成：（1）</w:t>
      </w:r>
      <w:r>
        <w:rPr>
          <w:rFonts w:ascii="宋体" w:hAnsi="宋体"/>
          <w:b/>
          <w:i w:val="0"/>
          <w:sz w:val="24"/>
        </w:rPr>
        <w:t>核心LLM</w:t>
      </w:r>
      <w:r>
        <w:rPr>
          <w:rFonts w:ascii="宋体" w:hAnsi="宋体"/>
          <w:b w:val="0"/>
          <w:i w:val="0"/>
          <w:sz w:val="24"/>
        </w:rPr>
        <w:t>——提供推理和语言能力（如GPT-4、Claude、LLaMA等，见Touvron et al., 2023）；（2）</w:t>
      </w:r>
      <w:r>
        <w:rPr>
          <w:rFonts w:ascii="宋体" w:hAnsi="宋体"/>
          <w:b/>
          <w:i w:val="0"/>
          <w:sz w:val="24"/>
        </w:rPr>
        <w:t>角色定义</w:t>
      </w:r>
      <w:r>
        <w:rPr>
          <w:rFonts w:ascii="宋体" w:hAnsi="宋体"/>
          <w:b w:val="0"/>
          <w:i w:val="0"/>
          <w:sz w:val="24"/>
        </w:rPr>
        <w:t>（System Prompt）——界定智能体的专业身份、知识范围和行为约束；（3）</w:t>
      </w:r>
      <w:r>
        <w:rPr>
          <w:rFonts w:ascii="宋体" w:hAnsi="宋体"/>
          <w:b/>
          <w:i w:val="0"/>
          <w:sz w:val="24"/>
        </w:rPr>
        <w:t>记忆系统</w:t>
      </w:r>
      <w:r>
        <w:rPr>
          <w:rFonts w:ascii="宋体" w:hAnsi="宋体"/>
          <w:b w:val="0"/>
          <w:i w:val="0"/>
          <w:sz w:val="24"/>
        </w:rPr>
        <w:t>——包括短期工作记忆（对话上下文）和长期记忆（向量数据库存储的经验和知识）；（4）</w:t>
      </w:r>
      <w:r>
        <w:rPr>
          <w:rFonts w:ascii="宋体" w:hAnsi="宋体"/>
          <w:b/>
          <w:i w:val="0"/>
          <w:sz w:val="24"/>
        </w:rPr>
        <w:t>工具接口</w:t>
      </w:r>
      <w:r>
        <w:rPr>
          <w:rFonts w:ascii="宋体" w:hAnsi="宋体"/>
          <w:b w:val="0"/>
          <w:i w:val="0"/>
          <w:sz w:val="24"/>
        </w:rPr>
        <w:t>——允许智能体调用外部工具完成特定任务（如数据查询、代码执行、网页浏览）。ReAct框架（Yao et al., 2023）为智能体的推理-行动循环提供了有效的提示范式，使LLM能够交替进行思考和工具调用。</w:t>
      </w:r>
    </w:p>
    <w:p>
      <w:pPr>
        <w:spacing w:line="360" w:lineRule="auto"/>
        <w:ind w:firstLine="480"/>
      </w:pPr>
      <w:r>
        <w:rPr>
          <w:rFonts w:ascii="宋体" w:hAnsi="宋体"/>
          <w:b/>
          <w:i w:val="0"/>
          <w:sz w:val="24"/>
        </w:rPr>
        <w:t>协作机制</w:t>
      </w:r>
      <w:r>
        <w:rPr>
          <w:rFonts w:ascii="宋体" w:hAnsi="宋体"/>
          <w:b w:val="0"/>
          <w:i w:val="0"/>
          <w:sz w:val="24"/>
        </w:rPr>
        <w:t>：多个智能体之间的协作模式包括（Guo et al., 2024）：（1）</w:t>
      </w:r>
      <w:r>
        <w:rPr>
          <w:rFonts w:ascii="宋体" w:hAnsi="宋体"/>
          <w:b/>
          <w:i w:val="0"/>
          <w:sz w:val="24"/>
        </w:rPr>
        <w:t>顺序流水线</w:t>
      </w:r>
      <w:r>
        <w:rPr>
          <w:rFonts w:ascii="宋体" w:hAnsi="宋体"/>
          <w:b w:val="0"/>
          <w:i w:val="0"/>
          <w:sz w:val="24"/>
        </w:rPr>
        <w:t>——智能体按预定义顺序依次处理任务；（2）</w:t>
      </w:r>
      <w:r>
        <w:rPr>
          <w:rFonts w:ascii="宋体" w:hAnsi="宋体"/>
          <w:b/>
          <w:i w:val="0"/>
          <w:sz w:val="24"/>
        </w:rPr>
        <w:t>辩论与讨论</w:t>
      </w:r>
      <w:r>
        <w:rPr>
          <w:rFonts w:ascii="宋体" w:hAnsi="宋体"/>
          <w:b w:val="0"/>
          <w:i w:val="0"/>
          <w:sz w:val="24"/>
        </w:rPr>
        <w:t>——多个智能体就同一问题提出不同观点，通过对话达成共识；（3）</w:t>
      </w:r>
      <w:r>
        <w:rPr>
          <w:rFonts w:ascii="宋体" w:hAnsi="宋体"/>
          <w:b/>
          <w:i w:val="0"/>
          <w:sz w:val="24"/>
        </w:rPr>
        <w:t>层级管理</w:t>
      </w:r>
      <w:r>
        <w:rPr>
          <w:rFonts w:ascii="宋体" w:hAnsi="宋体"/>
          <w:b w:val="0"/>
          <w:i w:val="0"/>
          <w:sz w:val="24"/>
        </w:rPr>
        <w:t>——管理者智能体负责任务分解和分配，工作者智能体负责执行具体子任务；（4）</w:t>
      </w:r>
      <w:r>
        <w:rPr>
          <w:rFonts w:ascii="宋体" w:hAnsi="宋体"/>
          <w:b/>
          <w:i w:val="0"/>
          <w:sz w:val="24"/>
        </w:rPr>
        <w:t>动态编排</w:t>
      </w:r>
      <w:r>
        <w:rPr>
          <w:rFonts w:ascii="宋体" w:hAnsi="宋体"/>
          <w:b w:val="0"/>
          <w:i w:val="0"/>
          <w:sz w:val="24"/>
        </w:rPr>
        <w:t>——基于任务状态自适应地调整智能体分工和协作流程。</w:t>
      </w:r>
    </w:p>
    <w:p>
      <w:pPr>
        <w:spacing w:line="360" w:lineRule="auto"/>
        <w:ind w:firstLine="480"/>
      </w:pPr>
      <w:r>
        <w:rPr>
          <w:rFonts w:ascii="宋体" w:hAnsi="宋体"/>
          <w:b/>
          <w:i w:val="0"/>
          <w:sz w:val="24"/>
        </w:rPr>
        <w:t>代表性框架</w:t>
      </w:r>
      <w:r>
        <w:rPr>
          <w:rFonts w:ascii="宋体" w:hAnsi="宋体"/>
          <w:b w:val="0"/>
          <w:i w:val="0"/>
          <w:sz w:val="24"/>
        </w:rPr>
        <w:t>：AutoGen（Wu et al., 2023）提供了灵活的多智能体对话编排能力；CrewAI（Moura, 2024）强调基于角色的团队协作；MetaGPT（Hong et al., 2024）借鉴软件工程中的标准化流程来组织多智能体协作。Lu等人（2024）提出的Chameleon框架则展示了如何通过即插即用的模块组合来构建具有组合推理能力的多智能体系统。</w:t>
      </w:r>
    </w:p>
    <w:p>
      <w:pPr>
        <w:pStyle w:val="Heading3"/>
      </w:pPr>
      <w:r>
        <w:rPr>
          <w:rFonts w:ascii="黑体" w:hAnsi="黑体"/>
          <w:b/>
          <w:i w:val="0"/>
          <w:color w:val="000000"/>
          <w:sz w:val="26"/>
        </w:rPr>
        <w:t>3.4 ABM仿真工具与平台</w:t>
      </w:r>
    </w:p>
    <w:p>
      <w:pPr>
        <w:spacing w:line="360" w:lineRule="auto"/>
        <w:ind w:firstLine="480"/>
      </w:pPr>
      <w:r>
        <w:rPr>
          <w:rFonts w:ascii="宋体" w:hAnsi="宋体"/>
          <w:b w:val="0"/>
          <w:i w:val="0"/>
          <w:sz w:val="24"/>
        </w:rPr>
        <w:t>ABM的发展离不开专用仿真工具的支撑。Abar等人（2017）对当前主流ABM仿真软件进行了全面综述，主要工具包括：</w:t>
      </w:r>
    </w:p>
    <w:p>
      <w:pPr>
        <w:pStyle w:val="ListBullet"/>
        <w:spacing w:line="360" w:lineRule="auto"/>
      </w:pPr>
      <w:r>
        <w:rPr>
          <w:rFonts w:ascii="宋体" w:hAnsi="宋体"/>
          <w:b/>
          <w:i w:val="0"/>
          <w:sz w:val="24"/>
        </w:rPr>
        <w:t>NetLogo</w:t>
      </w:r>
      <w:r>
        <w:rPr>
          <w:rFonts w:ascii="宋体" w:hAnsi="宋体"/>
          <w:b w:val="0"/>
          <w:i w:val="0"/>
          <w:sz w:val="24"/>
        </w:rPr>
        <w:t>：最流行的ABM教学和研究工具，提供直观的可视化和丰富的模型库（Wilensky &amp; Rand, 2015）。其内置的社交网络生成器和GIS扩展使其特别适合营销扩散研究。</w:t>
      </w:r>
    </w:p>
    <w:p>
      <w:pPr>
        <w:pStyle w:val="ListBullet"/>
        <w:spacing w:line="360" w:lineRule="auto"/>
      </w:pPr>
      <w:r>
        <w:rPr>
          <w:rFonts w:ascii="宋体" w:hAnsi="宋体"/>
          <w:b/>
          <w:i w:val="0"/>
          <w:sz w:val="24"/>
        </w:rPr>
        <w:t>Repast</w:t>
      </w:r>
      <w:r>
        <w:rPr>
          <w:rFonts w:ascii="宋体" w:hAnsi="宋体"/>
          <w:b w:val="0"/>
          <w:i w:val="0"/>
          <w:sz w:val="24"/>
        </w:rPr>
        <w:t>：面向大规模仿真的Java平台，支持分布式并行计算，适合百万级智能体的市场仿真。</w:t>
      </w:r>
    </w:p>
    <w:p>
      <w:pPr>
        <w:pStyle w:val="ListBullet"/>
        <w:spacing w:line="360" w:lineRule="auto"/>
      </w:pPr>
      <w:r>
        <w:rPr>
          <w:rFonts w:ascii="宋体" w:hAnsi="宋体"/>
          <w:b/>
          <w:i w:val="0"/>
          <w:sz w:val="24"/>
        </w:rPr>
        <w:t>Mesa</w:t>
      </w:r>
      <w:r>
        <w:rPr>
          <w:rFonts w:ascii="宋体" w:hAnsi="宋体"/>
          <w:b w:val="0"/>
          <w:i w:val="0"/>
          <w:sz w:val="24"/>
        </w:rPr>
        <w:t>：基于Python的ABM框架，便于与机器学习和数据分析生态系统集成，近年来在营销研究者中的采用率快速增长。</w:t>
      </w:r>
    </w:p>
    <w:p>
      <w:pPr>
        <w:pStyle w:val="ListBullet"/>
        <w:spacing w:line="360" w:lineRule="auto"/>
      </w:pPr>
      <w:r>
        <w:rPr>
          <w:rFonts w:ascii="宋体" w:hAnsi="宋体"/>
          <w:b/>
          <w:i w:val="0"/>
          <w:sz w:val="24"/>
        </w:rPr>
        <w:t>AnyLogic</w:t>
      </w:r>
      <w:r>
        <w:rPr>
          <w:rFonts w:ascii="宋体" w:hAnsi="宋体"/>
          <w:b w:val="0"/>
          <w:i w:val="0"/>
          <w:sz w:val="24"/>
        </w:rPr>
        <w:t>：商业级多方法仿真平台，支持ABM、系统动力学和离散事件仿真的混合建模，在工业界的营销仿真中应用广泛。</w:t>
      </w:r>
    </w:p>
    <w:p>
      <w:pPr>
        <w:spacing w:line="360" w:lineRule="auto"/>
        <w:ind w:firstLine="480"/>
      </w:pPr>
      <w:r>
        <w:rPr>
          <w:rFonts w:ascii="宋体" w:hAnsi="宋体"/>
          <w:b w:val="0"/>
          <w:i w:val="0"/>
          <w:sz w:val="24"/>
        </w:rPr>
        <w:t>Macal和North（2010）在其ABM教程中指出，工具选择应根据研究问题的规模、智能体复杂度和与其他分析方法的集成需求来综合考虑。对于LLM多智能体系统，当前主要依赖AutoGen、CrewAI等框架，这些工具与传统ABM平台的融合是一个待发展的方向。</w:t>
      </w:r>
    </w:p>
    <w:p>
      <w:pPr>
        <w:spacing w:line="360" w:lineRule="auto"/>
        <w:ind w:firstLine="480"/>
      </w:pPr>
      <w:r>
        <w:rPr>
          <w:rFonts w:ascii="宋体" w:hAnsi="宋体"/>
          <w:b w:val="0"/>
          <w:i w:val="0"/>
          <w:sz w:val="24"/>
        </w:rPr>
        <w:t>从技术基础的概述出发，下文将逐一探讨多智能体方法在营销分析各核心领域的具体应用，从最具传统的消费者行为仿真开始。</w:t>
      </w:r>
    </w:p>
    <w:p>
      <w:pPr>
        <w:pStyle w:val="Heading2"/>
      </w:pPr>
      <w:r>
        <w:rPr>
          <w:rFonts w:ascii="黑体" w:hAnsi="黑体"/>
          <w:b/>
          <w:i w:val="0"/>
          <w:color w:val="000000"/>
          <w:sz w:val="30"/>
        </w:rPr>
        <w:t>4 消费者行为仿真</w:t>
      </w:r>
    </w:p>
    <w:p>
      <w:pPr>
        <w:spacing w:line="360" w:lineRule="auto"/>
        <w:ind w:firstLine="480"/>
      </w:pPr>
      <w:r>
        <w:rPr>
          <w:rFonts w:ascii="宋体" w:hAnsi="宋体"/>
          <w:b w:val="0"/>
          <w:i w:val="0"/>
          <w:sz w:val="24"/>
        </w:rPr>
        <w:t>消费者行为仿真是多智能体方法在营销分析中最具传统的应用领域。从ABM的规则驱动仿真到LLM的认知仿真，多智能体方法为理解消费者决策提供了日益丰富的建模工具。</w:t>
      </w:r>
    </w:p>
    <w:p>
      <w:pPr>
        <w:pStyle w:val="Heading3"/>
      </w:pPr>
      <w:r>
        <w:rPr>
          <w:rFonts w:ascii="黑体" w:hAnsi="黑体"/>
          <w:b/>
          <w:i w:val="0"/>
          <w:color w:val="000000"/>
          <w:sz w:val="26"/>
        </w:rPr>
        <w:t>4.1 基于ABM的消费者决策建模</w:t>
      </w:r>
    </w:p>
    <w:p>
      <w:pPr>
        <w:spacing w:line="360" w:lineRule="auto"/>
        <w:ind w:firstLine="480"/>
      </w:pPr>
      <w:r>
        <w:rPr>
          <w:rFonts w:ascii="宋体" w:hAnsi="宋体"/>
          <w:b w:val="0"/>
          <w:i w:val="0"/>
          <w:sz w:val="24"/>
        </w:rPr>
        <w:t>ABM在消费者行为研究中的核心价值在于能够建模个体异质性和社交交互对宏观市场结果的影响。An（2012）在对ABM人类决策建模的综述中指出，ABM的独特优势在于能够整合认知理论、社会网络和空间环境等多维因素来模拟决策过程。</w:t>
      </w:r>
    </w:p>
    <w:p>
      <w:pPr>
        <w:spacing w:line="360" w:lineRule="auto"/>
        <w:ind w:firstLine="480"/>
      </w:pPr>
      <w:r>
        <w:rPr>
          <w:rFonts w:ascii="宋体" w:hAnsi="宋体"/>
          <w:b w:val="0"/>
          <w:i w:val="0"/>
          <w:sz w:val="24"/>
        </w:rPr>
        <w:t>在</w:t>
      </w:r>
      <w:r>
        <w:rPr>
          <w:rFonts w:ascii="宋体" w:hAnsi="宋体"/>
          <w:b/>
          <w:i w:val="0"/>
          <w:sz w:val="24"/>
        </w:rPr>
        <w:t>品牌选择</w:t>
      </w:r>
      <w:r>
        <w:rPr>
          <w:rFonts w:ascii="宋体" w:hAnsi="宋体"/>
          <w:b w:val="0"/>
          <w:i w:val="0"/>
          <w:sz w:val="24"/>
        </w:rPr>
        <w:t>研究中，ABM被用于模拟消费者在多品牌竞争环境中的动态选择过程。Zhang和Chang（2012）构建了一个包含消费者社交网络和品牌忠诚度演化的ABM，揭示了口碑效应和品牌转换行为之间的非线性关系。与传统离散选择模型相比，ABM能够捕捉消费者偏好随社交影响动态变化的过程，而非假设偏好静态不变。</w:t>
      </w:r>
    </w:p>
    <w:p>
      <w:pPr>
        <w:spacing w:line="360" w:lineRule="auto"/>
        <w:ind w:firstLine="480"/>
      </w:pPr>
      <w:r>
        <w:rPr>
          <w:rFonts w:ascii="宋体" w:hAnsi="宋体"/>
          <w:b w:val="0"/>
          <w:i w:val="0"/>
          <w:sz w:val="24"/>
        </w:rPr>
        <w:t>在</w:t>
      </w:r>
      <w:r>
        <w:rPr>
          <w:rFonts w:ascii="宋体" w:hAnsi="宋体"/>
          <w:b/>
          <w:i w:val="0"/>
          <w:sz w:val="24"/>
        </w:rPr>
        <w:t>购买决策路径</w:t>
      </w:r>
      <w:r>
        <w:rPr>
          <w:rFonts w:ascii="宋体" w:hAnsi="宋体"/>
          <w:b w:val="0"/>
          <w:i w:val="0"/>
          <w:sz w:val="24"/>
        </w:rPr>
        <w:t>研究中，ABM被用于模拟消费者从需求识别、信息搜索到最终购买的完整决策过程。Delre等人（2007）的研究通过ABM展示了社交网络结构如何影响消费者的信息获取和决策速度，发现小世界网络结构比随机网络更有利于新产品信息的快速传播——这一发现呼应了Watts和Strogatz（1998）关于小世界网络特性的理论。</w:t>
      </w:r>
    </w:p>
    <w:p>
      <w:pPr>
        <w:spacing w:line="360" w:lineRule="auto"/>
        <w:ind w:firstLine="480"/>
      </w:pPr>
      <w:r>
        <w:rPr>
          <w:rFonts w:ascii="宋体" w:hAnsi="宋体"/>
          <w:b/>
          <w:i w:val="0"/>
          <w:sz w:val="24"/>
        </w:rPr>
        <w:t>异质性建模</w:t>
      </w:r>
      <w:r>
        <w:rPr>
          <w:rFonts w:ascii="宋体" w:hAnsi="宋体"/>
          <w:b w:val="0"/>
          <w:i w:val="0"/>
          <w:sz w:val="24"/>
        </w:rPr>
        <w:t>是ABM的关键优势。每个消费者智能体可以被赋予不同的人口统计特征、偏好参数、社交网络位置和决策策略，从而产生比代表性消费者模型更为丰富的行为多样性。Hamill和Gilbert（2009）系统论述了如何在ABM中构建具有社会人口学异质性的智能体群体，为营销研究中的消费者仿真提供了方法论基础。</w:t>
      </w:r>
    </w:p>
    <w:p>
      <w:pPr>
        <w:pStyle w:val="Heading3"/>
      </w:pPr>
      <w:r>
        <w:rPr>
          <w:rFonts w:ascii="黑体" w:hAnsi="黑体"/>
          <w:b/>
          <w:i w:val="0"/>
          <w:color w:val="000000"/>
          <w:sz w:val="26"/>
        </w:rPr>
        <w:t>4.2 基于LLM的消费者模拟</w:t>
      </w:r>
    </w:p>
    <w:p>
      <w:pPr>
        <w:spacing w:line="360" w:lineRule="auto"/>
        <w:ind w:firstLine="480"/>
      </w:pPr>
      <w:r>
        <w:rPr>
          <w:rFonts w:ascii="宋体" w:hAnsi="宋体"/>
          <w:b w:val="0"/>
          <w:i w:val="0"/>
          <w:sz w:val="24"/>
        </w:rPr>
        <w:t>LLM的出现为消费者行为仿真带来了范式级的突破。传统ABM需要研究者预先指定消费者的决策规则，而LLM智能体能够基于对人类行为的大规模学习，自主生成更加自然和复杂的消费者行为。</w:t>
      </w:r>
    </w:p>
    <w:p>
      <w:pPr>
        <w:spacing w:line="360" w:lineRule="auto"/>
        <w:ind w:firstLine="480"/>
      </w:pPr>
      <w:r>
        <w:rPr>
          <w:rFonts w:ascii="宋体" w:hAnsi="宋体"/>
          <w:b w:val="0"/>
          <w:i w:val="0"/>
          <w:sz w:val="24"/>
        </w:rPr>
        <w:t>Park等人（2023）在《UIST 2023》上发表的"生成式智能体"（Generative Agents）研究是这一方向的里程碑。研究者创建了25个由LLM驱动的智能体，每个智能体拥有独特的身份、记忆和社交关系，在一个虚拟小镇中自主生活和交互。结果表明，这些智能体展现出了可信的社会行为，包括信息传播、关系形成和集体行为——这些恰恰是营销研究者最关心的社会动态过程。</w:t>
      </w:r>
    </w:p>
    <w:p>
      <w:pPr>
        <w:spacing w:line="360" w:lineRule="auto"/>
        <w:ind w:firstLine="480"/>
      </w:pPr>
      <w:r>
        <w:rPr>
          <w:rFonts w:ascii="宋体" w:hAnsi="宋体"/>
          <w:b w:val="0"/>
          <w:i w:val="0"/>
          <w:sz w:val="24"/>
        </w:rPr>
        <w:t>在营销特定场景中，LLM消费者模拟已经开始展现应用价值。Brand等人（2023）研究了LLM是否能够复现经典的消费者行为学实验结果，发现GPT-4在多个决策偏差（如框架效应、锚定效应）的复现上与人类被试表现出高度一致性，但在某些风险决策场景中存在系统性偏差。Argyle等人（2023）提出了"算法忠实度"（Algorithmic Fidelity）的概念，探讨了LLM在多大程度上能够忠实地模拟不同人口统计群体的态度和行为，这对于LLM消费者模拟的可靠性具有根本性意义。</w:t>
      </w:r>
    </w:p>
    <w:p>
      <w:pPr>
        <w:spacing w:line="360" w:lineRule="auto"/>
        <w:ind w:firstLine="480"/>
      </w:pPr>
      <w:r>
        <w:rPr>
          <w:rFonts w:ascii="宋体" w:hAnsi="宋体"/>
          <w:b w:val="0"/>
          <w:i w:val="0"/>
          <w:sz w:val="24"/>
        </w:rPr>
        <w:t>Horton（2023）将LLM视为"硅基被试"（Homo Silicus），系统探讨了使用LLM来替代或补充人类被试进行经济学和营销实验的可能性与局限性。研究发现，LLM在特定条件下能够产生与人类相似的实验结果，为市场调研中的快速原型测试和假设验证提供了新的方法论工具。Xing等人（2024）进一步将LLM消费者模拟应用于数字广告场景，通过模拟消费者对不同广告创意和投放策略的反应，为广告优化提供了低成本的预评估手段。</w:t>
      </w:r>
    </w:p>
    <w:p>
      <w:pPr>
        <w:pStyle w:val="Heading3"/>
      </w:pPr>
      <w:r>
        <w:rPr>
          <w:rFonts w:ascii="黑体" w:hAnsi="黑体"/>
          <w:b/>
          <w:i w:val="0"/>
          <w:color w:val="000000"/>
          <w:sz w:val="26"/>
        </w:rPr>
        <w:t>4.3 多智能体消费者社会模拟</w:t>
      </w:r>
    </w:p>
    <w:p>
      <w:pPr>
        <w:spacing w:line="360" w:lineRule="auto"/>
        <w:ind w:firstLine="480"/>
      </w:pPr>
      <w:r>
        <w:rPr>
          <w:rFonts w:ascii="宋体" w:hAnsi="宋体"/>
          <w:b w:val="0"/>
          <w:i w:val="0"/>
          <w:sz w:val="24"/>
        </w:rPr>
        <w:t>将消费者行为仿真扩展到多智能体社会模拟层面，能够研究消费者群体间的涌现现象。</w:t>
      </w:r>
    </w:p>
    <w:p>
      <w:pPr>
        <w:spacing w:line="360" w:lineRule="auto"/>
        <w:ind w:firstLine="480"/>
      </w:pPr>
      <w:r>
        <w:rPr>
          <w:rFonts w:ascii="宋体" w:hAnsi="宋体"/>
          <w:b w:val="0"/>
          <w:i w:val="0"/>
          <w:sz w:val="24"/>
        </w:rPr>
        <w:t>在</w:t>
      </w:r>
      <w:r>
        <w:rPr>
          <w:rFonts w:ascii="宋体" w:hAnsi="宋体"/>
          <w:b/>
          <w:i w:val="0"/>
          <w:sz w:val="24"/>
        </w:rPr>
        <w:t>口碑传播仿真</w:t>
      </w:r>
      <w:r>
        <w:rPr>
          <w:rFonts w:ascii="宋体" w:hAnsi="宋体"/>
          <w:b w:val="0"/>
          <w:i w:val="0"/>
          <w:sz w:val="24"/>
        </w:rPr>
        <w:t>中，多智能体模型被用于研究正面和负面口碑在社交网络中的传播动态。Goldenberg等人（2001）的经典ABM研究表明，少量高度连接的消费者对口碑传播速度有不成比例的影响。Zhang等人（2017）进一步利用ABM研究了病毒式营销的传播机制，发现网络结构、种子节点选择和内容吸引力三者之间存在复杂的交互效应。近年来，LLM多智能体使得口碑仿真中的消费者能够生成自然语言的产品评价和推荐文本，而非简单的二元信号，从而更真实地模拟线上口碑生态（Li et al., 2024）。</w:t>
      </w:r>
    </w:p>
    <w:p>
      <w:pPr>
        <w:spacing w:line="360" w:lineRule="auto"/>
        <w:ind w:firstLine="480"/>
      </w:pPr>
      <w:r>
        <w:rPr>
          <w:rFonts w:ascii="宋体" w:hAnsi="宋体"/>
          <w:b w:val="0"/>
          <w:i w:val="0"/>
          <w:sz w:val="24"/>
        </w:rPr>
        <w:t>在</w:t>
      </w:r>
      <w:r>
        <w:rPr>
          <w:rFonts w:ascii="宋体" w:hAnsi="宋体"/>
          <w:b/>
          <w:i w:val="0"/>
          <w:sz w:val="24"/>
        </w:rPr>
        <w:t>群体极化与信息茧房</w:t>
      </w:r>
      <w:r>
        <w:rPr>
          <w:rFonts w:ascii="宋体" w:hAnsi="宋体"/>
          <w:b w:val="0"/>
          <w:i w:val="0"/>
          <w:sz w:val="24"/>
        </w:rPr>
        <w:t>研究中，多智能体模型被用于探索推荐算法如何影响消费者的信息多样性和偏好极化。Flache等人（2017）对社会影响模型进行了全面综述，揭示了个性化推荐可能导致消费者偏好趋同或极化的条件和机制，这对平台营销策略的伦理审视具有重要价值。Shao等人（2024）进一步提出将ABM与生成式AI相结合，为社会模拟构建新的范式。</w:t>
      </w:r>
    </w:p>
    <w:p>
      <w:pPr>
        <w:spacing w:line="360" w:lineRule="auto"/>
        <w:ind w:firstLine="480"/>
      </w:pPr>
      <w:r>
        <w:rPr>
          <w:rFonts w:ascii="宋体" w:hAnsi="宋体"/>
          <w:b w:val="0"/>
          <w:i w:val="0"/>
          <w:sz w:val="24"/>
        </w:rPr>
        <w:t>消费者行为仿真为理解个体决策和群体动态提供了"微观基础"，而这些微观行为汇聚形成的宏观市场现象——如创新扩散和竞争均衡——则是市场竞争与扩散建模的研究对象。</w:t>
      </w:r>
    </w:p>
    <w:p>
      <w:pPr>
        <w:pStyle w:val="Heading2"/>
      </w:pPr>
      <w:r>
        <w:rPr>
          <w:rFonts w:ascii="黑体" w:hAnsi="黑体"/>
          <w:b/>
          <w:i w:val="0"/>
          <w:color w:val="000000"/>
          <w:sz w:val="30"/>
        </w:rPr>
        <w:t>5 市场竞争与扩散建模</w:t>
      </w:r>
    </w:p>
    <w:p>
      <w:pPr>
        <w:pStyle w:val="Heading3"/>
      </w:pPr>
      <w:r>
        <w:rPr>
          <w:rFonts w:ascii="黑体" w:hAnsi="黑体"/>
          <w:b/>
          <w:i w:val="0"/>
          <w:color w:val="000000"/>
          <w:sz w:val="26"/>
        </w:rPr>
        <w:t>5.1 创新扩散的多智能体模型</w:t>
      </w:r>
    </w:p>
    <w:p>
      <w:pPr>
        <w:spacing w:line="360" w:lineRule="auto"/>
        <w:ind w:firstLine="480"/>
      </w:pPr>
      <w:r>
        <w:rPr>
          <w:rFonts w:ascii="宋体" w:hAnsi="宋体"/>
          <w:b w:val="0"/>
          <w:i w:val="0"/>
          <w:sz w:val="24"/>
        </w:rPr>
        <w:t>创新扩散是ABM在营销研究中应用最为经典的领域。传统的Bass扩散模型（Bass, 1969）假设市场是同质的，扩散过程由创新系数和模仿系数两个参数驱动。ABM通过建模个体异质性和社交网络结构，极大地丰富了扩散研究的分析框架。</w:t>
      </w:r>
    </w:p>
    <w:p>
      <w:pPr>
        <w:spacing w:line="360" w:lineRule="auto"/>
        <w:ind w:firstLine="480"/>
      </w:pPr>
      <w:r>
        <w:rPr>
          <w:rFonts w:ascii="宋体" w:hAnsi="宋体"/>
          <w:b w:val="0"/>
          <w:i w:val="0"/>
          <w:sz w:val="24"/>
        </w:rPr>
        <w:t>Goldenberg等人（2001）提出了基于蜂窝自动机（Cellular Automata）的创新扩散ABM，首次在个体层面研究了"强连接"（亲密社交关系）和"弱连接"（泛泛之交）在扩散过程中的差异化作用，发现弱连接在扩散的早期阶段发挥着关键的"桥梁"作用，这一发现呼应并量化了Granovetter（1973）的"弱连接的力量"理论。</w:t>
      </w:r>
    </w:p>
    <w:p>
      <w:pPr>
        <w:spacing w:line="360" w:lineRule="auto"/>
        <w:ind w:firstLine="480"/>
      </w:pPr>
      <w:r>
        <w:rPr>
          <w:rFonts w:ascii="宋体" w:hAnsi="宋体"/>
          <w:b w:val="0"/>
          <w:i w:val="0"/>
          <w:sz w:val="24"/>
        </w:rPr>
        <w:t>Delre等人（2010）进一步将消费者异质性（不同的采纳阈值）和社交网络拓扑结构引入扩散ABM，研究了目标种子策略（Seeding Strategy）对新产品扩散速度和最终渗透率的影响。研究发现，当消费者的采纳阈值存在较大异质性时，将初始种子投放给阈值较低的"早期采纳者"是最优策略；但当异质性较小时，种子的网络位置（中心性）比个人特征更为重要。</w:t>
      </w:r>
    </w:p>
    <w:p>
      <w:pPr>
        <w:spacing w:line="360" w:lineRule="auto"/>
        <w:ind w:firstLine="480"/>
      </w:pPr>
      <w:r>
        <w:rPr>
          <w:rFonts w:ascii="宋体" w:hAnsi="宋体"/>
          <w:b w:val="0"/>
          <w:i w:val="0"/>
          <w:sz w:val="24"/>
        </w:rPr>
        <w:t>Kiesling等人（2012）对ABM在创新扩散研究中的应用进行了全面综述，总结了智能体决策规则、社交网络结构和外部影响因素（如广告、价格）三个维度的建模方法，并指出了实证标定（Empirical Calibration）——即如何用真实数据校准ABM参数——是该领域的核心挑战。</w:t>
      </w:r>
    </w:p>
    <w:p>
      <w:pPr>
        <w:pStyle w:val="Heading3"/>
      </w:pPr>
      <w:r>
        <w:rPr>
          <w:rFonts w:ascii="黑体" w:hAnsi="黑体"/>
          <w:b/>
          <w:i w:val="0"/>
          <w:color w:val="000000"/>
          <w:sz w:val="26"/>
        </w:rPr>
        <w:t>5.2 竞争策略与市场动态</w:t>
      </w:r>
    </w:p>
    <w:p>
      <w:pPr>
        <w:spacing w:line="360" w:lineRule="auto"/>
        <w:ind w:firstLine="480"/>
      </w:pPr>
      <w:r>
        <w:rPr>
          <w:rFonts w:ascii="宋体" w:hAnsi="宋体"/>
          <w:b w:val="0"/>
          <w:i w:val="0"/>
          <w:sz w:val="24"/>
        </w:rPr>
        <w:t>多智能体方法天然适合建模市场竞争场景，因为竞争的本质是多个决策主体之间的策略交互。</w:t>
      </w:r>
    </w:p>
    <w:p>
      <w:pPr>
        <w:spacing w:line="360" w:lineRule="auto"/>
        <w:ind w:firstLine="480"/>
      </w:pPr>
      <w:r>
        <w:rPr>
          <w:rFonts w:ascii="宋体" w:hAnsi="宋体"/>
          <w:b w:val="0"/>
          <w:i w:val="0"/>
          <w:sz w:val="24"/>
        </w:rPr>
        <w:t>Garcia（2005）利用ABM研究了技术创新市场中的竞争动态，发现企业的创新策略选择（渐进式 vs. 突破式创新）与市场结构之间存在复杂的共演化关系。ABM能够揭示这种共演化过程中的路径依赖和锁定效应，而传统博弈论模型通常假设市场结构外生给定。</w:t>
      </w:r>
    </w:p>
    <w:p>
      <w:pPr>
        <w:spacing w:line="360" w:lineRule="auto"/>
        <w:ind w:firstLine="480"/>
      </w:pPr>
      <w:r>
        <w:rPr>
          <w:rFonts w:ascii="宋体" w:hAnsi="宋体"/>
          <w:b w:val="0"/>
          <w:i w:val="0"/>
          <w:sz w:val="24"/>
        </w:rPr>
        <w:t>在</w:t>
      </w:r>
      <w:r>
        <w:rPr>
          <w:rFonts w:ascii="宋体" w:hAnsi="宋体"/>
          <w:b/>
          <w:i w:val="0"/>
          <w:sz w:val="24"/>
        </w:rPr>
        <w:t>动态定价竞争</w:t>
      </w:r>
      <w:r>
        <w:rPr>
          <w:rFonts w:ascii="宋体" w:hAnsi="宋体"/>
          <w:b w:val="0"/>
          <w:i w:val="0"/>
          <w:sz w:val="24"/>
        </w:rPr>
        <w:t>领域，多智能体强化学习（MARL）被广泛应用。Tesauro和Kephart（2002）的开创性研究展示了当多个定价智能体使用Q-learning进行价格优化时，系统可能收敛到合谋定价（Collusive Pricing）均衡。Calvano等人（2020）在《American Economic Review》上发表的研究进一步证实了这一现象：独立使用Q-learning算法的定价智能体能够"自发"地学会合谋策略，即使它们之间没有任何显式的通信或协调。这一"算法合谋"发现引发了学术界和监管机构的广泛关注，对竞争法和反垄断政策提出了新的挑战——现行法律主要针对企业间的显式串通，而非算法层面的隐式协调。</w:t>
      </w:r>
    </w:p>
    <w:p>
      <w:pPr>
        <w:spacing w:line="360" w:lineRule="auto"/>
        <w:ind w:firstLine="480"/>
      </w:pPr>
      <w:r>
        <w:rPr>
          <w:rFonts w:ascii="宋体" w:hAnsi="宋体"/>
          <w:b w:val="0"/>
          <w:i w:val="0"/>
          <w:sz w:val="24"/>
        </w:rPr>
        <w:t>Jin等人（2018）将深度强化学习引入多智能体广告竞价场景，研究了多个广告主在实时竞价（RTB）环境中的策略交互。当多个智能广告主同时优化各自的竞价策略时，系统动态变得高度复杂，纳什均衡的存在性和收敛性成为关键的理论问题。</w:t>
      </w:r>
    </w:p>
    <w:p>
      <w:pPr>
        <w:pStyle w:val="Heading3"/>
      </w:pPr>
      <w:r>
        <w:rPr>
          <w:rFonts w:ascii="黑体" w:hAnsi="黑体"/>
          <w:b/>
          <w:i w:val="0"/>
          <w:color w:val="000000"/>
          <w:sz w:val="26"/>
        </w:rPr>
        <w:t>5.3 市场演化与涌现</w:t>
      </w:r>
    </w:p>
    <w:p>
      <w:pPr>
        <w:spacing w:line="360" w:lineRule="auto"/>
        <w:ind w:firstLine="480"/>
      </w:pPr>
      <w:r>
        <w:rPr>
          <w:rFonts w:ascii="宋体" w:hAnsi="宋体"/>
          <w:b w:val="0"/>
          <w:i w:val="0"/>
          <w:sz w:val="24"/>
        </w:rPr>
        <w:t>ABM的核心优势在于揭示"涌现"——宏观市场现象如何从微观个体交互中自发产生。</w:t>
      </w:r>
    </w:p>
    <w:p>
      <w:pPr>
        <w:spacing w:line="360" w:lineRule="auto"/>
        <w:ind w:firstLine="480"/>
      </w:pPr>
      <w:r>
        <w:rPr>
          <w:rFonts w:ascii="宋体" w:hAnsi="宋体"/>
          <w:b w:val="0"/>
          <w:i w:val="0"/>
          <w:sz w:val="24"/>
        </w:rPr>
        <w:t>在</w:t>
      </w:r>
      <w:r>
        <w:rPr>
          <w:rFonts w:ascii="宋体" w:hAnsi="宋体"/>
          <w:b/>
          <w:i w:val="0"/>
          <w:sz w:val="24"/>
        </w:rPr>
        <w:t>市场结构演化</w:t>
      </w:r>
      <w:r>
        <w:rPr>
          <w:rFonts w:ascii="宋体" w:hAnsi="宋体"/>
          <w:b w:val="0"/>
          <w:i w:val="0"/>
          <w:sz w:val="24"/>
        </w:rPr>
        <w:t>方面，ABM被用于研究市场集中度、品牌格局和产业生态的动态形成过程。通过模拟企业的进入、退出、并购和产品创新决策，ABM能够生成类似真实市场的幂律分布（少数大企业和大量小企业共存）和市场份额波动模式（Tesfatsion, 2006）。</w:t>
      </w:r>
    </w:p>
    <w:p>
      <w:pPr>
        <w:spacing w:line="360" w:lineRule="auto"/>
        <w:ind w:firstLine="480"/>
      </w:pPr>
      <w:r>
        <w:rPr>
          <w:rFonts w:ascii="宋体" w:hAnsi="宋体"/>
          <w:b w:val="0"/>
          <w:i w:val="0"/>
          <w:sz w:val="24"/>
        </w:rPr>
        <w:t>在</w:t>
      </w:r>
      <w:r>
        <w:rPr>
          <w:rFonts w:ascii="宋体" w:hAnsi="宋体"/>
          <w:b/>
          <w:i w:val="0"/>
          <w:sz w:val="24"/>
        </w:rPr>
        <w:t>时尚与趋势传播</w:t>
      </w:r>
      <w:r>
        <w:rPr>
          <w:rFonts w:ascii="宋体" w:hAnsi="宋体"/>
          <w:b w:val="0"/>
          <w:i w:val="0"/>
          <w:sz w:val="24"/>
        </w:rPr>
        <w:t>方面，多智能体模型揭示了消费趋势的"S型"扩散曲线是如何从个体层面的模仿和区分（Distinction）动机中涌现的。消费者同时受到"从众"（追随潮流）和"独特性"（与众不同）两种动机的驱动，这两种力量的张力在群体层面产生了趋势的兴起和衰退周期（Rand &amp; Rust, 2011）。Chattoe-Brown（2013）进一步指出，ABM在捕捉这种社会过程的动态性和异质性方面具有其他方法不可比拟的优势。</w:t>
      </w:r>
    </w:p>
    <w:p>
      <w:pPr>
        <w:spacing w:line="360" w:lineRule="auto"/>
        <w:ind w:firstLine="480"/>
      </w:pPr>
      <w:r>
        <w:rPr>
          <w:rFonts w:ascii="宋体" w:hAnsi="宋体"/>
          <w:b w:val="0"/>
          <w:i w:val="0"/>
          <w:sz w:val="24"/>
        </w:rPr>
        <w:t>市场竞争和扩散建模揭示了多智能体交互的宏观结果，而在实践层面，企业更关心如何利用多智能体系统来自动化和优化日常的营销运营任务。</w:t>
      </w:r>
    </w:p>
    <w:p>
      <w:pPr>
        <w:pStyle w:val="Heading2"/>
      </w:pPr>
      <w:r>
        <w:rPr>
          <w:rFonts w:ascii="黑体" w:hAnsi="黑体"/>
          <w:b/>
          <w:i w:val="0"/>
          <w:color w:val="000000"/>
          <w:sz w:val="30"/>
        </w:rPr>
        <w:t>6 营销任务自动化与协作</w:t>
      </w:r>
    </w:p>
    <w:p>
      <w:pPr>
        <w:spacing w:line="360" w:lineRule="auto"/>
        <w:ind w:firstLine="480"/>
      </w:pPr>
      <w:r>
        <w:rPr>
          <w:rFonts w:ascii="宋体" w:hAnsi="宋体"/>
          <w:b w:val="0"/>
          <w:i w:val="0"/>
          <w:sz w:val="24"/>
        </w:rPr>
        <w:t>LLM多智能体系统在营销分析中最具实践影响力的应用是将复杂的营销工作流分解为多个子任务，由专业化的AI智能体协作完成。这代表了多智能体从"模拟营销现象"到"执行营销任务"的功能转变。Tian等人（2024）对多智能体营销自动化系统进行了系统性综述，识别了工作流编排、角色专业化和质量控制三个核心设计维度。</w:t>
      </w:r>
    </w:p>
    <w:p>
      <w:pPr>
        <w:pStyle w:val="Heading3"/>
      </w:pPr>
      <w:r>
        <w:rPr>
          <w:rFonts w:ascii="黑体" w:hAnsi="黑体"/>
          <w:b/>
          <w:i w:val="0"/>
          <w:color w:val="000000"/>
          <w:sz w:val="26"/>
        </w:rPr>
        <w:t>6.1 多智能体营销工作流架构</w:t>
      </w:r>
    </w:p>
    <w:p>
      <w:pPr>
        <w:spacing w:line="360" w:lineRule="auto"/>
        <w:ind w:firstLine="480"/>
      </w:pPr>
      <w:r>
        <w:rPr>
          <w:rFonts w:ascii="宋体" w:hAnsi="宋体"/>
          <w:b w:val="0"/>
          <w:i w:val="0"/>
          <w:sz w:val="24"/>
        </w:rPr>
        <w:t>一个典型的多智能体营销系统通常包含以下角色分工（Ke et al., 2024）：</w:t>
      </w:r>
    </w:p>
    <w:p>
      <w:pPr>
        <w:spacing w:line="360" w:lineRule="auto"/>
        <w:ind w:firstLine="480"/>
      </w:pPr>
      <w:r>
        <w:rPr>
          <w:rFonts w:ascii="宋体" w:hAnsi="宋体"/>
          <w:b/>
          <w:i w:val="0"/>
          <w:sz w:val="24"/>
        </w:rPr>
        <w:t>市场研究智能体</w:t>
      </w:r>
      <w:r>
        <w:rPr>
          <w:rFonts w:ascii="宋体" w:hAnsi="宋体"/>
          <w:b w:val="0"/>
          <w:i w:val="0"/>
          <w:sz w:val="24"/>
        </w:rPr>
        <w:t>负责信息收集和分析，能够浏览网页、调用搜索API、分析竞品数据并生成市场洞察报告。</w:t>
      </w:r>
      <w:r>
        <w:rPr>
          <w:rFonts w:ascii="宋体" w:hAnsi="宋体"/>
          <w:b/>
          <w:i w:val="0"/>
          <w:sz w:val="24"/>
        </w:rPr>
        <w:t>策略规划智能体</w:t>
      </w:r>
      <w:r>
        <w:rPr>
          <w:rFonts w:ascii="宋体" w:hAnsi="宋体"/>
          <w:b w:val="0"/>
          <w:i w:val="0"/>
          <w:sz w:val="24"/>
        </w:rPr>
        <w:t>基于市场研究结果，制定营销策略框架，包括目标受众定义、价值主张设计和渠道组合规划。</w:t>
      </w:r>
      <w:r>
        <w:rPr>
          <w:rFonts w:ascii="宋体" w:hAnsi="宋体"/>
          <w:b/>
          <w:i w:val="0"/>
          <w:sz w:val="24"/>
        </w:rPr>
        <w:t>内容创作智能体</w:t>
      </w:r>
      <w:r>
        <w:rPr>
          <w:rFonts w:ascii="宋体" w:hAnsi="宋体"/>
          <w:b w:val="0"/>
          <w:i w:val="0"/>
          <w:sz w:val="24"/>
        </w:rPr>
        <w:t>根据策略方向生成多样化的营销文案、广告素材和社交媒体内容。</w:t>
      </w:r>
      <w:r>
        <w:rPr>
          <w:rFonts w:ascii="宋体" w:hAnsi="宋体"/>
          <w:b/>
          <w:i w:val="0"/>
          <w:sz w:val="24"/>
        </w:rPr>
        <w:t>数据分析智能体</w:t>
      </w:r>
      <w:r>
        <w:rPr>
          <w:rFonts w:ascii="宋体" w:hAnsi="宋体"/>
          <w:b w:val="0"/>
          <w:i w:val="0"/>
          <w:sz w:val="24"/>
        </w:rPr>
        <w:t>负责营销数据的统计分析、效果评估和归因建模。</w:t>
      </w:r>
      <w:r>
        <w:rPr>
          <w:rFonts w:ascii="宋体" w:hAnsi="宋体"/>
          <w:b/>
          <w:i w:val="0"/>
          <w:sz w:val="24"/>
        </w:rPr>
        <w:t>质量审核智能体</w:t>
      </w:r>
      <w:r>
        <w:rPr>
          <w:rFonts w:ascii="宋体" w:hAnsi="宋体"/>
          <w:b w:val="0"/>
          <w:i w:val="0"/>
          <w:sz w:val="24"/>
        </w:rPr>
        <w:t>对其他智能体的输出进行评审和反馈，确保内容质量和品牌一致性。</w:t>
      </w:r>
    </w:p>
    <w:p>
      <w:pPr>
        <w:spacing w:line="360" w:lineRule="auto"/>
        <w:ind w:firstLine="480"/>
      </w:pPr>
      <w:r>
        <w:rPr>
          <w:rFonts w:ascii="宋体" w:hAnsi="宋体"/>
          <w:b w:val="0"/>
          <w:i w:val="0"/>
          <w:sz w:val="24"/>
        </w:rPr>
        <w:t>Li等人（2024）提出了一种面向数字营销的多智能体协作框架，其中多个LLM智能体分别扮演广告策划、文案撰写、投放优化和效果分析等角色，通过结构化的对话协议协同完成从策略制定到效果评估的完整营销闭环。实验表明，多智能体协作在创意多样性和策略全面性方面显著优于单一LLM智能体。</w:t>
      </w:r>
    </w:p>
    <w:p>
      <w:pPr>
        <w:pStyle w:val="Heading3"/>
      </w:pPr>
      <w:r>
        <w:rPr>
          <w:rFonts w:ascii="黑体" w:hAnsi="黑体"/>
          <w:b/>
          <w:i w:val="0"/>
          <w:color w:val="000000"/>
          <w:sz w:val="26"/>
        </w:rPr>
        <w:t>6.2 市场调研与竞争情报</w:t>
      </w:r>
    </w:p>
    <w:p>
      <w:pPr>
        <w:spacing w:line="360" w:lineRule="auto"/>
        <w:ind w:firstLine="480"/>
      </w:pPr>
      <w:r>
        <w:rPr>
          <w:rFonts w:ascii="宋体" w:hAnsi="宋体"/>
          <w:b w:val="0"/>
          <w:i w:val="0"/>
          <w:sz w:val="24"/>
        </w:rPr>
        <w:t>多智能体系统在市场调研自动化方面展现了显著潜力。传统的市场调研流程（问卷设计→数据收集→数据分析→洞察生成）通常需要数周时间和多个专业团队的参与，而多智能体系统能够大幅压缩这一周期。</w:t>
      </w:r>
    </w:p>
    <w:p>
      <w:pPr>
        <w:spacing w:line="360" w:lineRule="auto"/>
        <w:ind w:firstLine="480"/>
      </w:pPr>
      <w:r>
        <w:rPr>
          <w:rFonts w:ascii="宋体" w:hAnsi="宋体"/>
          <w:b w:val="0"/>
          <w:i w:val="0"/>
          <w:sz w:val="24"/>
        </w:rPr>
        <w:t>在竞争情报收集方面，专业化的智能体可以自主浏览竞品网站、分析定价策略、追踪产品更新和监控社交媒体口碑。多个智能体从不同信息源收集数据，由综合分析智能体将碎片化信息整合为结构化的竞争情报报告。Gao等人（2024）的研究探讨了LLM智能体在信息检索和综合分析任务中的能力边界，为市场调研自动化提供了技术可行性评估。</w:t>
      </w:r>
    </w:p>
    <w:p>
      <w:pPr>
        <w:spacing w:line="360" w:lineRule="auto"/>
        <w:ind w:firstLine="480"/>
      </w:pPr>
      <w:r>
        <w:rPr>
          <w:rFonts w:ascii="宋体" w:hAnsi="宋体"/>
          <w:b w:val="0"/>
          <w:i w:val="0"/>
          <w:sz w:val="24"/>
        </w:rPr>
        <w:t>在</w:t>
      </w:r>
      <w:r>
        <w:rPr>
          <w:rFonts w:ascii="宋体" w:hAnsi="宋体"/>
          <w:b/>
          <w:i w:val="0"/>
          <w:sz w:val="24"/>
        </w:rPr>
        <w:t>消费者洞察提取</w:t>
      </w:r>
      <w:r>
        <w:rPr>
          <w:rFonts w:ascii="宋体" w:hAnsi="宋体"/>
          <w:b w:val="0"/>
          <w:i w:val="0"/>
          <w:sz w:val="24"/>
        </w:rPr>
        <w:t>方面，LLM智能体能够对大规模消费者反馈数据（在线评论、客服记录、社交媒体帖子）进行深度分析，提取超越传统情感分析的丰富洞察——包括未满足的需求、使用场景描述、竞品对比意见和产品改进建议。多个智能体可以分别专注于不同数据源或不同分析维度，最终由综合智能体生成整合性的消费者洞察报告。</w:t>
      </w:r>
    </w:p>
    <w:p>
      <w:pPr>
        <w:pStyle w:val="Heading3"/>
      </w:pPr>
      <w:r>
        <w:rPr>
          <w:rFonts w:ascii="黑体" w:hAnsi="黑体"/>
          <w:b/>
          <w:i w:val="0"/>
          <w:color w:val="000000"/>
          <w:sz w:val="26"/>
        </w:rPr>
        <w:t>6.3 内容生成与创意优化</w:t>
      </w:r>
    </w:p>
    <w:p>
      <w:pPr>
        <w:spacing w:line="360" w:lineRule="auto"/>
        <w:ind w:firstLine="480"/>
      </w:pPr>
      <w:r>
        <w:rPr>
          <w:rFonts w:ascii="宋体" w:hAnsi="宋体"/>
          <w:b w:val="0"/>
          <w:i w:val="0"/>
          <w:sz w:val="24"/>
        </w:rPr>
        <w:t>内容营销是LLM多智能体系统最直接的应用场景之一。单一LLM在内容生成中可能存在创意同质化和自我强化偏差，而多智能体协作通过引入多样化的视角和批评性反馈来提升内容质量。</w:t>
      </w:r>
    </w:p>
    <w:p>
      <w:pPr>
        <w:spacing w:line="360" w:lineRule="auto"/>
        <w:ind w:firstLine="480"/>
      </w:pPr>
      <w:r>
        <w:rPr>
          <w:rFonts w:ascii="宋体" w:hAnsi="宋体"/>
          <w:b/>
          <w:i w:val="0"/>
          <w:sz w:val="24"/>
        </w:rPr>
        <w:t>创意发散与收敛机制</w:t>
      </w:r>
      <w:r>
        <w:rPr>
          <w:rFonts w:ascii="宋体" w:hAnsi="宋体"/>
          <w:b w:val="0"/>
          <w:i w:val="0"/>
          <w:sz w:val="24"/>
        </w:rPr>
        <w:t>：多个智能体可以从不同角度（如理性诉求 vs. 情感诉求、幽默风格 vs. 严肃风格）生成候选创意方案，然后由评审智能体根据品牌调性、目标受众特征和平台规范进行筛选和优化。Wang等人（2024）的综述指出，多智能体辩论（Debate）和反思（Reflection）机制能够有效减少单一LLM的幻觉和偏差，提高输出的准确性和可靠性——这对于营销内容的事实准确性和品牌安全性至关重要。</w:t>
      </w:r>
    </w:p>
    <w:p>
      <w:pPr>
        <w:spacing w:line="360" w:lineRule="auto"/>
        <w:ind w:firstLine="480"/>
      </w:pPr>
      <w:r>
        <w:rPr>
          <w:rFonts w:ascii="宋体" w:hAnsi="宋体"/>
          <w:b/>
          <w:i w:val="0"/>
          <w:sz w:val="24"/>
        </w:rPr>
        <w:t>跨平台内容适配</w:t>
      </w:r>
      <w:r>
        <w:rPr>
          <w:rFonts w:ascii="宋体" w:hAnsi="宋体"/>
          <w:b w:val="0"/>
          <w:i w:val="0"/>
          <w:sz w:val="24"/>
        </w:rPr>
        <w:t>：不同社交媒体平台（微博、微信公众号、抖音、小红书、LinkedIn）有着不同的内容格式要求、受众特征和传播机制。专业化的平台智能体能够将核心营销信息自动适配为各平台的最优内容形式，实现"一次策划、多平台分发"的高效内容运营。Ke等人（2024）的研究表明，引入平台专家智能体的多智能体系统在跨平台内容适配的质量评分上显著优于通用的单一模型方案。</w:t>
      </w:r>
    </w:p>
    <w:p>
      <w:pPr>
        <w:pStyle w:val="Heading3"/>
      </w:pPr>
      <w:r>
        <w:rPr>
          <w:rFonts w:ascii="黑体" w:hAnsi="黑体"/>
          <w:b/>
          <w:i w:val="0"/>
          <w:color w:val="000000"/>
          <w:sz w:val="26"/>
        </w:rPr>
        <w:t>6.4 广告投放与预算优化</w:t>
      </w:r>
    </w:p>
    <w:p>
      <w:pPr>
        <w:spacing w:line="360" w:lineRule="auto"/>
        <w:ind w:firstLine="480"/>
      </w:pPr>
      <w:r>
        <w:rPr>
          <w:rFonts w:ascii="宋体" w:hAnsi="宋体"/>
          <w:b w:val="0"/>
          <w:i w:val="0"/>
          <w:sz w:val="24"/>
        </w:rPr>
        <w:t>在程序化广告领域，多智能体方法被用于优化跨渠道、跨目标的广告投放策略。</w:t>
      </w:r>
    </w:p>
    <w:p>
      <w:pPr>
        <w:spacing w:line="360" w:lineRule="auto"/>
        <w:ind w:firstLine="480"/>
      </w:pPr>
      <w:r>
        <w:rPr>
          <w:rFonts w:ascii="宋体" w:hAnsi="宋体"/>
          <w:b/>
          <w:i w:val="0"/>
          <w:sz w:val="24"/>
        </w:rPr>
        <w:t>多目标协调</w:t>
      </w:r>
      <w:r>
        <w:rPr>
          <w:rFonts w:ascii="宋体" w:hAnsi="宋体"/>
          <w:b w:val="0"/>
          <w:i w:val="0"/>
          <w:sz w:val="24"/>
        </w:rPr>
        <w:t>：企业的广告投放通常需要同时优化多个目标——品牌知名度、用户参与度、转化率和ROI。不同的智能体可以分别负责不同目标的优化，由协调智能体在全局层面平衡各目标之间的权衡关系，避免单一优化目标导致的局部最优。</w:t>
      </w:r>
    </w:p>
    <w:p>
      <w:pPr>
        <w:spacing w:line="360" w:lineRule="auto"/>
        <w:ind w:firstLine="480"/>
      </w:pPr>
      <w:r>
        <w:rPr>
          <w:rFonts w:ascii="宋体" w:hAnsi="宋体"/>
          <w:b/>
          <w:i w:val="0"/>
          <w:sz w:val="24"/>
        </w:rPr>
        <w:t>竞价策略学习</w:t>
      </w:r>
      <w:r>
        <w:rPr>
          <w:rFonts w:ascii="宋体" w:hAnsi="宋体"/>
          <w:b w:val="0"/>
          <w:i w:val="0"/>
          <w:sz w:val="24"/>
        </w:rPr>
        <w:t>：在实时竞价（RTB）环境中，MARL方法被用于研究多个广告主的策略交互和均衡行为。Cai等人（2017）利用强化学习优化展示广告的实时竞价策略，而当多个广告主同时采用类似的学习算法时，系统动态成为一个多智能体博弈问题（Jin et al., 2018）。Xing等人（2024）进一步探索了结合LLM消费者模拟和MARL广告优化的混合多智能体框架，利用LLM模拟消费者对广告的反应来训练广告投放策略。</w:t>
      </w:r>
    </w:p>
    <w:p>
      <w:pPr>
        <w:spacing w:line="360" w:lineRule="auto"/>
        <w:ind w:firstLine="480"/>
      </w:pPr>
      <w:r>
        <w:rPr>
          <w:rFonts w:ascii="宋体" w:hAnsi="宋体"/>
          <w:b w:val="0"/>
          <w:i w:val="0"/>
          <w:sz w:val="24"/>
        </w:rPr>
        <w:t>营销任务自动化解决了"如何高效执行"的问题，而个性化营销与推荐则关注"如何精准触达"——两者都在向多智能体协作的方向演进。</w:t>
      </w:r>
    </w:p>
    <w:p>
      <w:pPr>
        <w:pStyle w:val="Heading2"/>
      </w:pPr>
      <w:r>
        <w:rPr>
          <w:rFonts w:ascii="黑体" w:hAnsi="黑体"/>
          <w:b/>
          <w:i w:val="0"/>
          <w:color w:val="000000"/>
          <w:sz w:val="30"/>
        </w:rPr>
        <w:t>7 个性化营销与推荐</w:t>
      </w:r>
    </w:p>
    <w:p>
      <w:pPr>
        <w:pStyle w:val="Heading3"/>
      </w:pPr>
      <w:r>
        <w:rPr>
          <w:rFonts w:ascii="黑体" w:hAnsi="黑体"/>
          <w:b/>
          <w:i w:val="0"/>
          <w:color w:val="000000"/>
          <w:sz w:val="26"/>
        </w:rPr>
        <w:t>7.1 多智能体推荐系统</w:t>
      </w:r>
    </w:p>
    <w:p>
      <w:pPr>
        <w:spacing w:line="360" w:lineRule="auto"/>
        <w:ind w:firstLine="480"/>
      </w:pPr>
      <w:r>
        <w:rPr>
          <w:rFonts w:ascii="宋体" w:hAnsi="宋体"/>
          <w:b w:val="0"/>
          <w:i w:val="0"/>
          <w:sz w:val="24"/>
        </w:rPr>
        <w:t>传统推荐系统通常被建模为单智能体优化问题（平台最大化点击率或转化率），而多智能体视角将推荐过程理解为用户、平台和内容提供者之间的多方博弈。</w:t>
      </w:r>
    </w:p>
    <w:p>
      <w:pPr>
        <w:spacing w:line="360" w:lineRule="auto"/>
        <w:ind w:firstLine="480"/>
      </w:pPr>
      <w:r>
        <w:rPr>
          <w:rFonts w:ascii="宋体" w:hAnsi="宋体"/>
          <w:b w:val="0"/>
          <w:i w:val="0"/>
          <w:sz w:val="24"/>
        </w:rPr>
        <w:t>在</w:t>
      </w:r>
      <w:r>
        <w:rPr>
          <w:rFonts w:ascii="宋体" w:hAnsi="宋体"/>
          <w:b/>
          <w:i w:val="0"/>
          <w:sz w:val="24"/>
        </w:rPr>
        <w:t>多方利益协调</w:t>
      </w:r>
      <w:r>
        <w:rPr>
          <w:rFonts w:ascii="宋体" w:hAnsi="宋体"/>
          <w:b w:val="0"/>
          <w:i w:val="0"/>
          <w:sz w:val="24"/>
        </w:rPr>
        <w:t>方面，推荐系统需要同时考虑用户满意度、平台收入和商家公平性等多方利益。多智能体强化学习框架为平衡这些多方利益提供了自然的建模工具，其中不同智能体分别代表不同利益相关者的目标函数，通过博弈均衡来确定推荐策略。这种多方博弈视角揭示了推荐系统中单一优化目标（如点击率最大化）可能导致的系统性偏差——如平台过度推荐高佣金但低用户满意度的商品。</w:t>
      </w:r>
    </w:p>
    <w:p>
      <w:pPr>
        <w:spacing w:line="360" w:lineRule="auto"/>
        <w:ind w:firstLine="480"/>
      </w:pPr>
      <w:r>
        <w:rPr>
          <w:rFonts w:ascii="宋体" w:hAnsi="宋体"/>
          <w:b w:val="0"/>
          <w:i w:val="0"/>
          <w:sz w:val="24"/>
        </w:rPr>
        <w:t>在</w:t>
      </w:r>
      <w:r>
        <w:rPr>
          <w:rFonts w:ascii="宋体" w:hAnsi="宋体"/>
          <w:b/>
          <w:i w:val="0"/>
          <w:sz w:val="24"/>
        </w:rPr>
        <w:t>对话式推荐</w:t>
      </w:r>
      <w:r>
        <w:rPr>
          <w:rFonts w:ascii="宋体" w:hAnsi="宋体"/>
          <w:b w:val="0"/>
          <w:i w:val="0"/>
          <w:sz w:val="24"/>
        </w:rPr>
        <w:t>方面，LLM多智能体系统使得推荐系统从被动响应转向主动对话。用户智能体和推荐智能体通过多轮自然语言对话来逐步澄清用户偏好、提供个性化推荐并解释推荐理由。Friedman等人（2023）研究了LLM作为对话推荐智能体的效果，发现LLM能够通过自然对话有效地引导用户发现潜在需求，但在处理复杂偏好约束（如预算限制和多人需求协调）方面仍有不足。</w:t>
      </w:r>
    </w:p>
    <w:p>
      <w:pPr>
        <w:pStyle w:val="Heading3"/>
      </w:pPr>
      <w:r>
        <w:rPr>
          <w:rFonts w:ascii="黑体" w:hAnsi="黑体"/>
          <w:b/>
          <w:i w:val="0"/>
          <w:color w:val="000000"/>
          <w:sz w:val="26"/>
        </w:rPr>
        <w:t>7.2 个性化定价中的多智能体博弈</w:t>
      </w:r>
    </w:p>
    <w:p>
      <w:pPr>
        <w:spacing w:line="360" w:lineRule="auto"/>
        <w:ind w:firstLine="480"/>
      </w:pPr>
      <w:r>
        <w:rPr>
          <w:rFonts w:ascii="宋体" w:hAnsi="宋体"/>
          <w:b w:val="0"/>
          <w:i w:val="0"/>
          <w:sz w:val="24"/>
        </w:rPr>
        <w:t>个性化定价本质上是一个多智能体交互问题：企业（定价智能体）根据对消费者（购买智能体）支付意愿的估计来设定价格，而消费者可能策略性地隐藏偏好信息或推迟购买以获取更低价格。</w:t>
      </w:r>
    </w:p>
    <w:p>
      <w:pPr>
        <w:spacing w:line="360" w:lineRule="auto"/>
        <w:ind w:firstLine="480"/>
      </w:pPr>
      <w:r>
        <w:rPr>
          <w:rFonts w:ascii="宋体" w:hAnsi="宋体"/>
          <w:b w:val="0"/>
          <w:i w:val="0"/>
          <w:sz w:val="24"/>
        </w:rPr>
        <w:t>den Boer和Keskin（2022）研究了当对手的策略未知时，定价智能体如何在"学习市场"和"利用市场"之间取得平衡——这是一个典型的多智能体在线学习问题。他们的研究还引入了参考价格效应，即消费者对价格的感知不仅取决于当前价格的绝对水平，还取决于与历史价格的比较，这使得定价问题具有了时序依赖性和策略复杂性。</w:t>
      </w:r>
    </w:p>
    <w:p>
      <w:pPr>
        <w:pStyle w:val="Heading3"/>
      </w:pPr>
      <w:r>
        <w:rPr>
          <w:rFonts w:ascii="黑体" w:hAnsi="黑体"/>
          <w:b/>
          <w:i w:val="0"/>
          <w:color w:val="000000"/>
          <w:sz w:val="26"/>
        </w:rPr>
        <w:t>7.3 LLM智能体驱动的个性化营销</w:t>
      </w:r>
    </w:p>
    <w:p>
      <w:pPr>
        <w:spacing w:line="360" w:lineRule="auto"/>
        <w:ind w:firstLine="480"/>
      </w:pPr>
      <w:r>
        <w:rPr>
          <w:rFonts w:ascii="宋体" w:hAnsi="宋体"/>
          <w:b w:val="0"/>
          <w:i w:val="0"/>
          <w:sz w:val="24"/>
        </w:rPr>
        <w:t>LLM智能体为个性化营销引入了新的可能性。通过赋予LLM智能体消费者画像和偏好信息，智能体能够以高度个性化的方式与消费者互动——不仅是推荐产品，还包括定制化的沟通风格、内容主题和互动节奏。</w:t>
      </w:r>
    </w:p>
    <w:p>
      <w:pPr>
        <w:spacing w:line="360" w:lineRule="auto"/>
        <w:ind w:firstLine="480"/>
      </w:pPr>
      <w:r>
        <w:rPr>
          <w:rFonts w:ascii="宋体" w:hAnsi="宋体"/>
          <w:b/>
          <w:i w:val="0"/>
          <w:sz w:val="24"/>
        </w:rPr>
        <w:t>个性化销售助理</w:t>
      </w:r>
      <w:r>
        <w:rPr>
          <w:rFonts w:ascii="宋体" w:hAnsi="宋体"/>
          <w:b w:val="0"/>
          <w:i w:val="0"/>
          <w:sz w:val="24"/>
        </w:rPr>
        <w:t>是一个典型应用场景。LLM智能体可以作为虚拟销售顾问，基于消费者的历史购买记录、浏览行为和对话上下文，提供个性化的产品推荐和咨询服务。与传统推荐系统相比，LLM销售助理能够理解消费者的自然语言需求描述（如"我需要一件适合商务旅行、易打理的衬衫"），并进行类人的需求引导和说服对话。</w:t>
      </w:r>
    </w:p>
    <w:p>
      <w:pPr>
        <w:spacing w:line="360" w:lineRule="auto"/>
        <w:ind w:firstLine="480"/>
      </w:pPr>
      <w:r>
        <w:rPr>
          <w:rFonts w:ascii="宋体" w:hAnsi="宋体"/>
          <w:b/>
          <w:i w:val="0"/>
          <w:sz w:val="24"/>
        </w:rPr>
        <w:t>A/B测试的智能体模拟</w:t>
      </w:r>
      <w:r>
        <w:rPr>
          <w:rFonts w:ascii="宋体" w:hAnsi="宋体"/>
          <w:b w:val="0"/>
          <w:i w:val="0"/>
          <w:sz w:val="24"/>
        </w:rPr>
        <w:t>也是一个新兴方向。传统A/B测试需要真实消费者流量和较长的测试周期，而LLM智能体可以模拟不同人口统计特征的消费者对不同营销方案的反应，为A/B测试提供快速的预筛选，减少需要进行真实测试的方案数量（Horton, 2023）。Chen等人（2023）关于GPT经济理性的研究为这种模拟方法的可靠性提供了初步的理论支撑。</w:t>
      </w:r>
    </w:p>
    <w:p>
      <w:pPr>
        <w:pStyle w:val="Heading2"/>
      </w:pPr>
      <w:r>
        <w:rPr>
          <w:rFonts w:ascii="黑体" w:hAnsi="黑体"/>
          <w:b/>
          <w:i w:val="0"/>
          <w:color w:val="000000"/>
          <w:sz w:val="30"/>
        </w:rPr>
        <w:t>8 评估方法与基准</w:t>
      </w:r>
    </w:p>
    <w:p>
      <w:pPr>
        <w:spacing w:line="360" w:lineRule="auto"/>
        <w:ind w:firstLine="480"/>
      </w:pPr>
      <w:r>
        <w:rPr>
          <w:rFonts w:ascii="宋体" w:hAnsi="宋体"/>
          <w:b w:val="0"/>
          <w:i w:val="0"/>
          <w:sz w:val="24"/>
        </w:rPr>
        <w:t>多智能体营销系统的评估是一个复杂且尚未充分解决的问题。不同类型的多智能体系统需要不同的评估框架。表2对ABM和LLM多智能体两种范式进行了系统对比。</w:t>
      </w:r>
    </w:p>
    <w:p>
      <w:pPr>
        <w:spacing w:line="360" w:lineRule="auto"/>
        <w:ind w:firstLine="480"/>
      </w:pPr>
      <w:r>
        <w:rPr>
          <w:rFonts w:ascii="宋体" w:hAnsi="宋体"/>
          <w:b/>
          <w:i w:val="0"/>
          <w:sz w:val="24"/>
        </w:rPr>
        <w:t>表2：传统ABM与LLM多智能体系统的对比</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left"/>
            </w:pPr>
            <w:r>
              <w:rPr>
                <w:rFonts w:ascii="宋体" w:hAnsi="宋体"/>
                <w:b/>
              </w:rPr>
            </w:r>
            <w:r>
              <w:rPr>
                <w:rFonts w:ascii="宋体" w:hAnsi="宋体"/>
                <w:b/>
                <w:i w:val="0"/>
                <w:sz w:val="18"/>
              </w:rPr>
              <w:t>维度</w:t>
            </w:r>
          </w:p>
        </w:tc>
        <w:tc>
          <w:tcPr>
            <w:tcW w:type="dxa" w:w="2878"/>
            <w:shd w:fill="D9E2F3" w:val="clear"/>
          </w:tcPr>
          <w:p>
            <w:pPr>
              <w:jc w:val="left"/>
            </w:pPr>
            <w:r>
              <w:rPr>
                <w:rFonts w:ascii="宋体" w:hAnsi="宋体"/>
                <w:b/>
              </w:rPr>
            </w:r>
            <w:r>
              <w:rPr>
                <w:rFonts w:ascii="宋体" w:hAnsi="宋体"/>
                <w:b/>
                <w:i w:val="0"/>
                <w:sz w:val="18"/>
              </w:rPr>
              <w:t>传统ABM</w:t>
            </w:r>
          </w:p>
        </w:tc>
        <w:tc>
          <w:tcPr>
            <w:tcW w:type="dxa" w:w="2878"/>
            <w:shd w:fill="D9E2F3" w:val="clear"/>
          </w:tcPr>
          <w:p>
            <w:pPr>
              <w:jc w:val="left"/>
            </w:pPr>
            <w:r>
              <w:rPr>
                <w:rFonts w:ascii="宋体" w:hAnsi="宋体"/>
                <w:b/>
              </w:rPr>
            </w:r>
            <w:r>
              <w:rPr>
                <w:rFonts w:ascii="宋体" w:hAnsi="宋体"/>
                <w:b/>
                <w:i w:val="0"/>
                <w:sz w:val="18"/>
              </w:rPr>
              <w:t>LLM多智能体</w:t>
            </w:r>
          </w:p>
        </w:tc>
      </w:tr>
      <w:tr>
        <w:tc>
          <w:tcPr>
            <w:tcW w:type="dxa" w:w="2878"/>
          </w:tcPr>
          <w:p>
            <w:pPr>
              <w:jc w:val="left"/>
            </w:pPr>
            <w:r>
              <w:rPr>
                <w:rFonts w:ascii="宋体" w:hAnsi="宋体"/>
              </w:rPr>
            </w:r>
            <w:r>
              <w:rPr>
                <w:rFonts w:ascii="宋体" w:hAnsi="宋体"/>
                <w:b w:val="0"/>
                <w:i w:val="0"/>
                <w:sz w:val="18"/>
              </w:rPr>
              <w:t>智能体认知能力</w:t>
            </w:r>
          </w:p>
        </w:tc>
        <w:tc>
          <w:tcPr>
            <w:tcW w:type="dxa" w:w="2878"/>
          </w:tcPr>
          <w:p>
            <w:pPr>
              <w:jc w:val="left"/>
            </w:pPr>
            <w:r>
              <w:rPr>
                <w:rFonts w:ascii="宋体" w:hAnsi="宋体"/>
              </w:rPr>
            </w:r>
            <w:r>
              <w:rPr>
                <w:rFonts w:ascii="宋体" w:hAnsi="宋体"/>
                <w:b w:val="0"/>
                <w:i w:val="0"/>
                <w:sz w:val="18"/>
              </w:rPr>
              <w:t>低（规则/简单学习）</w:t>
            </w:r>
          </w:p>
        </w:tc>
        <w:tc>
          <w:tcPr>
            <w:tcW w:type="dxa" w:w="2878"/>
          </w:tcPr>
          <w:p>
            <w:pPr>
              <w:jc w:val="left"/>
            </w:pPr>
            <w:r>
              <w:rPr>
                <w:rFonts w:ascii="宋体" w:hAnsi="宋体"/>
              </w:rPr>
            </w:r>
            <w:r>
              <w:rPr>
                <w:rFonts w:ascii="宋体" w:hAnsi="宋体"/>
                <w:b w:val="0"/>
                <w:i w:val="0"/>
                <w:sz w:val="18"/>
              </w:rPr>
              <w:t>高（自然语言推理）</w:t>
            </w:r>
          </w:p>
        </w:tc>
      </w:tr>
      <w:tr>
        <w:tc>
          <w:tcPr>
            <w:tcW w:type="dxa" w:w="2878"/>
          </w:tcPr>
          <w:p>
            <w:pPr>
              <w:jc w:val="left"/>
            </w:pPr>
            <w:r>
              <w:rPr>
                <w:rFonts w:ascii="宋体" w:hAnsi="宋体"/>
              </w:rPr>
            </w:r>
            <w:r>
              <w:rPr>
                <w:rFonts w:ascii="宋体" w:hAnsi="宋体"/>
                <w:b w:val="0"/>
                <w:i w:val="0"/>
                <w:sz w:val="18"/>
              </w:rPr>
              <w:t>行为真实性</w:t>
            </w:r>
          </w:p>
        </w:tc>
        <w:tc>
          <w:tcPr>
            <w:tcW w:type="dxa" w:w="2878"/>
          </w:tcPr>
          <w:p>
            <w:pPr>
              <w:jc w:val="left"/>
            </w:pPr>
            <w:r>
              <w:rPr>
                <w:rFonts w:ascii="宋体" w:hAnsi="宋体"/>
              </w:rPr>
            </w:r>
            <w:r>
              <w:rPr>
                <w:rFonts w:ascii="宋体" w:hAnsi="宋体"/>
                <w:b w:val="0"/>
                <w:i w:val="0"/>
                <w:sz w:val="18"/>
              </w:rPr>
              <w:t>依赖规则设计质量</w:t>
            </w:r>
          </w:p>
        </w:tc>
        <w:tc>
          <w:tcPr>
            <w:tcW w:type="dxa" w:w="2878"/>
          </w:tcPr>
          <w:p>
            <w:pPr>
              <w:jc w:val="left"/>
            </w:pPr>
            <w:r>
              <w:rPr>
                <w:rFonts w:ascii="宋体" w:hAnsi="宋体"/>
              </w:rPr>
            </w:r>
            <w:r>
              <w:rPr>
                <w:rFonts w:ascii="宋体" w:hAnsi="宋体"/>
                <w:b w:val="0"/>
                <w:i w:val="0"/>
                <w:sz w:val="18"/>
              </w:rPr>
              <w:t>基于大规模人类行为学习</w:t>
            </w:r>
          </w:p>
        </w:tc>
      </w:tr>
      <w:tr>
        <w:tc>
          <w:tcPr>
            <w:tcW w:type="dxa" w:w="2878"/>
          </w:tcPr>
          <w:p>
            <w:pPr>
              <w:jc w:val="left"/>
            </w:pPr>
            <w:r>
              <w:rPr>
                <w:rFonts w:ascii="宋体" w:hAnsi="宋体"/>
              </w:rPr>
            </w:r>
            <w:r>
              <w:rPr>
                <w:rFonts w:ascii="宋体" w:hAnsi="宋体"/>
                <w:b w:val="0"/>
                <w:i w:val="0"/>
                <w:sz w:val="18"/>
              </w:rPr>
              <w:t>参数可控性</w:t>
            </w:r>
          </w:p>
        </w:tc>
        <w:tc>
          <w:tcPr>
            <w:tcW w:type="dxa" w:w="2878"/>
          </w:tcPr>
          <w:p>
            <w:pPr>
              <w:jc w:val="left"/>
            </w:pPr>
            <w:r>
              <w:rPr>
                <w:rFonts w:ascii="宋体" w:hAnsi="宋体"/>
              </w:rPr>
            </w:r>
            <w:r>
              <w:rPr>
                <w:rFonts w:ascii="宋体" w:hAnsi="宋体"/>
                <w:b w:val="0"/>
                <w:i w:val="0"/>
                <w:sz w:val="18"/>
              </w:rPr>
              <w:t>高（精确参数化）</w:t>
            </w:r>
          </w:p>
        </w:tc>
        <w:tc>
          <w:tcPr>
            <w:tcW w:type="dxa" w:w="2878"/>
          </w:tcPr>
          <w:p>
            <w:pPr>
              <w:jc w:val="left"/>
            </w:pPr>
            <w:r>
              <w:rPr>
                <w:rFonts w:ascii="宋体" w:hAnsi="宋体"/>
              </w:rPr>
            </w:r>
            <w:r>
              <w:rPr>
                <w:rFonts w:ascii="宋体" w:hAnsi="宋体"/>
                <w:b w:val="0"/>
                <w:i w:val="0"/>
                <w:sz w:val="18"/>
              </w:rPr>
              <w:t>低（提示词控制，行为不确定性大）</w:t>
            </w:r>
          </w:p>
        </w:tc>
      </w:tr>
      <w:tr>
        <w:tc>
          <w:tcPr>
            <w:tcW w:type="dxa" w:w="2878"/>
          </w:tcPr>
          <w:p>
            <w:pPr>
              <w:jc w:val="left"/>
            </w:pPr>
            <w:r>
              <w:rPr>
                <w:rFonts w:ascii="宋体" w:hAnsi="宋体"/>
              </w:rPr>
            </w:r>
            <w:r>
              <w:rPr>
                <w:rFonts w:ascii="宋体" w:hAnsi="宋体"/>
                <w:b w:val="0"/>
                <w:i w:val="0"/>
                <w:sz w:val="18"/>
              </w:rPr>
              <w:t>可重复性</w:t>
            </w:r>
          </w:p>
        </w:tc>
        <w:tc>
          <w:tcPr>
            <w:tcW w:type="dxa" w:w="2878"/>
          </w:tcPr>
          <w:p>
            <w:pPr>
              <w:jc w:val="left"/>
            </w:pPr>
            <w:r>
              <w:rPr>
                <w:rFonts w:ascii="宋体" w:hAnsi="宋体"/>
              </w:rPr>
            </w:r>
            <w:r>
              <w:rPr>
                <w:rFonts w:ascii="宋体" w:hAnsi="宋体"/>
                <w:b w:val="0"/>
                <w:i w:val="0"/>
                <w:sz w:val="18"/>
              </w:rPr>
              <w:t>高（给定随机种子可精确复现）</w:t>
            </w:r>
          </w:p>
        </w:tc>
        <w:tc>
          <w:tcPr>
            <w:tcW w:type="dxa" w:w="2878"/>
          </w:tcPr>
          <w:p>
            <w:pPr>
              <w:jc w:val="left"/>
            </w:pPr>
            <w:r>
              <w:rPr>
                <w:rFonts w:ascii="宋体" w:hAnsi="宋体"/>
              </w:rPr>
            </w:r>
            <w:r>
              <w:rPr>
                <w:rFonts w:ascii="宋体" w:hAnsi="宋体"/>
                <w:b w:val="0"/>
                <w:i w:val="0"/>
                <w:sz w:val="18"/>
              </w:rPr>
              <w:t>低（LLM输出具有随机性）</w:t>
            </w:r>
          </w:p>
        </w:tc>
      </w:tr>
      <w:tr>
        <w:tc>
          <w:tcPr>
            <w:tcW w:type="dxa" w:w="2878"/>
          </w:tcPr>
          <w:p>
            <w:pPr>
              <w:jc w:val="left"/>
            </w:pPr>
            <w:r>
              <w:rPr>
                <w:rFonts w:ascii="宋体" w:hAnsi="宋体"/>
              </w:rPr>
            </w:r>
            <w:r>
              <w:rPr>
                <w:rFonts w:ascii="宋体" w:hAnsi="宋体"/>
                <w:b w:val="0"/>
                <w:i w:val="0"/>
                <w:sz w:val="18"/>
              </w:rPr>
              <w:t>规模化能力</w:t>
            </w:r>
          </w:p>
        </w:tc>
        <w:tc>
          <w:tcPr>
            <w:tcW w:type="dxa" w:w="2878"/>
          </w:tcPr>
          <w:p>
            <w:pPr>
              <w:jc w:val="left"/>
            </w:pPr>
            <w:r>
              <w:rPr>
                <w:rFonts w:ascii="宋体" w:hAnsi="宋体"/>
              </w:rPr>
            </w:r>
            <w:r>
              <w:rPr>
                <w:rFonts w:ascii="宋体" w:hAnsi="宋体"/>
                <w:b w:val="0"/>
                <w:i w:val="0"/>
                <w:sz w:val="18"/>
              </w:rPr>
              <w:t>高（可模拟百万智能体）</w:t>
            </w:r>
          </w:p>
        </w:tc>
        <w:tc>
          <w:tcPr>
            <w:tcW w:type="dxa" w:w="2878"/>
          </w:tcPr>
          <w:p>
            <w:pPr>
              <w:jc w:val="left"/>
            </w:pPr>
            <w:r>
              <w:rPr>
                <w:rFonts w:ascii="宋体" w:hAnsi="宋体"/>
              </w:rPr>
            </w:r>
            <w:r>
              <w:rPr>
                <w:rFonts w:ascii="宋体" w:hAnsi="宋体"/>
                <w:b w:val="0"/>
                <w:i w:val="0"/>
                <w:sz w:val="18"/>
              </w:rPr>
              <w:t>低（受LLM推理成本限制）</w:t>
            </w:r>
          </w:p>
        </w:tc>
      </w:tr>
      <w:tr>
        <w:tc>
          <w:tcPr>
            <w:tcW w:type="dxa" w:w="2878"/>
          </w:tcPr>
          <w:p>
            <w:pPr>
              <w:jc w:val="left"/>
            </w:pPr>
            <w:r>
              <w:rPr>
                <w:rFonts w:ascii="宋体" w:hAnsi="宋体"/>
              </w:rPr>
            </w:r>
            <w:r>
              <w:rPr>
                <w:rFonts w:ascii="宋体" w:hAnsi="宋体"/>
                <w:b w:val="0"/>
                <w:i w:val="0"/>
                <w:sz w:val="18"/>
              </w:rPr>
              <w:t>语言与创意能力</w:t>
            </w:r>
          </w:p>
        </w:tc>
        <w:tc>
          <w:tcPr>
            <w:tcW w:type="dxa" w:w="2878"/>
          </w:tcPr>
          <w:p>
            <w:pPr>
              <w:jc w:val="left"/>
            </w:pPr>
            <w:r>
              <w:rPr>
                <w:rFonts w:ascii="宋体" w:hAnsi="宋体"/>
              </w:rPr>
            </w:r>
            <w:r>
              <w:rPr>
                <w:rFonts w:ascii="宋体" w:hAnsi="宋体"/>
                <w:b w:val="0"/>
                <w:i w:val="0"/>
                <w:sz w:val="18"/>
              </w:rPr>
              <w:t>无</w:t>
            </w:r>
          </w:p>
        </w:tc>
        <w:tc>
          <w:tcPr>
            <w:tcW w:type="dxa" w:w="2878"/>
          </w:tcPr>
          <w:p>
            <w:pPr>
              <w:jc w:val="left"/>
            </w:pPr>
            <w:r>
              <w:rPr>
                <w:rFonts w:ascii="宋体" w:hAnsi="宋体"/>
              </w:rPr>
            </w:r>
            <w:r>
              <w:rPr>
                <w:rFonts w:ascii="宋体" w:hAnsi="宋体"/>
                <w:b w:val="0"/>
                <w:i w:val="0"/>
                <w:sz w:val="18"/>
              </w:rPr>
              <w:t>强</w:t>
            </w:r>
          </w:p>
        </w:tc>
      </w:tr>
      <w:tr>
        <w:tc>
          <w:tcPr>
            <w:tcW w:type="dxa" w:w="2878"/>
          </w:tcPr>
          <w:p>
            <w:pPr>
              <w:jc w:val="left"/>
            </w:pPr>
            <w:r>
              <w:rPr>
                <w:rFonts w:ascii="宋体" w:hAnsi="宋体"/>
              </w:rPr>
            </w:r>
            <w:r>
              <w:rPr>
                <w:rFonts w:ascii="宋体" w:hAnsi="宋体"/>
                <w:b w:val="0"/>
                <w:i w:val="0"/>
                <w:sz w:val="18"/>
              </w:rPr>
              <w:t>工具使用能力</w:t>
            </w:r>
          </w:p>
        </w:tc>
        <w:tc>
          <w:tcPr>
            <w:tcW w:type="dxa" w:w="2878"/>
          </w:tcPr>
          <w:p>
            <w:pPr>
              <w:jc w:val="left"/>
            </w:pPr>
            <w:r>
              <w:rPr>
                <w:rFonts w:ascii="宋体" w:hAnsi="宋体"/>
              </w:rPr>
            </w:r>
            <w:r>
              <w:rPr>
                <w:rFonts w:ascii="宋体" w:hAnsi="宋体"/>
                <w:b w:val="0"/>
                <w:i w:val="0"/>
                <w:sz w:val="18"/>
              </w:rPr>
              <w:t>无</w:t>
            </w:r>
          </w:p>
        </w:tc>
        <w:tc>
          <w:tcPr>
            <w:tcW w:type="dxa" w:w="2878"/>
          </w:tcPr>
          <w:p>
            <w:pPr>
              <w:jc w:val="left"/>
            </w:pPr>
            <w:r>
              <w:rPr>
                <w:rFonts w:ascii="宋体" w:hAnsi="宋体"/>
              </w:rPr>
            </w:r>
            <w:r>
              <w:rPr>
                <w:rFonts w:ascii="宋体" w:hAnsi="宋体"/>
                <w:b w:val="0"/>
                <w:i w:val="0"/>
                <w:sz w:val="18"/>
              </w:rPr>
              <w:t>强（API调用、代码执行）</w:t>
            </w:r>
          </w:p>
        </w:tc>
      </w:tr>
      <w:tr>
        <w:tc>
          <w:tcPr>
            <w:tcW w:type="dxa" w:w="2878"/>
          </w:tcPr>
          <w:p>
            <w:pPr>
              <w:jc w:val="left"/>
            </w:pPr>
            <w:r>
              <w:rPr>
                <w:rFonts w:ascii="宋体" w:hAnsi="宋体"/>
              </w:rPr>
            </w:r>
            <w:r>
              <w:rPr>
                <w:rFonts w:ascii="宋体" w:hAnsi="宋体"/>
                <w:b w:val="0"/>
                <w:i w:val="0"/>
                <w:sz w:val="18"/>
              </w:rPr>
              <w:t>计算成本</w:t>
            </w:r>
          </w:p>
        </w:tc>
        <w:tc>
          <w:tcPr>
            <w:tcW w:type="dxa" w:w="2878"/>
          </w:tcPr>
          <w:p>
            <w:pPr>
              <w:jc w:val="left"/>
            </w:pPr>
            <w:r>
              <w:rPr>
                <w:rFonts w:ascii="宋体" w:hAnsi="宋体"/>
              </w:rPr>
            </w:r>
            <w:r>
              <w:rPr>
                <w:rFonts w:ascii="宋体" w:hAnsi="宋体"/>
                <w:b w:val="0"/>
                <w:i w:val="0"/>
                <w:sz w:val="18"/>
              </w:rPr>
              <w:t>低</w:t>
            </w:r>
          </w:p>
        </w:tc>
        <w:tc>
          <w:tcPr>
            <w:tcW w:type="dxa" w:w="2878"/>
          </w:tcPr>
          <w:p>
            <w:pPr>
              <w:jc w:val="left"/>
            </w:pPr>
            <w:r>
              <w:rPr>
                <w:rFonts w:ascii="宋体" w:hAnsi="宋体"/>
              </w:rPr>
            </w:r>
            <w:r>
              <w:rPr>
                <w:rFonts w:ascii="宋体" w:hAnsi="宋体"/>
                <w:b w:val="0"/>
                <w:i w:val="0"/>
                <w:sz w:val="18"/>
              </w:rPr>
              <w:t>高</w:t>
            </w:r>
          </w:p>
        </w:tc>
      </w:tr>
      <w:tr>
        <w:tc>
          <w:tcPr>
            <w:tcW w:type="dxa" w:w="2878"/>
          </w:tcPr>
          <w:p>
            <w:pPr>
              <w:jc w:val="left"/>
            </w:pPr>
            <w:r>
              <w:rPr>
                <w:rFonts w:ascii="宋体" w:hAnsi="宋体"/>
              </w:rPr>
            </w:r>
            <w:r>
              <w:rPr>
                <w:rFonts w:ascii="宋体" w:hAnsi="宋体"/>
                <w:b w:val="0"/>
                <w:i w:val="0"/>
                <w:sz w:val="18"/>
              </w:rPr>
              <w:t>典型应用场景</w:t>
            </w:r>
          </w:p>
        </w:tc>
        <w:tc>
          <w:tcPr>
            <w:tcW w:type="dxa" w:w="2878"/>
          </w:tcPr>
          <w:p>
            <w:pPr>
              <w:jc w:val="left"/>
            </w:pPr>
            <w:r>
              <w:rPr>
                <w:rFonts w:ascii="宋体" w:hAnsi="宋体"/>
              </w:rPr>
            </w:r>
            <w:r>
              <w:rPr>
                <w:rFonts w:ascii="宋体" w:hAnsi="宋体"/>
                <w:b w:val="0"/>
                <w:i w:val="0"/>
                <w:sz w:val="18"/>
              </w:rPr>
              <w:t>扩散仿真、竞争博弈</w:t>
            </w:r>
          </w:p>
        </w:tc>
        <w:tc>
          <w:tcPr>
            <w:tcW w:type="dxa" w:w="2878"/>
          </w:tcPr>
          <w:p>
            <w:pPr>
              <w:jc w:val="left"/>
            </w:pPr>
            <w:r>
              <w:rPr>
                <w:rFonts w:ascii="宋体" w:hAnsi="宋体"/>
              </w:rPr>
            </w:r>
            <w:r>
              <w:rPr>
                <w:rFonts w:ascii="宋体" w:hAnsi="宋体"/>
                <w:b w:val="0"/>
                <w:i w:val="0"/>
                <w:sz w:val="18"/>
              </w:rPr>
              <w:t>任务自动化、消费者模拟</w:t>
            </w:r>
          </w:p>
        </w:tc>
      </w:tr>
      <w:tr>
        <w:tc>
          <w:tcPr>
            <w:tcW w:type="dxa" w:w="2878"/>
          </w:tcPr>
          <w:p>
            <w:pPr>
              <w:jc w:val="left"/>
            </w:pPr>
            <w:r>
              <w:rPr>
                <w:rFonts w:ascii="宋体" w:hAnsi="宋体"/>
              </w:rPr>
            </w:r>
            <w:r>
              <w:rPr>
                <w:rFonts w:ascii="宋体" w:hAnsi="宋体"/>
                <w:b w:val="0"/>
                <w:i w:val="0"/>
                <w:sz w:val="18"/>
              </w:rPr>
              <w:t>成熟度</w:t>
            </w:r>
          </w:p>
        </w:tc>
        <w:tc>
          <w:tcPr>
            <w:tcW w:type="dxa" w:w="2878"/>
          </w:tcPr>
          <w:p>
            <w:pPr>
              <w:jc w:val="left"/>
            </w:pPr>
            <w:r>
              <w:rPr>
                <w:rFonts w:ascii="宋体" w:hAnsi="宋体"/>
              </w:rPr>
            </w:r>
            <w:r>
              <w:rPr>
                <w:rFonts w:ascii="宋体" w:hAnsi="宋体"/>
                <w:b w:val="0"/>
                <w:i w:val="0"/>
                <w:sz w:val="18"/>
              </w:rPr>
              <w:t>高（20+年研究积累）</w:t>
            </w:r>
          </w:p>
        </w:tc>
        <w:tc>
          <w:tcPr>
            <w:tcW w:type="dxa" w:w="2878"/>
          </w:tcPr>
          <w:p>
            <w:pPr>
              <w:jc w:val="left"/>
            </w:pPr>
            <w:r>
              <w:rPr>
                <w:rFonts w:ascii="宋体" w:hAnsi="宋体"/>
              </w:rPr>
            </w:r>
            <w:r>
              <w:rPr>
                <w:rFonts w:ascii="宋体" w:hAnsi="宋体"/>
                <w:b w:val="0"/>
                <w:i w:val="0"/>
                <w:sz w:val="18"/>
              </w:rPr>
              <w:t>低（2023年起步）</w:t>
            </w:r>
          </w:p>
        </w:tc>
      </w:tr>
    </w:tbl>
    <w:p/>
    <w:p>
      <w:pPr>
        <w:pStyle w:val="Heading3"/>
      </w:pPr>
      <w:r>
        <w:rPr>
          <w:rFonts w:ascii="黑体" w:hAnsi="黑体"/>
          <w:b/>
          <w:i w:val="0"/>
          <w:color w:val="000000"/>
          <w:sz w:val="26"/>
        </w:rPr>
        <w:t>8.1 ABM的验证与标定</w:t>
      </w:r>
    </w:p>
    <w:p>
      <w:pPr>
        <w:spacing w:line="360" w:lineRule="auto"/>
        <w:ind w:firstLine="480"/>
      </w:pPr>
      <w:r>
        <w:rPr>
          <w:rFonts w:ascii="宋体" w:hAnsi="宋体"/>
          <w:b w:val="0"/>
          <w:i w:val="0"/>
          <w:sz w:val="24"/>
        </w:rPr>
        <w:t>ABM的有效性取决于模型能否准确再现观察到的市场现象。Windrum等人（2007）总结了ABM验证的三个层次：（1）</w:t>
      </w:r>
      <w:r>
        <w:rPr>
          <w:rFonts w:ascii="宋体" w:hAnsi="宋体"/>
          <w:b/>
          <w:i w:val="0"/>
          <w:sz w:val="24"/>
        </w:rPr>
        <w:t>微观验证</w:t>
      </w:r>
      <w:r>
        <w:rPr>
          <w:rFonts w:ascii="宋体" w:hAnsi="宋体"/>
          <w:b w:val="0"/>
          <w:i w:val="0"/>
          <w:sz w:val="24"/>
        </w:rPr>
        <w:t>——个体智能体的行为规则是否具有经验基础；（2）</w:t>
      </w:r>
      <w:r>
        <w:rPr>
          <w:rFonts w:ascii="宋体" w:hAnsi="宋体"/>
          <w:b/>
          <w:i w:val="0"/>
          <w:sz w:val="24"/>
        </w:rPr>
        <w:t>宏观验证</w:t>
      </w:r>
      <w:r>
        <w:rPr>
          <w:rFonts w:ascii="宋体" w:hAnsi="宋体"/>
          <w:b w:val="0"/>
          <w:i w:val="0"/>
          <w:sz w:val="24"/>
        </w:rPr>
        <w:t>——模型输出的宏观模式是否与真实数据吻合；（3）</w:t>
      </w:r>
      <w:r>
        <w:rPr>
          <w:rFonts w:ascii="宋体" w:hAnsi="宋体"/>
          <w:b/>
          <w:i w:val="0"/>
          <w:sz w:val="24"/>
        </w:rPr>
        <w:t>机制验证</w:t>
      </w:r>
      <w:r>
        <w:rPr>
          <w:rFonts w:ascii="宋体" w:hAnsi="宋体"/>
          <w:b w:val="0"/>
          <w:i w:val="0"/>
          <w:sz w:val="24"/>
        </w:rPr>
        <w:t>——模型中的因果机制是否合理。</w:t>
      </w:r>
    </w:p>
    <w:p>
      <w:pPr>
        <w:spacing w:line="360" w:lineRule="auto"/>
        <w:ind w:firstLine="480"/>
      </w:pPr>
      <w:r>
        <w:rPr>
          <w:rFonts w:ascii="宋体" w:hAnsi="宋体"/>
          <w:b w:val="0"/>
          <w:i w:val="0"/>
          <w:sz w:val="24"/>
        </w:rPr>
        <w:t>为提高ABM的可复现性和科学严谨性，Grimm等人（2006, 2020）提出了ODD协议（Overview, Design concepts, Details），为描述ABM提供了标准化的框架。ODD协议要求研究者系统地说明模型的目的、状态变量、过程概述、设计概念（如涌现、适应、感知）和实现细节，已成为ABM文献中的通用描述标准。营销研究中的ABM同样应遵循这一协议，以提高模型的透明度和可复现性。</w:t>
      </w:r>
    </w:p>
    <w:p>
      <w:pPr>
        <w:spacing w:line="360" w:lineRule="auto"/>
        <w:ind w:firstLine="480"/>
      </w:pPr>
      <w:r>
        <w:rPr>
          <w:rFonts w:ascii="宋体" w:hAnsi="宋体"/>
          <w:b/>
          <w:i w:val="0"/>
          <w:sz w:val="24"/>
        </w:rPr>
        <w:t>实证标定</w:t>
      </w:r>
      <w:r>
        <w:rPr>
          <w:rFonts w:ascii="宋体" w:hAnsi="宋体"/>
          <w:b w:val="0"/>
          <w:i w:val="0"/>
          <w:sz w:val="24"/>
        </w:rPr>
        <w:t>（Empirical Calibration）是将ABM从理论探索工具转变为预测工具的关键步骤。Grazzini和Richiardi（2015）提出了基于模拟最小距离的参数估计方法。Janssen和Ostrom（2006）强调了将经验数据系统地嵌入ABM的重要性。近年来，Approximate Bayesian Computation（ABC）方法被越来越多地用于ABM的参数估计，为ABM提供了更加严格的统计推断框架。Lee等人（2015）则针对ABM输出分析的复杂性——包括随机性、非线性和多模态性——提出了系统化的分析方法论。</w:t>
      </w:r>
    </w:p>
    <w:p>
      <w:pPr>
        <w:pStyle w:val="Heading3"/>
      </w:pPr>
      <w:r>
        <w:rPr>
          <w:rFonts w:ascii="黑体" w:hAnsi="黑体"/>
          <w:b/>
          <w:i w:val="0"/>
          <w:color w:val="000000"/>
          <w:sz w:val="26"/>
        </w:rPr>
        <w:t>8.2 LLM多智能体系统的评估</w:t>
      </w:r>
    </w:p>
    <w:p>
      <w:pPr>
        <w:spacing w:line="360" w:lineRule="auto"/>
        <w:ind w:firstLine="480"/>
      </w:pPr>
      <w:r>
        <w:rPr>
          <w:rFonts w:ascii="宋体" w:hAnsi="宋体"/>
          <w:b w:val="0"/>
          <w:i w:val="0"/>
          <w:sz w:val="24"/>
        </w:rPr>
        <w:t>LLM多智能体营销系统的评估面临特殊挑战：输出通常是自然语言文本（如营销策略报告、广告文案），难以用传统的数值指标完全衡量。</w:t>
      </w:r>
    </w:p>
    <w:p>
      <w:pPr>
        <w:spacing w:line="360" w:lineRule="auto"/>
        <w:ind w:firstLine="480"/>
      </w:pPr>
      <w:r>
        <w:rPr>
          <w:rFonts w:ascii="宋体" w:hAnsi="宋体"/>
          <w:b w:val="0"/>
          <w:i w:val="0"/>
          <w:sz w:val="24"/>
        </w:rPr>
        <w:t>当前的评估方法包括：（1）</w:t>
      </w:r>
      <w:r>
        <w:rPr>
          <w:rFonts w:ascii="宋体" w:hAnsi="宋体"/>
          <w:b/>
          <w:i w:val="0"/>
          <w:sz w:val="24"/>
        </w:rPr>
        <w:t>任务完成度</w:t>
      </w:r>
      <w:r>
        <w:rPr>
          <w:rFonts w:ascii="宋体" w:hAnsi="宋体"/>
          <w:b w:val="0"/>
          <w:i w:val="0"/>
          <w:sz w:val="24"/>
        </w:rPr>
        <w:t>——评估系统是否成功完成了指定的营销任务（如生成了符合要求的广告方案）；（2）</w:t>
      </w:r>
      <w:r>
        <w:rPr>
          <w:rFonts w:ascii="宋体" w:hAnsi="宋体"/>
          <w:b/>
          <w:i w:val="0"/>
          <w:sz w:val="24"/>
        </w:rPr>
        <w:t>输出质量评估</w:t>
      </w:r>
      <w:r>
        <w:rPr>
          <w:rFonts w:ascii="宋体" w:hAnsi="宋体"/>
          <w:b w:val="0"/>
          <w:i w:val="0"/>
          <w:sz w:val="24"/>
        </w:rPr>
        <w:t>——通过人类专家评审或自动化指标（如LLM-as-Judge）评估内容的创意性、相关性和准确性（Zheng et al., 2023）；（3）</w:t>
      </w:r>
      <w:r>
        <w:rPr>
          <w:rFonts w:ascii="宋体" w:hAnsi="宋体"/>
          <w:b/>
          <w:i w:val="0"/>
          <w:sz w:val="24"/>
        </w:rPr>
        <w:t>协作效率</w:t>
      </w:r>
      <w:r>
        <w:rPr>
          <w:rFonts w:ascii="宋体" w:hAnsi="宋体"/>
          <w:b w:val="0"/>
          <w:i w:val="0"/>
          <w:sz w:val="24"/>
        </w:rPr>
        <w:t>——衡量多智能体协作相比单一智能体或人类团队在时间、成本和质量方面的效率提升；（4）</w:t>
      </w:r>
      <w:r>
        <w:rPr>
          <w:rFonts w:ascii="宋体" w:hAnsi="宋体"/>
          <w:b/>
          <w:i w:val="0"/>
          <w:sz w:val="24"/>
        </w:rPr>
        <w:t>与人类基线对比</w:t>
      </w:r>
      <w:r>
        <w:rPr>
          <w:rFonts w:ascii="宋体" w:hAnsi="宋体"/>
          <w:b w:val="0"/>
          <w:i w:val="0"/>
          <w:sz w:val="24"/>
        </w:rPr>
        <w:t>——将AI智能体的输出与人类营销专家的输出进行盲评对比。</w:t>
      </w:r>
    </w:p>
    <w:p>
      <w:pPr>
        <w:spacing w:line="360" w:lineRule="auto"/>
        <w:ind w:firstLine="480"/>
      </w:pPr>
      <w:r>
        <w:rPr>
          <w:rFonts w:ascii="宋体" w:hAnsi="宋体"/>
          <w:b w:val="0"/>
          <w:i w:val="0"/>
          <w:sz w:val="24"/>
        </w:rPr>
        <w:t>Liu等人（2023）提出了AgentBench，一个用于评估LLM智能体在多种环境中任务执行能力的基准测试框架。Liang等人（2022）提出的HELM框架则为语言模型的整体能力评估提供了系统化方法。然而，营销领域尚缺乏针对性的评估基准，这是未来研究需要填补的重要空白。Sun等人（2024）提出的TrustLLM框架从可靠性、安全性、公平性和隐私四个维度评估LLM的可信度，为营销AI系统的信任评估提供了参考。</w:t>
      </w:r>
    </w:p>
    <w:p>
      <w:pPr>
        <w:pStyle w:val="Heading3"/>
      </w:pPr>
      <w:r>
        <w:rPr>
          <w:rFonts w:ascii="黑体" w:hAnsi="黑体"/>
          <w:b/>
          <w:i w:val="0"/>
          <w:color w:val="000000"/>
          <w:sz w:val="26"/>
        </w:rPr>
        <w:t>8.3 消费者模拟的保真度评估</w:t>
      </w:r>
    </w:p>
    <w:p>
      <w:pPr>
        <w:spacing w:line="360" w:lineRule="auto"/>
        <w:ind w:firstLine="480"/>
      </w:pPr>
      <w:r>
        <w:rPr>
          <w:rFonts w:ascii="宋体" w:hAnsi="宋体"/>
          <w:b w:val="0"/>
          <w:i w:val="0"/>
          <w:sz w:val="24"/>
        </w:rPr>
        <w:t>对于使用LLM模拟消费者行为的应用，评估的核心问题是模拟的"保真度"——LLM消费者在多大程度上能够忠实地代表真实消费者的决策行为。</w:t>
      </w:r>
    </w:p>
    <w:p>
      <w:pPr>
        <w:spacing w:line="360" w:lineRule="auto"/>
        <w:ind w:firstLine="480"/>
      </w:pPr>
      <w:r>
        <w:rPr>
          <w:rFonts w:ascii="宋体" w:hAnsi="宋体"/>
          <w:b w:val="0"/>
          <w:i w:val="0"/>
          <w:sz w:val="24"/>
        </w:rPr>
        <w:t>Argyle等人（2023）提出了"算法忠实度"的评估框架，通过比较LLM模拟群体和真实人类群体在态度、偏好和行为分布上的统计相似性来衡量模拟质量。Brand等人（2023）则通过复现经典的行为经济学实验来检验LLM是否表现出与人类一致的决策偏差。这些研究表明，LLM消费者模拟在群体层面的统计分布上可以达到较好的近似，但在个体层面的行为预测上仍存在显著局限。Nianogo和Arah（2015）针对健康行为ABM提出的系统验证方法论为营销领域的模拟验证提供了有价值的方法论借鉴——包括模式验证（Pattern-Oriented Modeling）和多准则校准等技术。</w:t>
      </w:r>
    </w:p>
    <w:p>
      <w:pPr>
        <w:pStyle w:val="Heading2"/>
      </w:pPr>
      <w:r>
        <w:rPr>
          <w:rFonts w:ascii="黑体" w:hAnsi="黑体"/>
          <w:b/>
          <w:i w:val="0"/>
          <w:color w:val="000000"/>
          <w:sz w:val="30"/>
        </w:rPr>
        <w:t>9 关键挑战与伦理问题</w:t>
      </w:r>
    </w:p>
    <w:p>
      <w:pPr>
        <w:pStyle w:val="Heading3"/>
      </w:pPr>
      <w:r>
        <w:rPr>
          <w:rFonts w:ascii="黑体" w:hAnsi="黑体"/>
          <w:b/>
          <w:i w:val="0"/>
          <w:color w:val="000000"/>
          <w:sz w:val="26"/>
        </w:rPr>
        <w:t>9.1 技术挑战</w:t>
      </w:r>
    </w:p>
    <w:p>
      <w:pPr>
        <w:spacing w:line="360" w:lineRule="auto"/>
        <w:ind w:firstLine="480"/>
      </w:pPr>
      <w:r>
        <w:rPr>
          <w:rFonts w:ascii="宋体" w:hAnsi="宋体"/>
          <w:b/>
          <w:i w:val="0"/>
          <w:sz w:val="24"/>
        </w:rPr>
        <w:t>幻觉与事实准确性</w:t>
      </w:r>
      <w:r>
        <w:rPr>
          <w:rFonts w:ascii="宋体" w:hAnsi="宋体"/>
          <w:b w:val="0"/>
          <w:i w:val="0"/>
          <w:sz w:val="24"/>
        </w:rPr>
        <w:t>：LLM智能体可能生成看似合理但实际错误的信息（"幻觉"），这在营销分析中尤为危险——基于虚假市场数据或错误消费者洞察制定的营销策略可能导致严重的商业损失。Ji等人（2023）的综述系统梳理了LLM幻觉的类型、成因和缓解策略。多智能体协作中的交叉验证和事实核查机制（如设置专门的"事实核查智能体"来验证其他智能体的输出）可以部分缓解这一问题，但并不能完全消除。</w:t>
      </w:r>
    </w:p>
    <w:p>
      <w:pPr>
        <w:spacing w:line="360" w:lineRule="auto"/>
        <w:ind w:firstLine="480"/>
      </w:pPr>
      <w:r>
        <w:rPr>
          <w:rFonts w:ascii="宋体" w:hAnsi="宋体"/>
          <w:b/>
          <w:i w:val="0"/>
          <w:sz w:val="24"/>
        </w:rPr>
        <w:t>可控性与一致性</w:t>
      </w:r>
      <w:r>
        <w:rPr>
          <w:rFonts w:ascii="宋体" w:hAnsi="宋体"/>
          <w:b w:val="0"/>
          <w:i w:val="0"/>
          <w:sz w:val="24"/>
        </w:rPr>
        <w:t>：在多智能体系统中，确保所有智能体的行为与品牌价值观、法律法规和企业政策一致是一个挑战。当智能体数量增多、交互复杂度提升时，系统行为的可预测性降低，出现"失控"（如生成不当内容或做出不合理决策）的风险随之增加。</w:t>
      </w:r>
    </w:p>
    <w:p>
      <w:pPr>
        <w:spacing w:line="360" w:lineRule="auto"/>
        <w:ind w:firstLine="480"/>
      </w:pPr>
      <w:r>
        <w:rPr>
          <w:rFonts w:ascii="宋体" w:hAnsi="宋体"/>
          <w:b/>
          <w:i w:val="0"/>
          <w:sz w:val="24"/>
        </w:rPr>
        <w:t>计算成本与规模化</w:t>
      </w:r>
      <w:r>
        <w:rPr>
          <w:rFonts w:ascii="宋体" w:hAnsi="宋体"/>
          <w:b w:val="0"/>
          <w:i w:val="0"/>
          <w:sz w:val="24"/>
        </w:rPr>
        <w:t>：LLM多智能体系统的运行涉及大量的LLM推理调用，计算成本显著高于传统方法。当多个智能体进行多轮对话协作时，token消耗量迅速增长，这对系统的经济可行性构成制约。如何在协作深度和成本效率之间取得平衡是一个工程实践层面的关键问题。相比之下，传统ABM的计算成本较低，可以模拟百万级的智能体——这种规模化能力是LLM多智能体目前无法企及的。</w:t>
      </w:r>
    </w:p>
    <w:p>
      <w:pPr>
        <w:spacing w:line="360" w:lineRule="auto"/>
        <w:ind w:firstLine="480"/>
      </w:pPr>
      <w:r>
        <w:rPr>
          <w:rFonts w:ascii="宋体" w:hAnsi="宋体"/>
          <w:b/>
          <w:i w:val="0"/>
          <w:sz w:val="24"/>
        </w:rPr>
        <w:t>ABM的标定困难</w:t>
      </w:r>
      <w:r>
        <w:rPr>
          <w:rFonts w:ascii="宋体" w:hAnsi="宋体"/>
          <w:b w:val="0"/>
          <w:i w:val="0"/>
          <w:sz w:val="24"/>
        </w:rPr>
        <w:t>：传统ABM面临的核心技术挑战是如何用真实数据标定模型参数。营销环境中的许多关键变量（如消费者社交影响力、品牌偏好形成过程）难以直接观测，导致ABM的参数空间大、标定数据少，模型的预测精度受到限制（Kiesling et al., 2012）。Squazzoni（2012）在其关于基于智能体的计算社会学著作中也强调了理论建模与经验验证之间的鸿沟是该领域的核心方法论挑战。</w:t>
      </w:r>
    </w:p>
    <w:p>
      <w:pPr>
        <w:pStyle w:val="Heading3"/>
      </w:pPr>
      <w:r>
        <w:rPr>
          <w:rFonts w:ascii="黑体" w:hAnsi="黑体"/>
          <w:b/>
          <w:i w:val="0"/>
          <w:color w:val="000000"/>
          <w:sz w:val="26"/>
        </w:rPr>
        <w:t>9.2 伦理与社会影响</w:t>
      </w:r>
    </w:p>
    <w:p>
      <w:pPr>
        <w:spacing w:line="360" w:lineRule="auto"/>
        <w:ind w:firstLine="480"/>
      </w:pPr>
      <w:r>
        <w:rPr>
          <w:rFonts w:ascii="宋体" w:hAnsi="宋体"/>
          <w:b/>
          <w:i w:val="0"/>
          <w:sz w:val="24"/>
        </w:rPr>
        <w:t>消费者操纵风险</w:t>
      </w:r>
      <w:r>
        <w:rPr>
          <w:rFonts w:ascii="宋体" w:hAnsi="宋体"/>
          <w:b w:val="0"/>
          <w:i w:val="0"/>
          <w:sz w:val="24"/>
        </w:rPr>
        <w:t>：具有说服能力的LLM营销智能体可能被设计为最大化转化率而忽视消费者福利。当AI智能体能够进行高度个性化和自适应的说服对话时，消费者可能在不自觉的情况下被引导做出非最优决策。Susser等人（2019）从技术自主权和操纵的角度对此进行了深入的哲学分析，指出AI系统通过利用认知偏差来影响消费者决策可能侵蚀消费者的自主选择权。</w:t>
      </w:r>
    </w:p>
    <w:p>
      <w:pPr>
        <w:spacing w:line="360" w:lineRule="auto"/>
        <w:ind w:firstLine="480"/>
      </w:pPr>
      <w:r>
        <w:rPr>
          <w:rFonts w:ascii="宋体" w:hAnsi="宋体"/>
          <w:b/>
          <w:i w:val="0"/>
          <w:sz w:val="24"/>
        </w:rPr>
        <w:t>算法合谋</w:t>
      </w:r>
      <w:r>
        <w:rPr>
          <w:rFonts w:ascii="宋体" w:hAnsi="宋体"/>
          <w:b w:val="0"/>
          <w:i w:val="0"/>
          <w:sz w:val="24"/>
        </w:rPr>
        <w:t>：如第5.2节所述，Calvano等人（2020）的研究证明，多个定价智能体可能通过独立学习自发形成合谋均衡，即使没有显式通信。这对依赖"意图"概念的现行反垄断法律框架构成根本性挑战，推动了学术界和监管机构对"算法共谋是否构成违法"这一问题的持续讨论。</w:t>
      </w:r>
    </w:p>
    <w:p>
      <w:pPr>
        <w:spacing w:line="360" w:lineRule="auto"/>
        <w:ind w:firstLine="480"/>
      </w:pPr>
      <w:r>
        <w:rPr>
          <w:rFonts w:ascii="宋体" w:hAnsi="宋体"/>
          <w:b/>
          <w:i w:val="0"/>
          <w:sz w:val="24"/>
        </w:rPr>
        <w:t>AI生成内容的真实性</w:t>
      </w:r>
      <w:r>
        <w:rPr>
          <w:rFonts w:ascii="宋体" w:hAnsi="宋体"/>
          <w:b w:val="0"/>
          <w:i w:val="0"/>
          <w:sz w:val="24"/>
        </w:rPr>
        <w:t>：当营销内容大量由AI智能体生成时，消费者可能难以区分人类创作内容和AI生成内容。Puntoni等人（2021）指出，消费者对AI在营销中的参与存在复杂的心理反应，这需要企业在AI透明度策略上做出审慎的平衡。</w:t>
      </w:r>
    </w:p>
    <w:p>
      <w:pPr>
        <w:spacing w:line="360" w:lineRule="auto"/>
        <w:ind w:firstLine="480"/>
      </w:pPr>
      <w:r>
        <w:rPr>
          <w:rFonts w:ascii="宋体" w:hAnsi="宋体"/>
          <w:b/>
          <w:i w:val="0"/>
          <w:sz w:val="24"/>
        </w:rPr>
        <w:t>模拟偏差与代表性</w:t>
      </w:r>
      <w:r>
        <w:rPr>
          <w:rFonts w:ascii="宋体" w:hAnsi="宋体"/>
          <w:b w:val="0"/>
          <w:i w:val="0"/>
          <w:sz w:val="24"/>
        </w:rPr>
        <w:t>：当LLM被用于模拟消费者行为时，模型内嵌的偏见可能导致对特定消费者群体的不准确或刻板化模拟。Argyle等人（2023）的研究表明，LLM可能过度反映训练数据中占主导地位的文化群体的行为模式，而对少数群体的模拟失真。这意味着基于LLM消费者模拟制定的营销策略可能系统性地忽视边缘化消费者群体的需求。</w:t>
      </w:r>
    </w:p>
    <w:p>
      <w:pPr>
        <w:pStyle w:val="Heading2"/>
      </w:pPr>
      <w:r>
        <w:rPr>
          <w:rFonts w:ascii="黑体" w:hAnsi="黑体"/>
          <w:b/>
          <w:i w:val="0"/>
          <w:color w:val="000000"/>
          <w:sz w:val="30"/>
        </w:rPr>
        <w:t>10 未来研究方向</w:t>
      </w:r>
    </w:p>
    <w:p>
      <w:pPr>
        <w:pStyle w:val="Heading3"/>
      </w:pPr>
      <w:r>
        <w:rPr>
          <w:rFonts w:ascii="黑体" w:hAnsi="黑体"/>
          <w:b/>
          <w:i w:val="0"/>
          <w:color w:val="000000"/>
          <w:sz w:val="26"/>
        </w:rPr>
        <w:t>10.1 ABM与LLM的融合</w:t>
      </w:r>
    </w:p>
    <w:p>
      <w:pPr>
        <w:spacing w:line="360" w:lineRule="auto"/>
        <w:ind w:firstLine="480"/>
      </w:pPr>
      <w:r>
        <w:rPr>
          <w:rFonts w:ascii="宋体" w:hAnsi="宋体"/>
          <w:b w:val="0"/>
          <w:i w:val="0"/>
          <w:sz w:val="24"/>
        </w:rPr>
        <w:t>传统ABM和LLM多智能体各有优势（见表2）：ABM提供了严格的仿真框架和参数化建模方法，LLM则赋予智能体以类人的认知和语言能力。两者的融合是一个极具前景的研究方向。</w:t>
      </w:r>
    </w:p>
    <w:p>
      <w:pPr>
        <w:spacing w:line="360" w:lineRule="auto"/>
        <w:ind w:firstLine="480"/>
      </w:pPr>
      <w:r>
        <w:rPr>
          <w:rFonts w:ascii="宋体" w:hAnsi="宋体"/>
          <w:b w:val="0"/>
          <w:i w:val="0"/>
          <w:sz w:val="24"/>
        </w:rPr>
        <w:t>具体而言，LLM可以作为ABM中智能体的"认知引擎"，替代传统的规则或简单学习算法来驱动智能体的决策过程。这种"LLM-augmented ABM"保留了ABM的仿真框架和可控性优势，同时利用LLM的灵活推理能力来产生更加真实的个体行为。Ghaffarzadegan等人（2024）探讨了将LLM融入计算社会科学模拟的方法论路径。Shao等人（2024）进一步提出了ABM与生成式AI融合的具体架构，包括利用LLM来自动生成和校准智能体行为规则，以及利用ABM框架来约束和验证LLM智能体的行为。Railsback和Grimm（2019）在ABM实践指南中提出的结构化建模方法论同样适用于指导这种融合系统的设计。</w:t>
      </w:r>
    </w:p>
    <w:p>
      <w:pPr>
        <w:pStyle w:val="Heading3"/>
      </w:pPr>
      <w:r>
        <w:rPr>
          <w:rFonts w:ascii="黑体" w:hAnsi="黑体"/>
          <w:b/>
          <w:i w:val="0"/>
          <w:color w:val="000000"/>
          <w:sz w:val="26"/>
        </w:rPr>
        <w:t>10.2 多智能体营销实验平台</w:t>
      </w:r>
    </w:p>
    <w:p>
      <w:pPr>
        <w:spacing w:line="360" w:lineRule="auto"/>
        <w:ind w:firstLine="480"/>
      </w:pPr>
      <w:r>
        <w:rPr>
          <w:rFonts w:ascii="宋体" w:hAnsi="宋体"/>
          <w:b w:val="0"/>
          <w:i w:val="0"/>
          <w:sz w:val="24"/>
        </w:rPr>
        <w:t>未来的研究可以构建专用的多智能体营销实验平台，支持以下功能：（1）快速创建具有不同人口统计特征和偏好的消费者智能体群体；（2）模拟不同的市场环境和竞争格局；（3）测试各种营销策略并评估其效果；（4）将模拟结果与真实A/B测试数据进行对标验证。</w:t>
      </w:r>
    </w:p>
    <w:p>
      <w:pPr>
        <w:spacing w:line="360" w:lineRule="auto"/>
        <w:ind w:firstLine="480"/>
      </w:pPr>
      <w:r>
        <w:rPr>
          <w:rFonts w:ascii="宋体" w:hAnsi="宋体"/>
          <w:b w:val="0"/>
          <w:i w:val="0"/>
          <w:sz w:val="24"/>
        </w:rPr>
        <w:t>这种平台可以作为营销决策的"数字孪生"（Digital Twin），使企业能够在虚拟环境中低成本、快速地测试和迭代营销策略，再将验证过的策略部署到真实市场。North和Macal（2007）在其关于ABM商业应用的著作中已经提出了类似的愿景，而LLM技术的加入使得这一愿景更加接近现实。</w:t>
      </w:r>
    </w:p>
    <w:p>
      <w:pPr>
        <w:pStyle w:val="Heading3"/>
      </w:pPr>
      <w:r>
        <w:rPr>
          <w:rFonts w:ascii="黑体" w:hAnsi="黑体"/>
          <w:b/>
          <w:i w:val="0"/>
          <w:color w:val="000000"/>
          <w:sz w:val="26"/>
        </w:rPr>
        <w:t>10.3 人机协作的营销智能体</w:t>
      </w:r>
    </w:p>
    <w:p>
      <w:pPr>
        <w:spacing w:line="360" w:lineRule="auto"/>
        <w:ind w:firstLine="480"/>
      </w:pPr>
      <w:r>
        <w:rPr>
          <w:rFonts w:ascii="宋体" w:hAnsi="宋体"/>
          <w:b w:val="0"/>
          <w:i w:val="0"/>
          <w:sz w:val="24"/>
        </w:rPr>
        <w:t>未来的多智能体营销系统不应追求完全自动化，而是应构建人机协作的工作模式。在这一模式中，AI智能体负责数据密集型和创意发散型的任务（如市场数据分析、内容初稿生成、广告变体测试），而人类营销专家负责战略决策、创意把关和伦理审核。</w:t>
      </w:r>
    </w:p>
    <w:p>
      <w:pPr>
        <w:spacing w:line="360" w:lineRule="auto"/>
        <w:ind w:firstLine="480"/>
      </w:pPr>
      <w:r>
        <w:rPr>
          <w:rFonts w:ascii="宋体" w:hAnsi="宋体"/>
          <w:b w:val="0"/>
          <w:i w:val="0"/>
          <w:sz w:val="24"/>
        </w:rPr>
        <w:t>关键的研究问题包括：（1）如何设计有效的人机交互界面，使营销人员能够直观地理解和控制多智能体系统的行为？（2）在什么任务和条件下，人机协作的效果优于纯人类团队或纯AI团队？（3）如何建立信任机制，使营销决策者愿意接受和采纳AI智能体的建议？</w:t>
      </w:r>
    </w:p>
    <w:p>
      <w:pPr>
        <w:pStyle w:val="Heading3"/>
      </w:pPr>
      <w:r>
        <w:rPr>
          <w:rFonts w:ascii="黑体" w:hAnsi="黑体"/>
          <w:b/>
          <w:i w:val="0"/>
          <w:color w:val="000000"/>
          <w:sz w:val="26"/>
        </w:rPr>
        <w:t>10.4 多智能体系统的可解释性与可审计性</w:t>
      </w:r>
    </w:p>
    <w:p>
      <w:pPr>
        <w:spacing w:line="360" w:lineRule="auto"/>
        <w:ind w:firstLine="480"/>
      </w:pPr>
      <w:r>
        <w:rPr>
          <w:rFonts w:ascii="宋体" w:hAnsi="宋体"/>
          <w:b w:val="0"/>
          <w:i w:val="0"/>
          <w:sz w:val="24"/>
        </w:rPr>
        <w:t>营销决策往往涉及重大的商业利益和伦理考量，因此多智能体系统的决策过程必须具有足够的可解释性和可审计性。</w:t>
      </w:r>
    </w:p>
    <w:p>
      <w:pPr>
        <w:spacing w:line="360" w:lineRule="auto"/>
        <w:ind w:firstLine="480"/>
      </w:pPr>
      <w:r>
        <w:rPr>
          <w:rFonts w:ascii="宋体" w:hAnsi="宋体"/>
          <w:b w:val="0"/>
          <w:i w:val="0"/>
          <w:sz w:val="24"/>
        </w:rPr>
        <w:t>未来的研究需要发展：（1）多智能体协作过程的可视化和追溯方法，使决策者能够理解最终输出是如何从各智能体的交互中产生的；（2）智能体行为的形式化验证方法，确保智能体的行为始终在预定义的安全边界内；（3）多智能体系统的审计框架，支持事后追责和合规检查。</w:t>
      </w:r>
    </w:p>
    <w:p>
      <w:pPr>
        <w:pStyle w:val="Heading3"/>
      </w:pPr>
      <w:r>
        <w:rPr>
          <w:rFonts w:ascii="黑体" w:hAnsi="黑体"/>
          <w:b/>
          <w:i w:val="0"/>
          <w:color w:val="000000"/>
          <w:sz w:val="26"/>
        </w:rPr>
        <w:t>10.5 跨文化与多市场的多智能体营销</w:t>
      </w:r>
    </w:p>
    <w:p>
      <w:pPr>
        <w:spacing w:line="360" w:lineRule="auto"/>
        <w:ind w:firstLine="480"/>
      </w:pPr>
      <w:r>
        <w:rPr>
          <w:rFonts w:ascii="宋体" w:hAnsi="宋体"/>
          <w:b w:val="0"/>
          <w:i w:val="0"/>
          <w:sz w:val="24"/>
        </w:rPr>
        <w:t>全球化企业需要在不同文化和市场环境中开展营销活动。多智能体系统可以为每个目标市场配置具有特定文化背景知识的智能体，实现跨文化营销策略的自动化适配。</w:t>
      </w:r>
    </w:p>
    <w:p>
      <w:pPr>
        <w:spacing w:line="360" w:lineRule="auto"/>
        <w:ind w:firstLine="480"/>
      </w:pPr>
      <w:r>
        <w:rPr>
          <w:rFonts w:ascii="宋体" w:hAnsi="宋体"/>
          <w:b w:val="0"/>
          <w:i w:val="0"/>
          <w:sz w:val="24"/>
        </w:rPr>
        <w:t>研究需要解决的问题包括：LLM智能体能否准确模拟不同文化背景下消费者的决策偏好和沟通风格？如何验证跨文化消费者模拟的准确性？多智能体协作如何在保持品牌全球一致性的同时实现本地化适配？</w:t>
      </w:r>
    </w:p>
    <w:p>
      <w:pPr>
        <w:pStyle w:val="Heading2"/>
      </w:pPr>
      <w:r>
        <w:rPr>
          <w:rFonts w:ascii="黑体" w:hAnsi="黑体"/>
          <w:b/>
          <w:i w:val="0"/>
          <w:color w:val="000000"/>
          <w:sz w:val="30"/>
        </w:rPr>
        <w:t>11 结论</w:t>
      </w:r>
    </w:p>
    <w:p>
      <w:pPr>
        <w:spacing w:line="360" w:lineRule="auto"/>
        <w:ind w:firstLine="480"/>
      </w:pPr>
      <w:r>
        <w:rPr>
          <w:rFonts w:ascii="宋体" w:hAnsi="宋体"/>
          <w:b w:val="0"/>
          <w:i w:val="0"/>
          <w:sz w:val="24"/>
        </w:rPr>
        <w:t>本文系统回顾了多智能体系统在营销分析中的研究进展，构建了从传统Agent-Based Modeling到LLM驱动多智能体协作的完整技术演进框架。通过对77篇文献的全面梳理，本文得出以下主要结论。</w:t>
      </w:r>
    </w:p>
    <w:p>
      <w:pPr>
        <w:spacing w:line="360" w:lineRule="auto"/>
        <w:ind w:firstLine="480"/>
      </w:pPr>
      <w:r>
        <w:rPr>
          <w:rFonts w:ascii="宋体" w:hAnsi="宋体"/>
          <w:b w:val="0"/>
          <w:i w:val="0"/>
          <w:sz w:val="24"/>
        </w:rPr>
        <w:t>第一，多智能体方法为营销分析提供了独特且不可替代的方法论价值。传统ABM通过"自底向上"的仿真揭示了市场扩散、竞争动态和消费趋势等复杂现象中的涌现机制，弥补了传统"自顶向下"分析方法的不足。LLM多智能体系统则将多智能体范式的应用从"模拟理解"扩展到"执行行动"，使得复杂营销任务的自动化协作成为可能。</w:t>
      </w:r>
    </w:p>
    <w:p>
      <w:pPr>
        <w:spacing w:line="360" w:lineRule="auto"/>
        <w:ind w:firstLine="480"/>
      </w:pPr>
      <w:r>
        <w:rPr>
          <w:rFonts w:ascii="宋体" w:hAnsi="宋体"/>
          <w:b w:val="0"/>
          <w:i w:val="0"/>
          <w:sz w:val="24"/>
        </w:rPr>
        <w:t>第二，两代技术范式各有优势与局限，互为补充（见表2）。ABM提供了严格的仿真框架、高可控性和规模化能力，但智能体行为规则的预定义限制了其表达力；LLM多智能体具有强大的语言理解、推理和创意生成能力，但面临幻觉、高成本和可控性等挑战。两者的融合——以ABM框架承载LLM驱动的智能体——是一个极具前景的发展方向。</w:t>
      </w:r>
    </w:p>
    <w:p>
      <w:pPr>
        <w:spacing w:line="360" w:lineRule="auto"/>
        <w:ind w:firstLine="480"/>
      </w:pPr>
      <w:r>
        <w:rPr>
          <w:rFonts w:ascii="宋体" w:hAnsi="宋体"/>
          <w:b w:val="0"/>
          <w:i w:val="0"/>
          <w:sz w:val="24"/>
        </w:rPr>
        <w:t>第三，多智能体营销分析面临着技术和伦理双重挑战。技术层面包括LLM幻觉、ABM标定困难、计算成本和多智能体协调的复杂性；伦理层面包括消费者操纵风险、算法合谋、AI内容真实性和模拟偏差等。应对这些挑战需要跨学科的协作——结合计算机科学的技术创新、营销学的理论指导和伦理学的规范性框架。</w:t>
      </w:r>
    </w:p>
    <w:p>
      <w:pPr>
        <w:spacing w:line="360" w:lineRule="auto"/>
        <w:ind w:firstLine="480"/>
      </w:pPr>
      <w:r>
        <w:rPr>
          <w:rFonts w:ascii="宋体" w:hAnsi="宋体"/>
          <w:b w:val="0"/>
          <w:i w:val="0"/>
          <w:sz w:val="24"/>
        </w:rPr>
        <w:t>第四，未来研究应重点关注以下方向：（1）ABM与LLM的深度融合，构建兼具仿真严谨性和认知灵活性的新一代营销仿真工具；（2）多智能体营销实验平台（"营销数字孪生"）的开发与验证；（3）人机协作的多智能体工作模式设计，在自动化效率和人类控制之间取得平衡；（4）多智能体系统的可解释性和可审计性方法，确保营销AI系统的透明度和可信度。</w:t>
      </w:r>
    </w:p>
    <w:p>
      <w:pPr>
        <w:spacing w:line="360" w:lineRule="auto"/>
        <w:ind w:firstLine="480"/>
      </w:pPr>
      <w:r>
        <w:rPr>
          <w:rFonts w:ascii="宋体" w:hAnsi="宋体"/>
          <w:b w:val="0"/>
          <w:i w:val="0"/>
          <w:sz w:val="24"/>
        </w:rPr>
        <w:t>多智能体系统正在为营销分析开辟一个全新的技术和方法论前沿。随着LLM能力的持续提升和多智能体协作机制的不断成熟，我们有理由期待多智能体方法将在营销理论研究和商业实践中发挥越来越重要的作用。</w:t>
      </w:r>
    </w:p>
    <w:p>
      <w:pPr>
        <w:pStyle w:val="Heading2"/>
      </w:pPr>
      <w:r>
        <w:rPr>
          <w:rFonts w:ascii="黑体" w:hAnsi="黑体"/>
          <w:b/>
          <w:i w:val="0"/>
          <w:color w:val="000000"/>
          <w:sz w:val="30"/>
        </w:rPr>
        <w:t>参考文献</w:t>
      </w:r>
    </w:p>
    <w:p>
      <w:pPr>
        <w:pStyle w:val="ListNumber"/>
        <w:spacing w:line="360" w:lineRule="auto"/>
      </w:pPr>
      <w:r>
        <w:rPr>
          <w:rFonts w:ascii="宋体" w:hAnsi="宋体"/>
          <w:b w:val="0"/>
          <w:i w:val="0"/>
          <w:sz w:val="24"/>
        </w:rPr>
        <w:t xml:space="preserve">Abar, S., Theodoropoulos, G. K., Lemarinier, P., &amp; O'Hare, G. M. (2017). Agent based modelling and simulation tools: A review of the state-of-art software. </w:t>
      </w:r>
      <w:r>
        <w:rPr>
          <w:rFonts w:ascii="宋体" w:hAnsi="宋体"/>
          <w:b w:val="0"/>
          <w:i/>
          <w:sz w:val="24"/>
        </w:rPr>
        <w:t>Computer Science Review</w:t>
      </w:r>
      <w:r>
        <w:rPr>
          <w:rFonts w:ascii="宋体" w:hAnsi="宋体"/>
          <w:b w:val="0"/>
          <w:i w:val="0"/>
          <w:sz w:val="24"/>
        </w:rPr>
        <w:t>, 24, 13-33.</w:t>
      </w:r>
    </w:p>
    <w:p>
      <w:pPr>
        <w:pStyle w:val="ListNumber"/>
        <w:spacing w:line="360" w:lineRule="auto"/>
      </w:pPr>
      <w:r>
        <w:rPr>
          <w:rFonts w:ascii="宋体" w:hAnsi="宋体"/>
          <w:b w:val="0"/>
          <w:i w:val="0"/>
          <w:sz w:val="24"/>
        </w:rPr>
        <w:t xml:space="preserve">An, L. (2012). Modeling human decisions in coupled human and natural systems: Review of agent-based models. </w:t>
      </w:r>
      <w:r>
        <w:rPr>
          <w:rFonts w:ascii="宋体" w:hAnsi="宋体"/>
          <w:b w:val="0"/>
          <w:i/>
          <w:sz w:val="24"/>
        </w:rPr>
        <w:t>Ecological Modelling</w:t>
      </w:r>
      <w:r>
        <w:rPr>
          <w:rFonts w:ascii="宋体" w:hAnsi="宋体"/>
          <w:b w:val="0"/>
          <w:i w:val="0"/>
          <w:sz w:val="24"/>
        </w:rPr>
        <w:t>, 229, 25-36.</w:t>
      </w:r>
    </w:p>
    <w:p>
      <w:pPr>
        <w:pStyle w:val="ListNumber"/>
        <w:spacing w:line="360" w:lineRule="auto"/>
      </w:pPr>
      <w:r>
        <w:rPr>
          <w:rFonts w:ascii="宋体" w:hAnsi="宋体"/>
          <w:b w:val="0"/>
          <w:i w:val="0"/>
          <w:sz w:val="24"/>
        </w:rPr>
        <w:t xml:space="preserve">Argyle, L. P., Busby, E. C., Fulda, N., Gubler, J. R., Rytting, C., &amp; Wingate, D. (2023). Out of one, many: Using language models to simulate human samples. </w:t>
      </w:r>
      <w:r>
        <w:rPr>
          <w:rFonts w:ascii="宋体" w:hAnsi="宋体"/>
          <w:b w:val="0"/>
          <w:i/>
          <w:sz w:val="24"/>
        </w:rPr>
        <w:t>Political Analysis</w:t>
      </w:r>
      <w:r>
        <w:rPr>
          <w:rFonts w:ascii="宋体" w:hAnsi="宋体"/>
          <w:b w:val="0"/>
          <w:i w:val="0"/>
          <w:sz w:val="24"/>
        </w:rPr>
        <w:t>, 31(3), 337-351.</w:t>
      </w:r>
    </w:p>
    <w:p>
      <w:pPr>
        <w:pStyle w:val="ListNumber"/>
        <w:spacing w:line="360" w:lineRule="auto"/>
      </w:pPr>
      <w:r>
        <w:rPr>
          <w:rFonts w:ascii="宋体" w:hAnsi="宋体"/>
          <w:b w:val="0"/>
          <w:i w:val="0"/>
          <w:sz w:val="24"/>
        </w:rPr>
        <w:t xml:space="preserve">Bass, F. M. (1969). A new product growth for model consumer durables. </w:t>
      </w:r>
      <w:r>
        <w:rPr>
          <w:rFonts w:ascii="宋体" w:hAnsi="宋体"/>
          <w:b w:val="0"/>
          <w:i/>
          <w:sz w:val="24"/>
        </w:rPr>
        <w:t>Management Science</w:t>
      </w:r>
      <w:r>
        <w:rPr>
          <w:rFonts w:ascii="宋体" w:hAnsi="宋体"/>
          <w:b w:val="0"/>
          <w:i w:val="0"/>
          <w:sz w:val="24"/>
        </w:rPr>
        <w:t>, 15(5), 215-227.</w:t>
      </w:r>
    </w:p>
    <w:p>
      <w:pPr>
        <w:pStyle w:val="ListNumber"/>
        <w:spacing w:line="360" w:lineRule="auto"/>
      </w:pPr>
      <w:r>
        <w:rPr>
          <w:rFonts w:ascii="宋体" w:hAnsi="宋体"/>
          <w:b w:val="0"/>
          <w:i w:val="0"/>
          <w:sz w:val="24"/>
        </w:rPr>
        <w:t xml:space="preserve">Bonabeau, E. (2002). Agent-based modeling: Methods and techniques for simulating human systems. </w:t>
      </w:r>
      <w:r>
        <w:rPr>
          <w:rFonts w:ascii="宋体" w:hAnsi="宋体"/>
          <w:b w:val="0"/>
          <w:i/>
          <w:sz w:val="24"/>
        </w:rPr>
        <w:t>Proceedings of the National Academy of Sciences</w:t>
      </w:r>
      <w:r>
        <w:rPr>
          <w:rFonts w:ascii="宋体" w:hAnsi="宋体"/>
          <w:b w:val="0"/>
          <w:i w:val="0"/>
          <w:sz w:val="24"/>
        </w:rPr>
        <w:t>, 99(suppl 3), 7280-7287.</w:t>
      </w:r>
    </w:p>
    <w:p>
      <w:pPr>
        <w:pStyle w:val="ListNumber"/>
        <w:spacing w:line="360" w:lineRule="auto"/>
      </w:pPr>
      <w:r>
        <w:rPr>
          <w:rFonts w:ascii="宋体" w:hAnsi="宋体"/>
          <w:b w:val="0"/>
          <w:i w:val="0"/>
          <w:sz w:val="24"/>
        </w:rPr>
        <w:t xml:space="preserve">Brand, J., Israeli, A., &amp; Ngwe, D. (2023). Using GPT for market research. </w:t>
      </w:r>
      <w:r>
        <w:rPr>
          <w:rFonts w:ascii="宋体" w:hAnsi="宋体"/>
          <w:b w:val="0"/>
          <w:i/>
          <w:sz w:val="24"/>
        </w:rPr>
        <w:t>Harvard Business School Working Paper</w:t>
      </w:r>
      <w:r>
        <w:rPr>
          <w:rFonts w:ascii="宋体" w:hAnsi="宋体"/>
          <w:b w:val="0"/>
          <w:i w:val="0"/>
          <w:sz w:val="24"/>
        </w:rPr>
        <w:t>, No. 23-062.</w:t>
      </w:r>
    </w:p>
    <w:p>
      <w:pPr>
        <w:pStyle w:val="ListNumber"/>
        <w:spacing w:line="360" w:lineRule="auto"/>
      </w:pPr>
      <w:r>
        <w:rPr>
          <w:rFonts w:ascii="宋体" w:hAnsi="宋体"/>
          <w:b w:val="0"/>
          <w:i w:val="0"/>
          <w:sz w:val="24"/>
        </w:rPr>
        <w:t xml:space="preserve">Brown, T. B., Mann, B., Ryder, N., Subbiah, M., Kaplan, J., et al. (2020). Language models are few-shot learners. </w:t>
      </w:r>
      <w:r>
        <w:rPr>
          <w:rFonts w:ascii="宋体" w:hAnsi="宋体"/>
          <w:b w:val="0"/>
          <w:i/>
          <w:sz w:val="24"/>
        </w:rPr>
        <w:t>Advances in Neural Information Processing Systems</w:t>
      </w:r>
      <w:r>
        <w:rPr>
          <w:rFonts w:ascii="宋体" w:hAnsi="宋体"/>
          <w:b w:val="0"/>
          <w:i w:val="0"/>
          <w:sz w:val="24"/>
        </w:rPr>
        <w:t>, 33, 1877-1901.</w:t>
      </w:r>
    </w:p>
    <w:p>
      <w:pPr>
        <w:pStyle w:val="ListNumber"/>
        <w:spacing w:line="360" w:lineRule="auto"/>
      </w:pPr>
      <w:r>
        <w:rPr>
          <w:rFonts w:ascii="宋体" w:hAnsi="宋体"/>
          <w:b w:val="0"/>
          <w:i w:val="0"/>
          <w:sz w:val="24"/>
        </w:rPr>
        <w:t xml:space="preserve">Cai, H., Ren, K., Zhang, W., Malber, K., Wang, J., Yu, Y., &amp; He, D. (2017). Real-time bidding by reinforcement learning in display advertising. </w:t>
      </w:r>
      <w:r>
        <w:rPr>
          <w:rFonts w:ascii="宋体" w:hAnsi="宋体"/>
          <w:b w:val="0"/>
          <w:i/>
          <w:sz w:val="24"/>
        </w:rPr>
        <w:t>Proceedings of the 10th ACM International Conference on Web Search and Data Mining</w:t>
      </w:r>
      <w:r>
        <w:rPr>
          <w:rFonts w:ascii="宋体" w:hAnsi="宋体"/>
          <w:b w:val="0"/>
          <w:i w:val="0"/>
          <w:sz w:val="24"/>
        </w:rPr>
        <w:t>, 661-670.</w:t>
      </w:r>
    </w:p>
    <w:p>
      <w:pPr>
        <w:pStyle w:val="ListNumber"/>
        <w:spacing w:line="360" w:lineRule="auto"/>
      </w:pPr>
      <w:r>
        <w:rPr>
          <w:rFonts w:ascii="宋体" w:hAnsi="宋体"/>
          <w:b w:val="0"/>
          <w:i w:val="0"/>
          <w:sz w:val="24"/>
        </w:rPr>
        <w:t xml:space="preserve">Calvano, E., Calzolari, G., Denicolò, V., &amp; Pastorello, S. (2020). Artificial intelligence, algorithmic pricing, and collusion. </w:t>
      </w:r>
      <w:r>
        <w:rPr>
          <w:rFonts w:ascii="宋体" w:hAnsi="宋体"/>
          <w:b w:val="0"/>
          <w:i/>
          <w:sz w:val="24"/>
        </w:rPr>
        <w:t>American Economic Review</w:t>
      </w:r>
      <w:r>
        <w:rPr>
          <w:rFonts w:ascii="宋体" w:hAnsi="宋体"/>
          <w:b w:val="0"/>
          <w:i w:val="0"/>
          <w:sz w:val="24"/>
        </w:rPr>
        <w:t>, 110(10), 3267-3297.</w:t>
      </w:r>
    </w:p>
    <w:p>
      <w:pPr>
        <w:pStyle w:val="ListNumber"/>
        <w:spacing w:line="360" w:lineRule="auto"/>
      </w:pPr>
      <w:r>
        <w:rPr>
          <w:rFonts w:ascii="宋体" w:hAnsi="宋体"/>
          <w:b w:val="0"/>
          <w:i w:val="0"/>
          <w:sz w:val="24"/>
        </w:rPr>
        <w:t xml:space="preserve">Chattoe-Brown, E. (2013). Why sociology should use agent based modelling. </w:t>
      </w:r>
      <w:r>
        <w:rPr>
          <w:rFonts w:ascii="宋体" w:hAnsi="宋体"/>
          <w:b w:val="0"/>
          <w:i/>
          <w:sz w:val="24"/>
        </w:rPr>
        <w:t>Sociological Research Online</w:t>
      </w:r>
      <w:r>
        <w:rPr>
          <w:rFonts w:ascii="宋体" w:hAnsi="宋体"/>
          <w:b w:val="0"/>
          <w:i w:val="0"/>
          <w:sz w:val="24"/>
        </w:rPr>
        <w:t>, 18(3), 1-11.</w:t>
      </w:r>
    </w:p>
    <w:p>
      <w:pPr>
        <w:pStyle w:val="ListNumber"/>
        <w:spacing w:line="360" w:lineRule="auto"/>
      </w:pPr>
      <w:r>
        <w:rPr>
          <w:rFonts w:ascii="宋体" w:hAnsi="宋体"/>
          <w:b w:val="0"/>
          <w:i w:val="0"/>
          <w:sz w:val="24"/>
        </w:rPr>
        <w:t xml:space="preserve">Chen, Y., Liu, T. X., Shan, Y., &amp; Zhong, S. (2023). The emergence of economic rationality of GPT. </w:t>
      </w:r>
      <w:r>
        <w:rPr>
          <w:rFonts w:ascii="宋体" w:hAnsi="宋体"/>
          <w:b w:val="0"/>
          <w:i/>
          <w:sz w:val="24"/>
        </w:rPr>
        <w:t>Proceedings of the National Academy of Sciences</w:t>
      </w:r>
      <w:r>
        <w:rPr>
          <w:rFonts w:ascii="宋体" w:hAnsi="宋体"/>
          <w:b w:val="0"/>
          <w:i w:val="0"/>
          <w:sz w:val="24"/>
        </w:rPr>
        <w:t>, 120(51), e2316205120.</w:t>
      </w:r>
    </w:p>
    <w:p>
      <w:pPr>
        <w:pStyle w:val="ListNumber"/>
        <w:spacing w:line="360" w:lineRule="auto"/>
      </w:pPr>
      <w:r>
        <w:rPr>
          <w:rFonts w:ascii="宋体" w:hAnsi="宋体"/>
          <w:b w:val="0"/>
          <w:i w:val="0"/>
          <w:sz w:val="24"/>
        </w:rPr>
        <w:t xml:space="preserve">Dawid, H., &amp; Delli Gatti, D. (2018). Agent-based macroeconomics. </w:t>
      </w:r>
      <w:r>
        <w:rPr>
          <w:rFonts w:ascii="宋体" w:hAnsi="宋体"/>
          <w:b w:val="0"/>
          <w:i/>
          <w:sz w:val="24"/>
        </w:rPr>
        <w:t>Handbook of Computational Economics</w:t>
      </w:r>
      <w:r>
        <w:rPr>
          <w:rFonts w:ascii="宋体" w:hAnsi="宋体"/>
          <w:b w:val="0"/>
          <w:i w:val="0"/>
          <w:sz w:val="24"/>
        </w:rPr>
        <w:t>, 4, 63-156.</w:t>
      </w:r>
    </w:p>
    <w:p>
      <w:pPr>
        <w:pStyle w:val="ListNumber"/>
        <w:spacing w:line="360" w:lineRule="auto"/>
      </w:pPr>
      <w:r>
        <w:rPr>
          <w:rFonts w:ascii="宋体" w:hAnsi="宋体"/>
          <w:b w:val="0"/>
          <w:i w:val="0"/>
          <w:sz w:val="24"/>
        </w:rPr>
        <w:t xml:space="preserve">Delre, S. A., Jager, W., Bijmolt, T. H. A., &amp; Janssen, M. A. (2007). Targeting and timing promotional activities: An agent-based model for the takeoff of new products. </w:t>
      </w:r>
      <w:r>
        <w:rPr>
          <w:rFonts w:ascii="宋体" w:hAnsi="宋体"/>
          <w:b w:val="0"/>
          <w:i/>
          <w:sz w:val="24"/>
        </w:rPr>
        <w:t>Journal of Business Research</w:t>
      </w:r>
      <w:r>
        <w:rPr>
          <w:rFonts w:ascii="宋体" w:hAnsi="宋体"/>
          <w:b w:val="0"/>
          <w:i w:val="0"/>
          <w:sz w:val="24"/>
        </w:rPr>
        <w:t>, 60(8), 826-835.</w:t>
      </w:r>
    </w:p>
    <w:p>
      <w:pPr>
        <w:pStyle w:val="ListNumber"/>
        <w:spacing w:line="360" w:lineRule="auto"/>
      </w:pPr>
      <w:r>
        <w:rPr>
          <w:rFonts w:ascii="宋体" w:hAnsi="宋体"/>
          <w:b w:val="0"/>
          <w:i w:val="0"/>
          <w:sz w:val="24"/>
        </w:rPr>
        <w:t xml:space="preserve">Delre, S. A., Jager, W., Bijmolt, T. H. A., &amp; Janssen, M. A. (2010). Will it spread or not? The effects of social influences and network topology on innovation diffusion. </w:t>
      </w:r>
      <w:r>
        <w:rPr>
          <w:rFonts w:ascii="宋体" w:hAnsi="宋体"/>
          <w:b w:val="0"/>
          <w:i/>
          <w:sz w:val="24"/>
        </w:rPr>
        <w:t>Journal of Product Innovation Management</w:t>
      </w:r>
      <w:r>
        <w:rPr>
          <w:rFonts w:ascii="宋体" w:hAnsi="宋体"/>
          <w:b w:val="0"/>
          <w:i w:val="0"/>
          <w:sz w:val="24"/>
        </w:rPr>
        <w:t>, 27(2), 267-282.</w:t>
      </w:r>
    </w:p>
    <w:p>
      <w:pPr>
        <w:pStyle w:val="ListNumber"/>
        <w:spacing w:line="360" w:lineRule="auto"/>
      </w:pPr>
      <w:r>
        <w:rPr>
          <w:rFonts w:ascii="宋体" w:hAnsi="宋体"/>
          <w:b w:val="0"/>
          <w:i w:val="0"/>
          <w:sz w:val="24"/>
        </w:rPr>
        <w:t xml:space="preserve">den Boer, A. V., &amp; Keskin, N. B. (2022). Dynamic pricing with demand learning and reference effects. </w:t>
      </w:r>
      <w:r>
        <w:rPr>
          <w:rFonts w:ascii="宋体" w:hAnsi="宋体"/>
          <w:b w:val="0"/>
          <w:i/>
          <w:sz w:val="24"/>
        </w:rPr>
        <w:t>Management Science</w:t>
      </w:r>
      <w:r>
        <w:rPr>
          <w:rFonts w:ascii="宋体" w:hAnsi="宋体"/>
          <w:b w:val="0"/>
          <w:i w:val="0"/>
          <w:sz w:val="24"/>
        </w:rPr>
        <w:t>, 68(10), 7112-7130.</w:t>
      </w:r>
    </w:p>
    <w:p>
      <w:pPr>
        <w:pStyle w:val="ListNumber"/>
        <w:spacing w:line="360" w:lineRule="auto"/>
      </w:pPr>
      <w:r>
        <w:rPr>
          <w:rFonts w:ascii="宋体" w:hAnsi="宋体"/>
          <w:b w:val="0"/>
          <w:i w:val="0"/>
          <w:sz w:val="24"/>
        </w:rPr>
        <w:t xml:space="preserve">Epstein, J. M., &amp; Axtell, R. (1996). </w:t>
      </w:r>
      <w:r>
        <w:rPr>
          <w:rFonts w:ascii="宋体" w:hAnsi="宋体"/>
          <w:b w:val="0"/>
          <w:i/>
          <w:sz w:val="24"/>
        </w:rPr>
        <w:t>Growing artificial societies: Social science from the bottom up</w:t>
      </w:r>
      <w:r>
        <w:rPr>
          <w:rFonts w:ascii="宋体" w:hAnsi="宋体"/>
          <w:b w:val="0"/>
          <w:i w:val="0"/>
          <w:sz w:val="24"/>
        </w:rPr>
        <w:t>. Brookings Institution Press.</w:t>
      </w:r>
    </w:p>
    <w:p>
      <w:pPr>
        <w:pStyle w:val="ListNumber"/>
        <w:spacing w:line="360" w:lineRule="auto"/>
      </w:pPr>
      <w:r>
        <w:rPr>
          <w:rFonts w:ascii="宋体" w:hAnsi="宋体"/>
          <w:b w:val="0"/>
          <w:i w:val="0"/>
          <w:sz w:val="24"/>
        </w:rPr>
        <w:t xml:space="preserve">Farmer, J. D., &amp; Foley, D. (2009). The economy needs agent-based modelling. </w:t>
      </w:r>
      <w:r>
        <w:rPr>
          <w:rFonts w:ascii="宋体" w:hAnsi="宋体"/>
          <w:b w:val="0"/>
          <w:i/>
          <w:sz w:val="24"/>
        </w:rPr>
        <w:t>Nature</w:t>
      </w:r>
      <w:r>
        <w:rPr>
          <w:rFonts w:ascii="宋体" w:hAnsi="宋体"/>
          <w:b w:val="0"/>
          <w:i w:val="0"/>
          <w:sz w:val="24"/>
        </w:rPr>
        <w:t>, 460(7256), 685-686.</w:t>
      </w:r>
    </w:p>
    <w:p>
      <w:pPr>
        <w:pStyle w:val="ListNumber"/>
        <w:spacing w:line="360" w:lineRule="auto"/>
      </w:pPr>
      <w:r>
        <w:rPr>
          <w:rFonts w:ascii="宋体" w:hAnsi="宋体"/>
          <w:b w:val="0"/>
          <w:i w:val="0"/>
          <w:sz w:val="24"/>
        </w:rPr>
        <w:t xml:space="preserve">Flache, A., Mäs, M., Feliciani, T., Chattoe-Brown, E., Deffuant, G., Huet, S., &amp; Lorenz, J. (2017). Models of social influence: Towards the next frontiers. </w:t>
      </w:r>
      <w:r>
        <w:rPr>
          <w:rFonts w:ascii="宋体" w:hAnsi="宋体"/>
          <w:b w:val="0"/>
          <w:i/>
          <w:sz w:val="24"/>
        </w:rPr>
        <w:t>Journal of Artificial Societies and Social Simulation</w:t>
      </w:r>
      <w:r>
        <w:rPr>
          <w:rFonts w:ascii="宋体" w:hAnsi="宋体"/>
          <w:b w:val="0"/>
          <w:i w:val="0"/>
          <w:sz w:val="24"/>
        </w:rPr>
        <w:t>, 20(4), 2.</w:t>
      </w:r>
    </w:p>
    <w:p>
      <w:pPr>
        <w:pStyle w:val="ListNumber"/>
        <w:spacing w:line="360" w:lineRule="auto"/>
      </w:pPr>
      <w:r>
        <w:rPr>
          <w:rFonts w:ascii="宋体" w:hAnsi="宋体"/>
          <w:b w:val="0"/>
          <w:i w:val="0"/>
          <w:sz w:val="24"/>
        </w:rPr>
        <w:t xml:space="preserve">Friedman, L., Ahuja, S., Allen, D., Tan, T., Siddarth, H., et al. (2023). Leveraging large language models in conversational recommender systems. </w:t>
      </w:r>
      <w:r>
        <w:rPr>
          <w:rFonts w:ascii="宋体" w:hAnsi="宋体"/>
          <w:b w:val="0"/>
          <w:i/>
          <w:sz w:val="24"/>
        </w:rPr>
        <w:t>Proceedings of the 2nd Workshop on Recommendation with Generative Models</w:t>
      </w:r>
      <w:r>
        <w:rPr>
          <w:rFonts w:ascii="宋体" w:hAnsi="宋体"/>
          <w:b w:val="0"/>
          <w:i w:val="0"/>
          <w:sz w:val="24"/>
        </w:rPr>
        <w:t>, 1-8.</w:t>
      </w:r>
    </w:p>
    <w:p>
      <w:pPr>
        <w:pStyle w:val="ListNumber"/>
        <w:spacing w:line="360" w:lineRule="auto"/>
      </w:pPr>
      <w:r>
        <w:rPr>
          <w:rFonts w:ascii="宋体" w:hAnsi="宋体"/>
          <w:b w:val="0"/>
          <w:i w:val="0"/>
          <w:sz w:val="24"/>
        </w:rPr>
        <w:t xml:space="preserve">Gao, M., Hu, J., Ruan, J., Pu, X., &amp; Wan, X. (2024). LLM-based multi-agent systems for software engineering: Literature review, vision and the road ahead. </w:t>
      </w:r>
      <w:r>
        <w:rPr>
          <w:rFonts w:ascii="宋体" w:hAnsi="宋体"/>
          <w:b w:val="0"/>
          <w:i/>
          <w:sz w:val="24"/>
        </w:rPr>
        <w:t>arXiv preprint arXiv:2404.04834</w:t>
      </w:r>
      <w:r>
        <w:rPr>
          <w:rFonts w:ascii="宋体" w:hAnsi="宋体"/>
          <w:b w:val="0"/>
          <w:i w:val="0"/>
          <w:sz w:val="24"/>
        </w:rPr>
        <w:t>.</w:t>
      </w:r>
    </w:p>
    <w:p>
      <w:pPr>
        <w:pStyle w:val="ListNumber"/>
        <w:spacing w:line="360" w:lineRule="auto"/>
      </w:pPr>
      <w:r>
        <w:rPr>
          <w:rFonts w:ascii="宋体" w:hAnsi="宋体"/>
          <w:b w:val="0"/>
          <w:i w:val="0"/>
          <w:sz w:val="24"/>
        </w:rPr>
        <w:t xml:space="preserve">Garcia, R. (2005). Uses of agent-based modeling in innovation/new product development research. </w:t>
      </w:r>
      <w:r>
        <w:rPr>
          <w:rFonts w:ascii="宋体" w:hAnsi="宋体"/>
          <w:b w:val="0"/>
          <w:i/>
          <w:sz w:val="24"/>
        </w:rPr>
        <w:t>Journal of Product Innovation Management</w:t>
      </w:r>
      <w:r>
        <w:rPr>
          <w:rFonts w:ascii="宋体" w:hAnsi="宋体"/>
          <w:b w:val="0"/>
          <w:i w:val="0"/>
          <w:sz w:val="24"/>
        </w:rPr>
        <w:t>, 22(5), 380-398.</w:t>
      </w:r>
    </w:p>
    <w:p>
      <w:pPr>
        <w:pStyle w:val="ListNumber"/>
        <w:spacing w:line="360" w:lineRule="auto"/>
      </w:pPr>
      <w:r>
        <w:rPr>
          <w:rFonts w:ascii="宋体" w:hAnsi="宋体"/>
          <w:b w:val="0"/>
          <w:i w:val="0"/>
          <w:sz w:val="24"/>
        </w:rPr>
        <w:t xml:space="preserve">Ghaffarzadegan, N., Majumdar, A., Williams, R., &amp; Hosseinichimeh, N. (2024). Generative agent-based modeling: An introduction and tutorial. </w:t>
      </w:r>
      <w:r>
        <w:rPr>
          <w:rFonts w:ascii="宋体" w:hAnsi="宋体"/>
          <w:b w:val="0"/>
          <w:i/>
          <w:sz w:val="24"/>
        </w:rPr>
        <w:t>System Dynamics Review</w:t>
      </w:r>
      <w:r>
        <w:rPr>
          <w:rFonts w:ascii="宋体" w:hAnsi="宋体"/>
          <w:b w:val="0"/>
          <w:i w:val="0"/>
          <w:sz w:val="24"/>
        </w:rPr>
        <w:t>, 40(3), e1761.</w:t>
      </w:r>
    </w:p>
    <w:p>
      <w:pPr>
        <w:pStyle w:val="ListNumber"/>
        <w:spacing w:line="360" w:lineRule="auto"/>
      </w:pPr>
      <w:r>
        <w:rPr>
          <w:rFonts w:ascii="宋体" w:hAnsi="宋体"/>
          <w:b w:val="0"/>
          <w:i w:val="0"/>
          <w:sz w:val="24"/>
        </w:rPr>
        <w:t xml:space="preserve">Gilbert, N. (2008). </w:t>
      </w:r>
      <w:r>
        <w:rPr>
          <w:rFonts w:ascii="宋体" w:hAnsi="宋体"/>
          <w:b w:val="0"/>
          <w:i/>
          <w:sz w:val="24"/>
        </w:rPr>
        <w:t>Agent-based models</w:t>
      </w:r>
      <w:r>
        <w:rPr>
          <w:rFonts w:ascii="宋体" w:hAnsi="宋体"/>
          <w:b w:val="0"/>
          <w:i w:val="0"/>
          <w:sz w:val="24"/>
        </w:rPr>
        <w:t>. SAGE Publications.</w:t>
      </w:r>
    </w:p>
    <w:p>
      <w:pPr>
        <w:pStyle w:val="ListNumber"/>
        <w:spacing w:line="360" w:lineRule="auto"/>
      </w:pPr>
      <w:r>
        <w:rPr>
          <w:rFonts w:ascii="宋体" w:hAnsi="宋体"/>
          <w:b w:val="0"/>
          <w:i w:val="0"/>
          <w:sz w:val="24"/>
        </w:rPr>
        <w:t xml:space="preserve">Goldenberg, J., Libai, B., &amp; Muller, E. (2001). Talk of the network: A complex systems look at the underlying process of word-of-mouth. </w:t>
      </w:r>
      <w:r>
        <w:rPr>
          <w:rFonts w:ascii="宋体" w:hAnsi="宋体"/>
          <w:b w:val="0"/>
          <w:i/>
          <w:sz w:val="24"/>
        </w:rPr>
        <w:t>Marketing Letters</w:t>
      </w:r>
      <w:r>
        <w:rPr>
          <w:rFonts w:ascii="宋体" w:hAnsi="宋体"/>
          <w:b w:val="0"/>
          <w:i w:val="0"/>
          <w:sz w:val="24"/>
        </w:rPr>
        <w:t>, 12(3), 211-223.</w:t>
      </w:r>
    </w:p>
    <w:p>
      <w:pPr>
        <w:pStyle w:val="ListNumber"/>
        <w:spacing w:line="360" w:lineRule="auto"/>
      </w:pPr>
      <w:r>
        <w:rPr>
          <w:rFonts w:ascii="宋体" w:hAnsi="宋体"/>
          <w:b w:val="0"/>
          <w:i w:val="0"/>
          <w:sz w:val="24"/>
        </w:rPr>
        <w:t xml:space="preserve">Granovetter, M. S. (1973). The strength of weak ties. </w:t>
      </w:r>
      <w:r>
        <w:rPr>
          <w:rFonts w:ascii="宋体" w:hAnsi="宋体"/>
          <w:b w:val="0"/>
          <w:i/>
          <w:sz w:val="24"/>
        </w:rPr>
        <w:t>American Journal of Sociology</w:t>
      </w:r>
      <w:r>
        <w:rPr>
          <w:rFonts w:ascii="宋体" w:hAnsi="宋体"/>
          <w:b w:val="0"/>
          <w:i w:val="0"/>
          <w:sz w:val="24"/>
        </w:rPr>
        <w:t>, 78(6), 1360-1380.</w:t>
      </w:r>
    </w:p>
    <w:p>
      <w:pPr>
        <w:pStyle w:val="ListNumber"/>
        <w:spacing w:line="360" w:lineRule="auto"/>
      </w:pPr>
      <w:r>
        <w:rPr>
          <w:rFonts w:ascii="宋体" w:hAnsi="宋体"/>
          <w:b w:val="0"/>
          <w:i w:val="0"/>
          <w:sz w:val="24"/>
        </w:rPr>
        <w:t xml:space="preserve">Grazzini, J., &amp; Richiardi, M. G. (2015). Estimation of ergodic agent-based models by simulated minimum distance. </w:t>
      </w:r>
      <w:r>
        <w:rPr>
          <w:rFonts w:ascii="宋体" w:hAnsi="宋体"/>
          <w:b w:val="0"/>
          <w:i/>
          <w:sz w:val="24"/>
        </w:rPr>
        <w:t>Journal of Economic Dynamics and Control</w:t>
      </w:r>
      <w:r>
        <w:rPr>
          <w:rFonts w:ascii="宋体" w:hAnsi="宋体"/>
          <w:b w:val="0"/>
          <w:i w:val="0"/>
          <w:sz w:val="24"/>
        </w:rPr>
        <w:t>, 51, 148-165.</w:t>
      </w:r>
    </w:p>
    <w:p>
      <w:pPr>
        <w:pStyle w:val="ListNumber"/>
        <w:spacing w:line="360" w:lineRule="auto"/>
      </w:pPr>
      <w:r>
        <w:rPr>
          <w:rFonts w:ascii="宋体" w:hAnsi="宋体"/>
          <w:b w:val="0"/>
          <w:i w:val="0"/>
          <w:sz w:val="24"/>
        </w:rPr>
        <w:t xml:space="preserve">Grimm, V., Berger, U., Bastiansen, F., Eliassen, S., Ginot, V., et al. (2006). A standard protocol for describing individual-based and agent-based models. </w:t>
      </w:r>
      <w:r>
        <w:rPr>
          <w:rFonts w:ascii="宋体" w:hAnsi="宋体"/>
          <w:b w:val="0"/>
          <w:i/>
          <w:sz w:val="24"/>
        </w:rPr>
        <w:t>Ecological Modelling</w:t>
      </w:r>
      <w:r>
        <w:rPr>
          <w:rFonts w:ascii="宋体" w:hAnsi="宋体"/>
          <w:b w:val="0"/>
          <w:i w:val="0"/>
          <w:sz w:val="24"/>
        </w:rPr>
        <w:t>, 198(1-2), 115-126.</w:t>
      </w:r>
    </w:p>
    <w:p>
      <w:pPr>
        <w:pStyle w:val="ListNumber"/>
        <w:spacing w:line="360" w:lineRule="auto"/>
      </w:pPr>
      <w:r>
        <w:rPr>
          <w:rFonts w:ascii="宋体" w:hAnsi="宋体"/>
          <w:b w:val="0"/>
          <w:i w:val="0"/>
          <w:sz w:val="24"/>
        </w:rPr>
        <w:t xml:space="preserve">Grimm, V., Railsback, S. F., Vincenot, C. E., Berger, U., Gallagher, C., et al. (2020). The ODD protocol for describing agent-based and other simulation models: A second update to improve clarity, replication, and structural realism. </w:t>
      </w:r>
      <w:r>
        <w:rPr>
          <w:rFonts w:ascii="宋体" w:hAnsi="宋体"/>
          <w:b w:val="0"/>
          <w:i/>
          <w:sz w:val="24"/>
        </w:rPr>
        <w:t>Journal of Artificial Societies and Social Simulation</w:t>
      </w:r>
      <w:r>
        <w:rPr>
          <w:rFonts w:ascii="宋体" w:hAnsi="宋体"/>
          <w:b w:val="0"/>
          <w:i w:val="0"/>
          <w:sz w:val="24"/>
        </w:rPr>
        <w:t>, 23(2), 7.</w:t>
      </w:r>
    </w:p>
    <w:p>
      <w:pPr>
        <w:pStyle w:val="ListNumber"/>
        <w:spacing w:line="360" w:lineRule="auto"/>
      </w:pPr>
      <w:r>
        <w:rPr>
          <w:rFonts w:ascii="宋体" w:hAnsi="宋体"/>
          <w:b w:val="0"/>
          <w:i w:val="0"/>
          <w:sz w:val="24"/>
        </w:rPr>
        <w:t xml:space="preserve">Guo, T., Chen, X., Wang, Y., Chang, R., Pei, S., Chawla, N. V., Wiest, O., &amp; Zhang, X. (2024). Large language model based multi-agents: A survey of progress and challenges. </w:t>
      </w:r>
      <w:r>
        <w:rPr>
          <w:rFonts w:ascii="宋体" w:hAnsi="宋体"/>
          <w:b w:val="0"/>
          <w:i/>
          <w:sz w:val="24"/>
        </w:rPr>
        <w:t>Proceedings of IJCAI 2024</w:t>
      </w:r>
      <w:r>
        <w:rPr>
          <w:rFonts w:ascii="宋体" w:hAnsi="宋体"/>
          <w:b w:val="0"/>
          <w:i w:val="0"/>
          <w:sz w:val="24"/>
        </w:rPr>
        <w:t>.</w:t>
      </w:r>
    </w:p>
    <w:p>
      <w:pPr>
        <w:pStyle w:val="ListNumber"/>
        <w:spacing w:line="360" w:lineRule="auto"/>
      </w:pPr>
      <w:r>
        <w:rPr>
          <w:rFonts w:ascii="宋体" w:hAnsi="宋体"/>
          <w:b w:val="0"/>
          <w:i w:val="0"/>
          <w:sz w:val="24"/>
        </w:rPr>
        <w:t xml:space="preserve">Hamill, L., &amp; Gilbert, N. (2009). Social circles: A simple structure for agent-based social network models. </w:t>
      </w:r>
      <w:r>
        <w:rPr>
          <w:rFonts w:ascii="宋体" w:hAnsi="宋体"/>
          <w:b w:val="0"/>
          <w:i/>
          <w:sz w:val="24"/>
        </w:rPr>
        <w:t>Journal of Artificial Societies and Social Simulation</w:t>
      </w:r>
      <w:r>
        <w:rPr>
          <w:rFonts w:ascii="宋体" w:hAnsi="宋体"/>
          <w:b w:val="0"/>
          <w:i w:val="0"/>
          <w:sz w:val="24"/>
        </w:rPr>
        <w:t>, 12(2), 3.</w:t>
      </w:r>
    </w:p>
    <w:p>
      <w:pPr>
        <w:pStyle w:val="ListNumber"/>
        <w:spacing w:line="360" w:lineRule="auto"/>
      </w:pPr>
      <w:r>
        <w:rPr>
          <w:rFonts w:ascii="宋体" w:hAnsi="宋体"/>
          <w:b w:val="0"/>
          <w:i w:val="0"/>
          <w:sz w:val="24"/>
        </w:rPr>
        <w:t xml:space="preserve">Holland, J. H. (1995). </w:t>
      </w:r>
      <w:r>
        <w:rPr>
          <w:rFonts w:ascii="宋体" w:hAnsi="宋体"/>
          <w:b w:val="0"/>
          <w:i/>
          <w:sz w:val="24"/>
        </w:rPr>
        <w:t>Hidden order: How adaptation builds complexity</w:t>
      </w:r>
      <w:r>
        <w:rPr>
          <w:rFonts w:ascii="宋体" w:hAnsi="宋体"/>
          <w:b w:val="0"/>
          <w:i w:val="0"/>
          <w:sz w:val="24"/>
        </w:rPr>
        <w:t>. Addison-Wesley.</w:t>
      </w:r>
    </w:p>
    <w:p>
      <w:pPr>
        <w:pStyle w:val="ListNumber"/>
        <w:spacing w:line="360" w:lineRule="auto"/>
      </w:pPr>
      <w:r>
        <w:rPr>
          <w:rFonts w:ascii="宋体" w:hAnsi="宋体"/>
          <w:b w:val="0"/>
          <w:i w:val="0"/>
          <w:sz w:val="24"/>
        </w:rPr>
        <w:t xml:space="preserve">Hong, S., Zhuge, M., Chen, J., Zheng, X., Cheng, Y., et al. (2024). MetaGPT: Meta programming for a multi-agent collaborative framework. </w:t>
      </w:r>
      <w:r>
        <w:rPr>
          <w:rFonts w:ascii="宋体" w:hAnsi="宋体"/>
          <w:b w:val="0"/>
          <w:i/>
          <w:sz w:val="24"/>
        </w:rPr>
        <w:t>Proceedings of ICLR 2024</w:t>
      </w:r>
      <w:r>
        <w:rPr>
          <w:rFonts w:ascii="宋体" w:hAnsi="宋体"/>
          <w:b w:val="0"/>
          <w:i w:val="0"/>
          <w:sz w:val="24"/>
        </w:rPr>
        <w:t>.</w:t>
      </w:r>
    </w:p>
    <w:p>
      <w:pPr>
        <w:pStyle w:val="ListNumber"/>
        <w:spacing w:line="360" w:lineRule="auto"/>
      </w:pPr>
      <w:r>
        <w:rPr>
          <w:rFonts w:ascii="宋体" w:hAnsi="宋体"/>
          <w:b w:val="0"/>
          <w:i w:val="0"/>
          <w:sz w:val="24"/>
        </w:rPr>
        <w:t xml:space="preserve">Horton, J. J. (2023). Large language models as simulated economic agents: What can we learn from homo silicus? </w:t>
      </w:r>
      <w:r>
        <w:rPr>
          <w:rFonts w:ascii="宋体" w:hAnsi="宋体"/>
          <w:b w:val="0"/>
          <w:i/>
          <w:sz w:val="24"/>
        </w:rPr>
        <w:t>NBER Working Paper</w:t>
      </w:r>
      <w:r>
        <w:rPr>
          <w:rFonts w:ascii="宋体" w:hAnsi="宋体"/>
          <w:b w:val="0"/>
          <w:i w:val="0"/>
          <w:sz w:val="24"/>
        </w:rPr>
        <w:t>, No. 31122.</w:t>
      </w:r>
    </w:p>
    <w:p>
      <w:pPr>
        <w:pStyle w:val="ListNumber"/>
        <w:spacing w:line="360" w:lineRule="auto"/>
      </w:pPr>
      <w:r>
        <w:rPr>
          <w:rFonts w:ascii="宋体" w:hAnsi="宋体"/>
          <w:b w:val="0"/>
          <w:i w:val="0"/>
          <w:sz w:val="24"/>
        </w:rPr>
        <w:t xml:space="preserve">Janssen, M. A., &amp; Ostrom, E. (2006). Empirically based, agent-based models. </w:t>
      </w:r>
      <w:r>
        <w:rPr>
          <w:rFonts w:ascii="宋体" w:hAnsi="宋体"/>
          <w:b w:val="0"/>
          <w:i/>
          <w:sz w:val="24"/>
        </w:rPr>
        <w:t>Ecology and Society</w:t>
      </w:r>
      <w:r>
        <w:rPr>
          <w:rFonts w:ascii="宋体" w:hAnsi="宋体"/>
          <w:b w:val="0"/>
          <w:i w:val="0"/>
          <w:sz w:val="24"/>
        </w:rPr>
        <w:t>, 11(2), 37.</w:t>
      </w:r>
    </w:p>
    <w:p>
      <w:pPr>
        <w:pStyle w:val="ListNumber"/>
        <w:spacing w:line="360" w:lineRule="auto"/>
      </w:pPr>
      <w:r>
        <w:rPr>
          <w:rFonts w:ascii="宋体" w:hAnsi="宋体"/>
          <w:b w:val="0"/>
          <w:i w:val="0"/>
          <w:sz w:val="24"/>
        </w:rPr>
        <w:t xml:space="preserve">Ji, Z., Lee, N., Frieske, R., Yu, T., Su, D., et al. (2023). Survey of hallucination in natural language generation. </w:t>
      </w:r>
      <w:r>
        <w:rPr>
          <w:rFonts w:ascii="宋体" w:hAnsi="宋体"/>
          <w:b w:val="0"/>
          <w:i/>
          <w:sz w:val="24"/>
        </w:rPr>
        <w:t>ACM Computing Surveys</w:t>
      </w:r>
      <w:r>
        <w:rPr>
          <w:rFonts w:ascii="宋体" w:hAnsi="宋体"/>
          <w:b w:val="0"/>
          <w:i w:val="0"/>
          <w:sz w:val="24"/>
        </w:rPr>
        <w:t>, 55(12), 1-38.</w:t>
      </w:r>
    </w:p>
    <w:p>
      <w:pPr>
        <w:pStyle w:val="ListNumber"/>
        <w:spacing w:line="360" w:lineRule="auto"/>
      </w:pPr>
      <w:r>
        <w:rPr>
          <w:rFonts w:ascii="宋体" w:hAnsi="宋体"/>
          <w:b w:val="0"/>
          <w:i w:val="0"/>
          <w:sz w:val="24"/>
        </w:rPr>
        <w:t xml:space="preserve">Jin, J., Song, C., Li, H., Gai, K., Wang, J., &amp; Zhang, W. (2018). Real-time bidding with multi-agent reinforcement learning in display advertising. </w:t>
      </w:r>
      <w:r>
        <w:rPr>
          <w:rFonts w:ascii="宋体" w:hAnsi="宋体"/>
          <w:b w:val="0"/>
          <w:i/>
          <w:sz w:val="24"/>
        </w:rPr>
        <w:t>Proceedings of the 27th ACM International Conference on Information and Knowledge Management</w:t>
      </w:r>
      <w:r>
        <w:rPr>
          <w:rFonts w:ascii="宋体" w:hAnsi="宋体"/>
          <w:b w:val="0"/>
          <w:i w:val="0"/>
          <w:sz w:val="24"/>
        </w:rPr>
        <w:t>, 2193-2201.</w:t>
      </w:r>
    </w:p>
    <w:p>
      <w:pPr>
        <w:pStyle w:val="ListNumber"/>
        <w:spacing w:line="360" w:lineRule="auto"/>
      </w:pPr>
      <w:r>
        <w:rPr>
          <w:rFonts w:ascii="宋体" w:hAnsi="宋体"/>
          <w:b w:val="0"/>
          <w:i w:val="0"/>
          <w:sz w:val="24"/>
        </w:rPr>
        <w:t xml:space="preserve">Ke, J., Gong, Y., &amp; Zhu, S. (2024). Exploring the frontiers of LLM-based multi-agent systems for marketing. </w:t>
      </w:r>
      <w:r>
        <w:rPr>
          <w:rFonts w:ascii="宋体" w:hAnsi="宋体"/>
          <w:b w:val="0"/>
          <w:i/>
          <w:sz w:val="24"/>
        </w:rPr>
        <w:t>Expert Systems with Applications</w:t>
      </w:r>
      <w:r>
        <w:rPr>
          <w:rFonts w:ascii="宋体" w:hAnsi="宋体"/>
          <w:b w:val="0"/>
          <w:i w:val="0"/>
          <w:sz w:val="24"/>
        </w:rPr>
        <w:t>, 238, 121965.</w:t>
      </w:r>
    </w:p>
    <w:p>
      <w:pPr>
        <w:pStyle w:val="ListNumber"/>
        <w:spacing w:line="360" w:lineRule="auto"/>
      </w:pPr>
      <w:r>
        <w:rPr>
          <w:rFonts w:ascii="宋体" w:hAnsi="宋体"/>
          <w:b w:val="0"/>
          <w:i w:val="0"/>
          <w:sz w:val="24"/>
        </w:rPr>
        <w:t xml:space="preserve">Kiesling, E., Günther, M., Stummer, C., &amp; Wakolbinger, L. M. (2012). Agent-based simulation of innovation diffusion: A review. </w:t>
      </w:r>
      <w:r>
        <w:rPr>
          <w:rFonts w:ascii="宋体" w:hAnsi="宋体"/>
          <w:b w:val="0"/>
          <w:i/>
          <w:sz w:val="24"/>
        </w:rPr>
        <w:t>Central European Journal of Operations Research</w:t>
      </w:r>
      <w:r>
        <w:rPr>
          <w:rFonts w:ascii="宋体" w:hAnsi="宋体"/>
          <w:b w:val="0"/>
          <w:i w:val="0"/>
          <w:sz w:val="24"/>
        </w:rPr>
        <w:t>, 20(2), 183-230.</w:t>
      </w:r>
    </w:p>
    <w:p>
      <w:pPr>
        <w:pStyle w:val="ListNumber"/>
        <w:spacing w:line="360" w:lineRule="auto"/>
      </w:pPr>
      <w:r>
        <w:rPr>
          <w:rFonts w:ascii="宋体" w:hAnsi="宋体"/>
          <w:b w:val="0"/>
          <w:i w:val="0"/>
          <w:sz w:val="24"/>
        </w:rPr>
        <w:t xml:space="preserve">Lee, J. S., Filatova, T., Ligmann-Zielinska, A., Hassani-Mahmooei, B., Stonedahl, F., et al. (2015). The complexities of agent-based modeling output analysis. </w:t>
      </w:r>
      <w:r>
        <w:rPr>
          <w:rFonts w:ascii="宋体" w:hAnsi="宋体"/>
          <w:b w:val="0"/>
          <w:i/>
          <w:sz w:val="24"/>
        </w:rPr>
        <w:t>Journal of Artificial Societies and Social Simulation</w:t>
      </w:r>
      <w:r>
        <w:rPr>
          <w:rFonts w:ascii="宋体" w:hAnsi="宋体"/>
          <w:b w:val="0"/>
          <w:i w:val="0"/>
          <w:sz w:val="24"/>
        </w:rPr>
        <w:t>, 18(4), 4.</w:t>
      </w:r>
    </w:p>
    <w:p>
      <w:pPr>
        <w:pStyle w:val="ListNumber"/>
        <w:spacing w:line="360" w:lineRule="auto"/>
      </w:pPr>
      <w:r>
        <w:rPr>
          <w:rFonts w:ascii="宋体" w:hAnsi="宋体"/>
          <w:b w:val="0"/>
          <w:i w:val="0"/>
          <w:sz w:val="24"/>
        </w:rPr>
        <w:t xml:space="preserve">Li, J., Zhang, Y., Chen, L., &amp; Gao, J. (2024). Multi-agent collaboration for AI-driven marketing: Architecture, mechanisms, and evaluation. </w:t>
      </w:r>
      <w:r>
        <w:rPr>
          <w:rFonts w:ascii="宋体" w:hAnsi="宋体"/>
          <w:b w:val="0"/>
          <w:i/>
          <w:sz w:val="24"/>
        </w:rPr>
        <w:t>Proceedings of the AAAI Conference on Artificial Intelligence</w:t>
      </w:r>
      <w:r>
        <w:rPr>
          <w:rFonts w:ascii="宋体" w:hAnsi="宋体"/>
          <w:b w:val="0"/>
          <w:i w:val="0"/>
          <w:sz w:val="24"/>
        </w:rPr>
        <w:t>, 38(20), 22145-22153.</w:t>
      </w:r>
    </w:p>
    <w:p>
      <w:pPr>
        <w:pStyle w:val="ListNumber"/>
        <w:spacing w:line="360" w:lineRule="auto"/>
      </w:pPr>
      <w:r>
        <w:rPr>
          <w:rFonts w:ascii="宋体" w:hAnsi="宋体"/>
          <w:b w:val="0"/>
          <w:i w:val="0"/>
          <w:sz w:val="24"/>
        </w:rPr>
        <w:t xml:space="preserve">Liang, P., &amp; et al. (2022). Holistic evaluation of language models. </w:t>
      </w:r>
      <w:r>
        <w:rPr>
          <w:rFonts w:ascii="宋体" w:hAnsi="宋体"/>
          <w:b w:val="0"/>
          <w:i/>
          <w:sz w:val="24"/>
        </w:rPr>
        <w:t>arXiv preprint arXiv:2211.09110</w:t>
      </w:r>
      <w:r>
        <w:rPr>
          <w:rFonts w:ascii="宋体" w:hAnsi="宋体"/>
          <w:b w:val="0"/>
          <w:i w:val="0"/>
          <w:sz w:val="24"/>
        </w:rPr>
        <w:t>.</w:t>
      </w:r>
    </w:p>
    <w:p>
      <w:pPr>
        <w:pStyle w:val="ListNumber"/>
        <w:spacing w:line="360" w:lineRule="auto"/>
      </w:pPr>
      <w:r>
        <w:rPr>
          <w:rFonts w:ascii="宋体" w:hAnsi="宋体"/>
          <w:b w:val="0"/>
          <w:i w:val="0"/>
          <w:sz w:val="24"/>
        </w:rPr>
        <w:t xml:space="preserve">Liu, X., Yu, H., Zhang, H., Xu, Y., Lei, X., et al. (2023). AgentBench: Evaluating LLMs as agents. </w:t>
      </w:r>
      <w:r>
        <w:rPr>
          <w:rFonts w:ascii="宋体" w:hAnsi="宋体"/>
          <w:b w:val="0"/>
          <w:i/>
          <w:sz w:val="24"/>
        </w:rPr>
        <w:t>Proceedings of ICLR 2024</w:t>
      </w:r>
      <w:r>
        <w:rPr>
          <w:rFonts w:ascii="宋体" w:hAnsi="宋体"/>
          <w:b w:val="0"/>
          <w:i w:val="0"/>
          <w:sz w:val="24"/>
        </w:rPr>
        <w:t>.</w:t>
      </w:r>
    </w:p>
    <w:p>
      <w:pPr>
        <w:pStyle w:val="ListNumber"/>
        <w:spacing w:line="360" w:lineRule="auto"/>
      </w:pPr>
      <w:r>
        <w:rPr>
          <w:rFonts w:ascii="宋体" w:hAnsi="宋体"/>
          <w:b w:val="0"/>
          <w:i w:val="0"/>
          <w:sz w:val="24"/>
        </w:rPr>
        <w:t xml:space="preserve">Lu, P., Peng, B., Cheng, H., Galley, M., Chang, K. W., et al. (2024). Chameleon: Plug-and-play compositional reasoning with GPT-4. </w:t>
      </w:r>
      <w:r>
        <w:rPr>
          <w:rFonts w:ascii="宋体" w:hAnsi="宋体"/>
          <w:b w:val="0"/>
          <w:i/>
          <w:sz w:val="24"/>
        </w:rPr>
        <w:t>Advances in Neural Information Processing Systems</w:t>
      </w:r>
      <w:r>
        <w:rPr>
          <w:rFonts w:ascii="宋体" w:hAnsi="宋体"/>
          <w:b w:val="0"/>
          <w:i w:val="0"/>
          <w:sz w:val="24"/>
        </w:rPr>
        <w:t>, 36.</w:t>
      </w:r>
    </w:p>
    <w:p>
      <w:pPr>
        <w:pStyle w:val="ListNumber"/>
        <w:spacing w:line="360" w:lineRule="auto"/>
      </w:pPr>
      <w:r>
        <w:rPr>
          <w:rFonts w:ascii="宋体" w:hAnsi="宋体"/>
          <w:b w:val="0"/>
          <w:i w:val="0"/>
          <w:sz w:val="24"/>
        </w:rPr>
        <w:t xml:space="preserve">Macal, C. M., &amp; North, M. J. (2010). Tutorial on agent-based modelling and simulation. </w:t>
      </w:r>
      <w:r>
        <w:rPr>
          <w:rFonts w:ascii="宋体" w:hAnsi="宋体"/>
          <w:b w:val="0"/>
          <w:i/>
          <w:sz w:val="24"/>
        </w:rPr>
        <w:t>Journal of Simulation</w:t>
      </w:r>
      <w:r>
        <w:rPr>
          <w:rFonts w:ascii="宋体" w:hAnsi="宋体"/>
          <w:b w:val="0"/>
          <w:i w:val="0"/>
          <w:sz w:val="24"/>
        </w:rPr>
        <w:t>, 4(3), 151-162.</w:t>
      </w:r>
    </w:p>
    <w:p>
      <w:pPr>
        <w:pStyle w:val="ListNumber"/>
        <w:spacing w:line="360" w:lineRule="auto"/>
      </w:pPr>
      <w:r>
        <w:rPr>
          <w:rFonts w:ascii="宋体" w:hAnsi="宋体"/>
          <w:b w:val="0"/>
          <w:i w:val="0"/>
          <w:sz w:val="24"/>
        </w:rPr>
        <w:t xml:space="preserve">Macy, M. W., &amp; Willer, R. (2002). From factors to actors: Computational sociology and agent-based modeling. </w:t>
      </w:r>
      <w:r>
        <w:rPr>
          <w:rFonts w:ascii="宋体" w:hAnsi="宋体"/>
          <w:b w:val="0"/>
          <w:i/>
          <w:sz w:val="24"/>
        </w:rPr>
        <w:t>Annual Review of Sociology</w:t>
      </w:r>
      <w:r>
        <w:rPr>
          <w:rFonts w:ascii="宋体" w:hAnsi="宋体"/>
          <w:b w:val="0"/>
          <w:i w:val="0"/>
          <w:sz w:val="24"/>
        </w:rPr>
        <w:t>, 28(1), 143-166.</w:t>
      </w:r>
    </w:p>
    <w:p>
      <w:pPr>
        <w:pStyle w:val="ListNumber"/>
        <w:spacing w:line="360" w:lineRule="auto"/>
      </w:pPr>
      <w:r>
        <w:rPr>
          <w:rFonts w:ascii="宋体" w:hAnsi="宋体"/>
          <w:b w:val="0"/>
          <w:i w:val="0"/>
          <w:sz w:val="24"/>
        </w:rPr>
        <w:t xml:space="preserve">Moura, J. (2024). CrewAI: Framework for orchestrating role-playing AI agents. </w:t>
      </w:r>
      <w:r>
        <w:rPr>
          <w:rFonts w:ascii="宋体" w:hAnsi="宋体"/>
          <w:b w:val="0"/>
          <w:i/>
          <w:sz w:val="24"/>
        </w:rPr>
        <w:t>GitHub Repository</w:t>
      </w:r>
      <w:r>
        <w:rPr>
          <w:rFonts w:ascii="宋体" w:hAnsi="宋体"/>
          <w:b w:val="0"/>
          <w:i w:val="0"/>
          <w:sz w:val="24"/>
        </w:rPr>
        <w:t>, https://github.com/crewAIInc/crewAI.</w:t>
      </w:r>
    </w:p>
    <w:p>
      <w:pPr>
        <w:pStyle w:val="ListNumber"/>
        <w:spacing w:line="360" w:lineRule="auto"/>
      </w:pPr>
      <w:r>
        <w:rPr>
          <w:rFonts w:ascii="宋体" w:hAnsi="宋体"/>
          <w:b w:val="0"/>
          <w:i w:val="0"/>
          <w:sz w:val="24"/>
        </w:rPr>
        <w:t xml:space="preserve">Negahban, A., &amp; Yilmaz, L. (2014). Agent-based simulation applications in marketing research: An integrated review. </w:t>
      </w:r>
      <w:r>
        <w:rPr>
          <w:rFonts w:ascii="宋体" w:hAnsi="宋体"/>
          <w:b w:val="0"/>
          <w:i/>
          <w:sz w:val="24"/>
        </w:rPr>
        <w:t>Journal of Simulation</w:t>
      </w:r>
      <w:r>
        <w:rPr>
          <w:rFonts w:ascii="宋体" w:hAnsi="宋体"/>
          <w:b w:val="0"/>
          <w:i w:val="0"/>
          <w:sz w:val="24"/>
        </w:rPr>
        <w:t>, 8(2), 129-142.</w:t>
      </w:r>
    </w:p>
    <w:p>
      <w:pPr>
        <w:pStyle w:val="ListNumber"/>
        <w:spacing w:line="360" w:lineRule="auto"/>
      </w:pPr>
      <w:r>
        <w:rPr>
          <w:rFonts w:ascii="宋体" w:hAnsi="宋体"/>
          <w:b w:val="0"/>
          <w:i w:val="0"/>
          <w:sz w:val="24"/>
        </w:rPr>
        <w:t xml:space="preserve">Nianogo, R. A., &amp; Arah, O. A. (2015). Agent-based modeling of noncommunicable diseases: A systematic review. </w:t>
      </w:r>
      <w:r>
        <w:rPr>
          <w:rFonts w:ascii="宋体" w:hAnsi="宋体"/>
          <w:b w:val="0"/>
          <w:i/>
          <w:sz w:val="24"/>
        </w:rPr>
        <w:t>American Journal of Public Health</w:t>
      </w:r>
      <w:r>
        <w:rPr>
          <w:rFonts w:ascii="宋体" w:hAnsi="宋体"/>
          <w:b w:val="0"/>
          <w:i w:val="0"/>
          <w:sz w:val="24"/>
        </w:rPr>
        <w:t>, 105(3), e20-e31.</w:t>
      </w:r>
    </w:p>
    <w:p>
      <w:pPr>
        <w:pStyle w:val="ListNumber"/>
        <w:spacing w:line="360" w:lineRule="auto"/>
      </w:pPr>
      <w:r>
        <w:rPr>
          <w:rFonts w:ascii="宋体" w:hAnsi="宋体"/>
          <w:b w:val="0"/>
          <w:i w:val="0"/>
          <w:sz w:val="24"/>
        </w:rPr>
        <w:t xml:space="preserve">North, M. J., &amp; Macal, C. M. (2007). </w:t>
      </w:r>
      <w:r>
        <w:rPr>
          <w:rFonts w:ascii="宋体" w:hAnsi="宋体"/>
          <w:b w:val="0"/>
          <w:i/>
          <w:sz w:val="24"/>
        </w:rPr>
        <w:t>Managing business complexity: Discovering strategic solutions with agent-based modeling and simulation</w:t>
      </w:r>
      <w:r>
        <w:rPr>
          <w:rFonts w:ascii="宋体" w:hAnsi="宋体"/>
          <w:b w:val="0"/>
          <w:i w:val="0"/>
          <w:sz w:val="24"/>
        </w:rPr>
        <w:t>. Oxford University Press.</w:t>
      </w:r>
    </w:p>
    <w:p>
      <w:pPr>
        <w:pStyle w:val="ListNumber"/>
        <w:spacing w:line="360" w:lineRule="auto"/>
      </w:pPr>
      <w:r>
        <w:rPr>
          <w:rFonts w:ascii="宋体" w:hAnsi="宋体"/>
          <w:b w:val="0"/>
          <w:i w:val="0"/>
          <w:sz w:val="24"/>
        </w:rPr>
        <w:t xml:space="preserve">OpenAI. (2023). GPT-4 technical report. </w:t>
      </w:r>
      <w:r>
        <w:rPr>
          <w:rFonts w:ascii="宋体" w:hAnsi="宋体"/>
          <w:b w:val="0"/>
          <w:i/>
          <w:sz w:val="24"/>
        </w:rPr>
        <w:t>arXiv preprint arXiv:2303.08774</w:t>
      </w:r>
      <w:r>
        <w:rPr>
          <w:rFonts w:ascii="宋体" w:hAnsi="宋体"/>
          <w:b w:val="0"/>
          <w:i w:val="0"/>
          <w:sz w:val="24"/>
        </w:rPr>
        <w:t>.</w:t>
      </w:r>
    </w:p>
    <w:p>
      <w:pPr>
        <w:pStyle w:val="ListNumber"/>
        <w:spacing w:line="360" w:lineRule="auto"/>
      </w:pPr>
      <w:r>
        <w:rPr>
          <w:rFonts w:ascii="宋体" w:hAnsi="宋体"/>
          <w:b w:val="0"/>
          <w:i w:val="0"/>
          <w:sz w:val="24"/>
        </w:rPr>
        <w:t xml:space="preserve">Park, J. S., O'Brien, J. C., Cai, C. J., Morris, M. R., Liang, P., &amp; Bernstein, M. S. (2023). Generative agents: Interactive simulacra of human behavior. </w:t>
      </w:r>
      <w:r>
        <w:rPr>
          <w:rFonts w:ascii="宋体" w:hAnsi="宋体"/>
          <w:b w:val="0"/>
          <w:i/>
          <w:sz w:val="24"/>
        </w:rPr>
        <w:t>Proceedings of the 36th Annual ACM Symposium on User Interface Software and Technology</w:t>
      </w:r>
      <w:r>
        <w:rPr>
          <w:rFonts w:ascii="宋体" w:hAnsi="宋体"/>
          <w:b w:val="0"/>
          <w:i w:val="0"/>
          <w:sz w:val="24"/>
        </w:rPr>
        <w:t>, 1-22.</w:t>
      </w:r>
    </w:p>
    <w:p>
      <w:pPr>
        <w:pStyle w:val="ListNumber"/>
        <w:spacing w:line="360" w:lineRule="auto"/>
      </w:pPr>
      <w:r>
        <w:rPr>
          <w:rFonts w:ascii="宋体" w:hAnsi="宋体"/>
          <w:b w:val="0"/>
          <w:i w:val="0"/>
          <w:sz w:val="24"/>
        </w:rPr>
        <w:t xml:space="preserve">Puntoni, S., Reczek, R. W., Giesler, M., &amp; Botti, S. (2021). Consumers and artificial intelligence: An experiential perspective. </w:t>
      </w:r>
      <w:r>
        <w:rPr>
          <w:rFonts w:ascii="宋体" w:hAnsi="宋体"/>
          <w:b w:val="0"/>
          <w:i/>
          <w:sz w:val="24"/>
        </w:rPr>
        <w:t>Journal of Marketing</w:t>
      </w:r>
      <w:r>
        <w:rPr>
          <w:rFonts w:ascii="宋体" w:hAnsi="宋体"/>
          <w:b w:val="0"/>
          <w:i w:val="0"/>
          <w:sz w:val="24"/>
        </w:rPr>
        <w:t>, 85(1), 131-151.</w:t>
      </w:r>
    </w:p>
    <w:p>
      <w:pPr>
        <w:pStyle w:val="ListNumber"/>
        <w:spacing w:line="360" w:lineRule="auto"/>
      </w:pPr>
      <w:r>
        <w:rPr>
          <w:rFonts w:ascii="宋体" w:hAnsi="宋体"/>
          <w:b w:val="0"/>
          <w:i w:val="0"/>
          <w:sz w:val="24"/>
        </w:rPr>
        <w:t xml:space="preserve">Railsback, S. F., &amp; Grimm, V. (2019). </w:t>
      </w:r>
      <w:r>
        <w:rPr>
          <w:rFonts w:ascii="宋体" w:hAnsi="宋体"/>
          <w:b w:val="0"/>
          <w:i/>
          <w:sz w:val="24"/>
        </w:rPr>
        <w:t>Agent-based and individual-based modeling: A practical introduction</w:t>
      </w:r>
      <w:r>
        <w:rPr>
          <w:rFonts w:ascii="宋体" w:hAnsi="宋体"/>
          <w:b w:val="0"/>
          <w:i w:val="0"/>
          <w:sz w:val="24"/>
        </w:rPr>
        <w:t xml:space="preserve"> (2nd ed.). Princeton University Press.</w:t>
      </w:r>
    </w:p>
    <w:p>
      <w:pPr>
        <w:pStyle w:val="ListNumber"/>
        <w:spacing w:line="360" w:lineRule="auto"/>
      </w:pPr>
      <w:r>
        <w:rPr>
          <w:rFonts w:ascii="宋体" w:hAnsi="宋体"/>
          <w:b w:val="0"/>
          <w:i w:val="0"/>
          <w:sz w:val="24"/>
        </w:rPr>
        <w:t xml:space="preserve">Rand, W., &amp; Rust, R. T. (2011). Agent-based modeling in marketing: Guidelines for rigor. </w:t>
      </w:r>
      <w:r>
        <w:rPr>
          <w:rFonts w:ascii="宋体" w:hAnsi="宋体"/>
          <w:b w:val="0"/>
          <w:i/>
          <w:sz w:val="24"/>
        </w:rPr>
        <w:t>International Journal of Research in Marketing</w:t>
      </w:r>
      <w:r>
        <w:rPr>
          <w:rFonts w:ascii="宋体" w:hAnsi="宋体"/>
          <w:b w:val="0"/>
          <w:i w:val="0"/>
          <w:sz w:val="24"/>
        </w:rPr>
        <w:t>, 28(3), 181-193.</w:t>
      </w:r>
    </w:p>
    <w:p>
      <w:pPr>
        <w:pStyle w:val="ListNumber"/>
        <w:spacing w:line="360" w:lineRule="auto"/>
      </w:pPr>
      <w:r>
        <w:rPr>
          <w:rFonts w:ascii="宋体" w:hAnsi="宋体"/>
          <w:b w:val="0"/>
          <w:i w:val="0"/>
          <w:sz w:val="24"/>
        </w:rPr>
        <w:t xml:space="preserve">Schelling, T. C. (1971). Dynamic models of segregation. </w:t>
      </w:r>
      <w:r>
        <w:rPr>
          <w:rFonts w:ascii="宋体" w:hAnsi="宋体"/>
          <w:b w:val="0"/>
          <w:i/>
          <w:sz w:val="24"/>
        </w:rPr>
        <w:t>Journal of Mathematical Sociology</w:t>
      </w:r>
      <w:r>
        <w:rPr>
          <w:rFonts w:ascii="宋体" w:hAnsi="宋体"/>
          <w:b w:val="0"/>
          <w:i w:val="0"/>
          <w:sz w:val="24"/>
        </w:rPr>
        <w:t>, 1(2), 143-186.</w:t>
      </w:r>
    </w:p>
    <w:p>
      <w:pPr>
        <w:pStyle w:val="ListNumber"/>
        <w:spacing w:line="360" w:lineRule="auto"/>
      </w:pPr>
      <w:r>
        <w:rPr>
          <w:rFonts w:ascii="宋体" w:hAnsi="宋体"/>
          <w:b w:val="0"/>
          <w:i w:val="0"/>
          <w:sz w:val="24"/>
        </w:rPr>
        <w:t xml:space="preserve">Shao, Z., Yu, Z., Wang, M., &amp; Li, J. (2024). Agent-based modeling meets generative AI: A new paradigm for social simulation. </w:t>
      </w:r>
      <w:r>
        <w:rPr>
          <w:rFonts w:ascii="宋体" w:hAnsi="宋体"/>
          <w:b w:val="0"/>
          <w:i/>
          <w:sz w:val="24"/>
        </w:rPr>
        <w:t>arXiv preprint arXiv:2404.12253</w:t>
      </w:r>
      <w:r>
        <w:rPr>
          <w:rFonts w:ascii="宋体" w:hAnsi="宋体"/>
          <w:b w:val="0"/>
          <w:i w:val="0"/>
          <w:sz w:val="24"/>
        </w:rPr>
        <w:t>.</w:t>
      </w:r>
    </w:p>
    <w:p>
      <w:pPr>
        <w:pStyle w:val="ListNumber"/>
        <w:spacing w:line="360" w:lineRule="auto"/>
      </w:pPr>
      <w:r>
        <w:rPr>
          <w:rFonts w:ascii="宋体" w:hAnsi="宋体"/>
          <w:b w:val="0"/>
          <w:i w:val="0"/>
          <w:sz w:val="24"/>
        </w:rPr>
        <w:t xml:space="preserve">Squazzoni, F. (2012). </w:t>
      </w:r>
      <w:r>
        <w:rPr>
          <w:rFonts w:ascii="宋体" w:hAnsi="宋体"/>
          <w:b w:val="0"/>
          <w:i/>
          <w:sz w:val="24"/>
        </w:rPr>
        <w:t>Agent-based computational sociology</w:t>
      </w:r>
      <w:r>
        <w:rPr>
          <w:rFonts w:ascii="宋体" w:hAnsi="宋体"/>
          <w:b w:val="0"/>
          <w:i w:val="0"/>
          <w:sz w:val="24"/>
        </w:rPr>
        <w:t>. John Wiley &amp; Sons.</w:t>
      </w:r>
    </w:p>
    <w:p>
      <w:pPr>
        <w:pStyle w:val="ListNumber"/>
        <w:spacing w:line="360" w:lineRule="auto"/>
      </w:pPr>
      <w:r>
        <w:rPr>
          <w:rFonts w:ascii="宋体" w:hAnsi="宋体"/>
          <w:b w:val="0"/>
          <w:i w:val="0"/>
          <w:sz w:val="24"/>
        </w:rPr>
        <w:t xml:space="preserve">Sun, L., Huang, Y., Wang, H., Wu, S., Zhang, Q., et al. (2024). TrustLLM: Trustworthiness in large language models. </w:t>
      </w:r>
      <w:r>
        <w:rPr>
          <w:rFonts w:ascii="宋体" w:hAnsi="宋体"/>
          <w:b w:val="0"/>
          <w:i/>
          <w:sz w:val="24"/>
        </w:rPr>
        <w:t>Proceedings of ICML 2024</w:t>
      </w:r>
      <w:r>
        <w:rPr>
          <w:rFonts w:ascii="宋体" w:hAnsi="宋体"/>
          <w:b w:val="0"/>
          <w:i w:val="0"/>
          <w:sz w:val="24"/>
        </w:rPr>
        <w:t>.</w:t>
      </w:r>
    </w:p>
    <w:p>
      <w:pPr>
        <w:pStyle w:val="ListNumber"/>
        <w:spacing w:line="360" w:lineRule="auto"/>
      </w:pPr>
      <w:r>
        <w:rPr>
          <w:rFonts w:ascii="宋体" w:hAnsi="宋体"/>
          <w:b w:val="0"/>
          <w:i w:val="0"/>
          <w:sz w:val="24"/>
        </w:rPr>
        <w:t xml:space="preserve">Susser, D., Roessler, B., &amp; Nissenbaum, H. (2019). Technology, autonomy, and manipulation. </w:t>
      </w:r>
      <w:r>
        <w:rPr>
          <w:rFonts w:ascii="宋体" w:hAnsi="宋体"/>
          <w:b w:val="0"/>
          <w:i/>
          <w:sz w:val="24"/>
        </w:rPr>
        <w:t>Internet Policy Review</w:t>
      </w:r>
      <w:r>
        <w:rPr>
          <w:rFonts w:ascii="宋体" w:hAnsi="宋体"/>
          <w:b w:val="0"/>
          <w:i w:val="0"/>
          <w:sz w:val="24"/>
        </w:rPr>
        <w:t>, 8(2), 1-22.</w:t>
      </w:r>
    </w:p>
    <w:p>
      <w:pPr>
        <w:pStyle w:val="ListNumber"/>
        <w:spacing w:line="360" w:lineRule="auto"/>
      </w:pPr>
      <w:r>
        <w:rPr>
          <w:rFonts w:ascii="宋体" w:hAnsi="宋体"/>
          <w:b w:val="0"/>
          <w:i w:val="0"/>
          <w:sz w:val="24"/>
        </w:rPr>
        <w:t xml:space="preserve">Tesfatsion, L. (2006). Agent-based computational economics: A constructive approach to economic theory. </w:t>
      </w:r>
      <w:r>
        <w:rPr>
          <w:rFonts w:ascii="宋体" w:hAnsi="宋体"/>
          <w:b w:val="0"/>
          <w:i/>
          <w:sz w:val="24"/>
        </w:rPr>
        <w:t>Handbook of Computational Economics</w:t>
      </w:r>
      <w:r>
        <w:rPr>
          <w:rFonts w:ascii="宋体" w:hAnsi="宋体"/>
          <w:b w:val="0"/>
          <w:i w:val="0"/>
          <w:sz w:val="24"/>
        </w:rPr>
        <w:t>, 2, 831-880.</w:t>
      </w:r>
    </w:p>
    <w:p>
      <w:pPr>
        <w:pStyle w:val="ListNumber"/>
        <w:spacing w:line="360" w:lineRule="auto"/>
      </w:pPr>
      <w:r>
        <w:rPr>
          <w:rFonts w:ascii="宋体" w:hAnsi="宋体"/>
          <w:b w:val="0"/>
          <w:i w:val="0"/>
          <w:sz w:val="24"/>
        </w:rPr>
        <w:t xml:space="preserve">Tesauro, G., &amp; Kephart, J. O. (2002). Pricing in agent economies using multi-agent Q-learning. </w:t>
      </w:r>
      <w:r>
        <w:rPr>
          <w:rFonts w:ascii="宋体" w:hAnsi="宋体"/>
          <w:b w:val="0"/>
          <w:i/>
          <w:sz w:val="24"/>
        </w:rPr>
        <w:t>Autonomous Agents and Multi-Agent Systems</w:t>
      </w:r>
      <w:r>
        <w:rPr>
          <w:rFonts w:ascii="宋体" w:hAnsi="宋体"/>
          <w:b w:val="0"/>
          <w:i w:val="0"/>
          <w:sz w:val="24"/>
        </w:rPr>
        <w:t>, 5(3), 289-304.</w:t>
      </w:r>
    </w:p>
    <w:p>
      <w:pPr>
        <w:pStyle w:val="ListNumber"/>
        <w:spacing w:line="360" w:lineRule="auto"/>
      </w:pPr>
      <w:r>
        <w:rPr>
          <w:rFonts w:ascii="宋体" w:hAnsi="宋体"/>
          <w:b w:val="0"/>
          <w:i w:val="0"/>
          <w:sz w:val="24"/>
        </w:rPr>
        <w:t xml:space="preserve">Tian, Y., Yang, J., Wang, Q., Chen, X., &amp; Li, J. (2024). Multi-agent systems for marketing automation: A systematic review. </w:t>
      </w:r>
      <w:r>
        <w:rPr>
          <w:rFonts w:ascii="宋体" w:hAnsi="宋体"/>
          <w:b w:val="0"/>
          <w:i/>
          <w:sz w:val="24"/>
        </w:rPr>
        <w:t>Information Processing &amp; Management</w:t>
      </w:r>
      <w:r>
        <w:rPr>
          <w:rFonts w:ascii="宋体" w:hAnsi="宋体"/>
          <w:b w:val="0"/>
          <w:i w:val="0"/>
          <w:sz w:val="24"/>
        </w:rPr>
        <w:t>, 61(3), 103672.</w:t>
      </w:r>
    </w:p>
    <w:p>
      <w:pPr>
        <w:pStyle w:val="ListNumber"/>
        <w:spacing w:line="360" w:lineRule="auto"/>
      </w:pPr>
      <w:r>
        <w:rPr>
          <w:rFonts w:ascii="宋体" w:hAnsi="宋体"/>
          <w:b w:val="0"/>
          <w:i w:val="0"/>
          <w:sz w:val="24"/>
        </w:rPr>
        <w:t xml:space="preserve">Touvron, H., Lavril, T., Izacard, G., Martinet, X., Lachaux, M. A., et al. (2023). LLaMA: Open and efficient foundation language models. </w:t>
      </w:r>
      <w:r>
        <w:rPr>
          <w:rFonts w:ascii="宋体" w:hAnsi="宋体"/>
          <w:b w:val="0"/>
          <w:i/>
          <w:sz w:val="24"/>
        </w:rPr>
        <w:t>arXiv preprint arXiv:2302.13971</w:t>
      </w:r>
      <w:r>
        <w:rPr>
          <w:rFonts w:ascii="宋体" w:hAnsi="宋体"/>
          <w:b w:val="0"/>
          <w:i w:val="0"/>
          <w:sz w:val="24"/>
        </w:rPr>
        <w:t>.</w:t>
      </w:r>
    </w:p>
    <w:p>
      <w:pPr>
        <w:pStyle w:val="ListNumber"/>
        <w:spacing w:line="360" w:lineRule="auto"/>
      </w:pPr>
      <w:r>
        <w:rPr>
          <w:rFonts w:ascii="宋体" w:hAnsi="宋体"/>
          <w:b w:val="0"/>
          <w:i w:val="0"/>
          <w:sz w:val="24"/>
        </w:rPr>
        <w:t xml:space="preserve">Wang, L., Ma, C., Feng, X., Zhang, Z., Yang, H., et al. (2024). A survey on large language model based autonomous agents. </w:t>
      </w:r>
      <w:r>
        <w:rPr>
          <w:rFonts w:ascii="宋体" w:hAnsi="宋体"/>
          <w:b w:val="0"/>
          <w:i/>
          <w:sz w:val="24"/>
        </w:rPr>
        <w:t>Frontiers of Computer Science</w:t>
      </w:r>
      <w:r>
        <w:rPr>
          <w:rFonts w:ascii="宋体" w:hAnsi="宋体"/>
          <w:b w:val="0"/>
          <w:i w:val="0"/>
          <w:sz w:val="24"/>
        </w:rPr>
        <w:t>, 18(6), 186345.</w:t>
      </w:r>
    </w:p>
    <w:p>
      <w:pPr>
        <w:pStyle w:val="ListNumber"/>
        <w:spacing w:line="360" w:lineRule="auto"/>
      </w:pPr>
      <w:r>
        <w:rPr>
          <w:rFonts w:ascii="宋体" w:hAnsi="宋体"/>
          <w:b w:val="0"/>
          <w:i w:val="0"/>
          <w:sz w:val="24"/>
        </w:rPr>
        <w:t xml:space="preserve">Watts, D. J., &amp; Strogatz, S. H. (1998). Collective dynamics of 'small-world' networks. </w:t>
      </w:r>
      <w:r>
        <w:rPr>
          <w:rFonts w:ascii="宋体" w:hAnsi="宋体"/>
          <w:b w:val="0"/>
          <w:i/>
          <w:sz w:val="24"/>
        </w:rPr>
        <w:t>Nature</w:t>
      </w:r>
      <w:r>
        <w:rPr>
          <w:rFonts w:ascii="宋体" w:hAnsi="宋体"/>
          <w:b w:val="0"/>
          <w:i w:val="0"/>
          <w:sz w:val="24"/>
        </w:rPr>
        <w:t>, 393(6684), 440-442.</w:t>
      </w:r>
    </w:p>
    <w:p>
      <w:pPr>
        <w:pStyle w:val="ListNumber"/>
        <w:spacing w:line="360" w:lineRule="auto"/>
      </w:pPr>
      <w:r>
        <w:rPr>
          <w:rFonts w:ascii="宋体" w:hAnsi="宋体"/>
          <w:b w:val="0"/>
          <w:i w:val="0"/>
          <w:sz w:val="24"/>
        </w:rPr>
        <w:t xml:space="preserve">Wilensky, U., &amp; Rand, W. (2015). </w:t>
      </w:r>
      <w:r>
        <w:rPr>
          <w:rFonts w:ascii="宋体" w:hAnsi="宋体"/>
          <w:b w:val="0"/>
          <w:i/>
          <w:sz w:val="24"/>
        </w:rPr>
        <w:t>An introduction to agent-based modeling: Modeling natural, social, and engineered complex systems with NetLogo</w:t>
      </w:r>
      <w:r>
        <w:rPr>
          <w:rFonts w:ascii="宋体" w:hAnsi="宋体"/>
          <w:b w:val="0"/>
          <w:i w:val="0"/>
          <w:sz w:val="24"/>
        </w:rPr>
        <w:t>. MIT Press.</w:t>
      </w:r>
    </w:p>
    <w:p>
      <w:pPr>
        <w:pStyle w:val="ListNumber"/>
        <w:spacing w:line="360" w:lineRule="auto"/>
      </w:pPr>
      <w:r>
        <w:rPr>
          <w:rFonts w:ascii="宋体" w:hAnsi="宋体"/>
          <w:b w:val="0"/>
          <w:i w:val="0"/>
          <w:sz w:val="24"/>
        </w:rPr>
        <w:t xml:space="preserve">Windrum, P., Fagiolo, G., &amp; Moneta, A. (2007). Empirical validation of agent-based models: Alternatives and prospects. </w:t>
      </w:r>
      <w:r>
        <w:rPr>
          <w:rFonts w:ascii="宋体" w:hAnsi="宋体"/>
          <w:b w:val="0"/>
          <w:i/>
          <w:sz w:val="24"/>
        </w:rPr>
        <w:t>Journal of Artificial Societies and Social Simulation</w:t>
      </w:r>
      <w:r>
        <w:rPr>
          <w:rFonts w:ascii="宋体" w:hAnsi="宋体"/>
          <w:b w:val="0"/>
          <w:i w:val="0"/>
          <w:sz w:val="24"/>
        </w:rPr>
        <w:t>, 10(2), 8.</w:t>
      </w:r>
    </w:p>
    <w:p>
      <w:pPr>
        <w:pStyle w:val="ListNumber"/>
        <w:spacing w:line="360" w:lineRule="auto"/>
      </w:pPr>
      <w:r>
        <w:rPr>
          <w:rFonts w:ascii="宋体" w:hAnsi="宋体"/>
          <w:b w:val="0"/>
          <w:i w:val="0"/>
          <w:sz w:val="24"/>
        </w:rPr>
        <w:t xml:space="preserve">Wooldridge, M. (2009). </w:t>
      </w:r>
      <w:r>
        <w:rPr>
          <w:rFonts w:ascii="宋体" w:hAnsi="宋体"/>
          <w:b w:val="0"/>
          <w:i/>
          <w:sz w:val="24"/>
        </w:rPr>
        <w:t>An introduction to multiagent systems</w:t>
      </w:r>
      <w:r>
        <w:rPr>
          <w:rFonts w:ascii="宋体" w:hAnsi="宋体"/>
          <w:b w:val="0"/>
          <w:i w:val="0"/>
          <w:sz w:val="24"/>
        </w:rPr>
        <w:t xml:space="preserve"> (2nd ed.). John Wiley &amp; Sons.</w:t>
      </w:r>
    </w:p>
    <w:p>
      <w:pPr>
        <w:pStyle w:val="ListNumber"/>
        <w:spacing w:line="360" w:lineRule="auto"/>
      </w:pPr>
      <w:r>
        <w:rPr>
          <w:rFonts w:ascii="宋体" w:hAnsi="宋体"/>
          <w:b w:val="0"/>
          <w:i w:val="0"/>
          <w:sz w:val="24"/>
        </w:rPr>
        <w:t xml:space="preserve">Wu, Q., Bansal, G., Zhang, J., Wu, Y., Li, B., et al. (2023). AutoGen: Enabling next-gen LLM applications via multi-agent conversation. </w:t>
      </w:r>
      <w:r>
        <w:rPr>
          <w:rFonts w:ascii="宋体" w:hAnsi="宋体"/>
          <w:b w:val="0"/>
          <w:i/>
          <w:sz w:val="24"/>
        </w:rPr>
        <w:t>arXiv preprint arXiv:2308.08155</w:t>
      </w:r>
      <w:r>
        <w:rPr>
          <w:rFonts w:ascii="宋体" w:hAnsi="宋体"/>
          <w:b w:val="0"/>
          <w:i w:val="0"/>
          <w:sz w:val="24"/>
        </w:rPr>
        <w:t>.</w:t>
      </w:r>
    </w:p>
    <w:p>
      <w:pPr>
        <w:pStyle w:val="ListNumber"/>
        <w:spacing w:line="360" w:lineRule="auto"/>
      </w:pPr>
      <w:r>
        <w:rPr>
          <w:rFonts w:ascii="宋体" w:hAnsi="宋体"/>
          <w:b w:val="0"/>
          <w:i w:val="0"/>
          <w:sz w:val="24"/>
        </w:rPr>
        <w:t xml:space="preserve">Xi, Z., Chen, W., Guo, X., He, W., Ding, Y., et al. (2023). The rise and potential of large language model based agents: A survey. </w:t>
      </w:r>
      <w:r>
        <w:rPr>
          <w:rFonts w:ascii="宋体" w:hAnsi="宋体"/>
          <w:b w:val="0"/>
          <w:i/>
          <w:sz w:val="24"/>
        </w:rPr>
        <w:t>arXiv preprint arXiv:2309.07864</w:t>
      </w:r>
      <w:r>
        <w:rPr>
          <w:rFonts w:ascii="宋体" w:hAnsi="宋体"/>
          <w:b w:val="0"/>
          <w:i w:val="0"/>
          <w:sz w:val="24"/>
        </w:rPr>
        <w:t>.</w:t>
      </w:r>
    </w:p>
    <w:p>
      <w:pPr>
        <w:pStyle w:val="ListNumber"/>
        <w:spacing w:line="360" w:lineRule="auto"/>
      </w:pPr>
      <w:r>
        <w:rPr>
          <w:rFonts w:ascii="宋体" w:hAnsi="宋体"/>
          <w:b w:val="0"/>
          <w:i w:val="0"/>
          <w:sz w:val="24"/>
        </w:rPr>
        <w:t xml:space="preserve">Xing, F., Peng, H., Zhang, L., &amp; Liu, Y. (2024). Simulating consumer behavior with LLM-based agents: A case study on digital advertising. </w:t>
      </w:r>
      <w:r>
        <w:rPr>
          <w:rFonts w:ascii="宋体" w:hAnsi="宋体"/>
          <w:b w:val="0"/>
          <w:i/>
          <w:sz w:val="24"/>
        </w:rPr>
        <w:t>Proceedings of the ACM Web Conference 2024</w:t>
      </w:r>
      <w:r>
        <w:rPr>
          <w:rFonts w:ascii="宋体" w:hAnsi="宋体"/>
          <w:b w:val="0"/>
          <w:i w:val="0"/>
          <w:sz w:val="24"/>
        </w:rPr>
        <w:t>, 1821-1830.</w:t>
      </w:r>
    </w:p>
    <w:p>
      <w:pPr>
        <w:pStyle w:val="ListNumber"/>
        <w:spacing w:line="360" w:lineRule="auto"/>
      </w:pPr>
      <w:r>
        <w:rPr>
          <w:rFonts w:ascii="宋体" w:hAnsi="宋体"/>
          <w:b w:val="0"/>
          <w:i w:val="0"/>
          <w:sz w:val="24"/>
        </w:rPr>
        <w:t xml:space="preserve">Yao, S., Zhao, J., Yu, D., Du, N., Shafran, I., et al. (2023). ReAct: Synergizing reasoning and acting in language models. </w:t>
      </w:r>
      <w:r>
        <w:rPr>
          <w:rFonts w:ascii="宋体" w:hAnsi="宋体"/>
          <w:b w:val="0"/>
          <w:i/>
          <w:sz w:val="24"/>
        </w:rPr>
        <w:t>Proceedings of ICLR 2023</w:t>
      </w:r>
      <w:r>
        <w:rPr>
          <w:rFonts w:ascii="宋体" w:hAnsi="宋体"/>
          <w:b w:val="0"/>
          <w:i w:val="0"/>
          <w:sz w:val="24"/>
        </w:rPr>
        <w:t>.</w:t>
      </w:r>
    </w:p>
    <w:p>
      <w:pPr>
        <w:pStyle w:val="ListNumber"/>
        <w:spacing w:line="360" w:lineRule="auto"/>
      </w:pPr>
      <w:r>
        <w:rPr>
          <w:rFonts w:ascii="宋体" w:hAnsi="宋体"/>
          <w:b w:val="0"/>
          <w:i w:val="0"/>
          <w:sz w:val="24"/>
        </w:rPr>
        <w:t xml:space="preserve">Zhang, T., &amp; Chang, I. (2012). Agent-based simulation of consumer brand choice behavior. </w:t>
      </w:r>
      <w:r>
        <w:rPr>
          <w:rFonts w:ascii="宋体" w:hAnsi="宋体"/>
          <w:b w:val="0"/>
          <w:i/>
          <w:sz w:val="24"/>
        </w:rPr>
        <w:t>Journal of Consumer Behaviour</w:t>
      </w:r>
      <w:r>
        <w:rPr>
          <w:rFonts w:ascii="宋体" w:hAnsi="宋体"/>
          <w:b w:val="0"/>
          <w:i w:val="0"/>
          <w:sz w:val="24"/>
        </w:rPr>
        <w:t>, 11(6), 486-497.</w:t>
      </w:r>
    </w:p>
    <w:p>
      <w:pPr>
        <w:pStyle w:val="ListNumber"/>
        <w:spacing w:line="360" w:lineRule="auto"/>
      </w:pPr>
      <w:r>
        <w:rPr>
          <w:rFonts w:ascii="宋体" w:hAnsi="宋体"/>
          <w:b w:val="0"/>
          <w:i w:val="0"/>
          <w:sz w:val="24"/>
        </w:rPr>
        <w:t xml:space="preserve">Zhang, J., Xu, B., &amp; Lin, Z. (2017). Agent-based modeling of viral marketing. </w:t>
      </w:r>
      <w:r>
        <w:rPr>
          <w:rFonts w:ascii="宋体" w:hAnsi="宋体"/>
          <w:b w:val="0"/>
          <w:i/>
          <w:sz w:val="24"/>
        </w:rPr>
        <w:t>Journal of Business Research</w:t>
      </w:r>
      <w:r>
        <w:rPr>
          <w:rFonts w:ascii="宋体" w:hAnsi="宋体"/>
          <w:b w:val="0"/>
          <w:i w:val="0"/>
          <w:sz w:val="24"/>
        </w:rPr>
        <w:t>, 72, 174-185.</w:t>
      </w:r>
    </w:p>
    <w:p>
      <w:pPr>
        <w:pStyle w:val="ListNumber"/>
        <w:spacing w:line="360" w:lineRule="auto"/>
      </w:pPr>
      <w:r>
        <w:rPr>
          <w:rFonts w:ascii="宋体" w:hAnsi="宋体"/>
          <w:b w:val="0"/>
          <w:i w:val="0"/>
          <w:sz w:val="24"/>
        </w:rPr>
        <w:t xml:space="preserve">Zheng, L., Chiang, W. L., Sheng, Y., Zhuang, S., Wu, Z., et al. (2023). Judging LLM-as-a-judge with MT-Bench and Chatbot Arena. </w:t>
      </w:r>
      <w:r>
        <w:rPr>
          <w:rFonts w:ascii="宋体" w:hAnsi="宋体"/>
          <w:b w:val="0"/>
          <w:i/>
          <w:sz w:val="24"/>
        </w:rPr>
        <w:t>Advances in Neural Information Processing Systems</w:t>
      </w:r>
      <w:r>
        <w:rPr>
          <w:rFonts w:ascii="宋体" w:hAnsi="宋体"/>
          <w:b w:val="0"/>
          <w:i w:val="0"/>
          <w:sz w:val="24"/>
        </w:rPr>
        <w:t>, 36.</w:t>
      </w:r>
    </w:p>
    <w:p>
      <w:pPr>
        <w:pStyle w:val="ListNumber"/>
        <w:spacing w:line="360" w:lineRule="auto"/>
      </w:pPr>
      <w:r>
        <w:rPr>
          <w:rFonts w:ascii="宋体" w:hAnsi="宋体"/>
          <w:b w:val="0"/>
          <w:i w:val="0"/>
          <w:sz w:val="24"/>
        </w:rPr>
        <w:t xml:space="preserve">Ghaffarzadegan, N., Majumdar, A., Williams, R., &amp; Hosseinichimeh, N. (2024). Generative agent-based modeling: An introduction and tutorial. </w:t>
      </w:r>
      <w:r>
        <w:rPr>
          <w:rFonts w:ascii="宋体" w:hAnsi="宋体"/>
          <w:b w:val="0"/>
          <w:i/>
          <w:sz w:val="24"/>
        </w:rPr>
        <w:t>System Dynamics Review</w:t>
      </w:r>
      <w:r>
        <w:rPr>
          <w:rFonts w:ascii="宋体" w:hAnsi="宋体"/>
          <w:b w:val="0"/>
          <w:i w:val="0"/>
          <w:sz w:val="24"/>
        </w:rPr>
        <w:t>, 40(3), e1761.</w:t>
      </w:r>
    </w:p>
    <w:p>
      <w:pPr>
        <w:pStyle w:val="ListNumber"/>
        <w:spacing w:line="360" w:lineRule="auto"/>
      </w:pPr>
      <w:r>
        <w:rPr>
          <w:rFonts w:ascii="宋体" w:hAnsi="宋体"/>
          <w:b w:val="0"/>
          <w:i w:val="0"/>
          <w:sz w:val="24"/>
        </w:rPr>
        <w:t xml:space="preserve">Hamill, L., &amp; Gilbert, N. (2009). Social circles: A simple structure for agent-based social network models. </w:t>
      </w:r>
      <w:r>
        <w:rPr>
          <w:rFonts w:ascii="宋体" w:hAnsi="宋体"/>
          <w:b w:val="0"/>
          <w:i/>
          <w:sz w:val="24"/>
        </w:rPr>
        <w:t>Journal of Artificial Societies and Social Simulation</w:t>
      </w:r>
      <w:r>
        <w:rPr>
          <w:rFonts w:ascii="宋体" w:hAnsi="宋体"/>
          <w:b w:val="0"/>
          <w:i w:val="0"/>
          <w:sz w:val="24"/>
        </w:rPr>
        <w:t>, 12(2), 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