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A65F2">
      <w:pPr>
        <w:widowControl/>
        <w:adjustRightInd/>
        <w:snapToGrid/>
        <w:spacing w:after="200" w:afterLines="0" w:line="276" w:lineRule="auto"/>
        <w:ind w:firstLine="0" w:firstLineChars="0"/>
        <w:jc w:val="center"/>
        <w:rPr>
          <w:rFonts w:eastAsia="黑体"/>
          <w:b/>
          <w:kern w:val="0"/>
          <w:sz w:val="32"/>
          <w:szCs w:val="22"/>
        </w:rPr>
      </w:pPr>
      <w:r>
        <w:rPr>
          <w:rFonts w:hint="eastAsia" w:eastAsia="黑体"/>
          <w:b/>
          <w:kern w:val="0"/>
          <w:sz w:val="32"/>
          <w:szCs w:val="22"/>
        </w:rPr>
        <w:t>基于CatBoost的级联边界重排序</w:t>
      </w:r>
      <w:r>
        <w:rPr>
          <w:rFonts w:hint="eastAsia" w:eastAsia="黑体"/>
          <w:b/>
          <w:kern w:val="0"/>
          <w:sz w:val="32"/>
          <w:szCs w:val="22"/>
          <w:lang w:val="en-US" w:eastAsia="zh-CN"/>
        </w:rPr>
        <w:t>企业</w:t>
      </w:r>
      <w:r>
        <w:rPr>
          <w:rFonts w:hint="eastAsia" w:eastAsia="黑体"/>
          <w:b/>
          <w:kern w:val="0"/>
          <w:sz w:val="32"/>
          <w:szCs w:val="22"/>
        </w:rPr>
        <w:t>财务困境预警模型</w:t>
      </w:r>
    </w:p>
    <w:p w14:paraId="0C09524D">
      <w:pPr>
        <w:spacing w:after="62"/>
        <w:ind w:firstLine="0" w:firstLineChars="0"/>
        <w:rPr>
          <w:rFonts w:hint="eastAsia" w:cs="Times New Roman"/>
          <w:sz w:val="22"/>
          <w:szCs w:val="20"/>
        </w:rPr>
      </w:pPr>
      <w:r>
        <w:rPr>
          <w:rFonts w:hint="eastAsia" w:cs="Times New Roman"/>
          <w:b/>
          <w:bCs/>
          <w:sz w:val="21"/>
          <w:szCs w:val="21"/>
          <w14:ligatures w14:val="standardContextual"/>
        </w:rPr>
        <w:t>摘要：</w:t>
      </w:r>
      <w:r>
        <w:rPr>
          <w:rFonts w:hint="default"/>
          <w:sz w:val="21"/>
          <w:szCs w:val="24"/>
          <w:lang w:val="en-US" w:eastAsia="zh-CN"/>
        </w:rPr>
        <w:t>企业</w:t>
      </w:r>
      <w:r>
        <w:rPr>
          <w:rFonts w:hint="default"/>
          <w:sz w:val="21"/>
          <w:szCs w:val="24"/>
        </w:rPr>
        <w:t>财务困境预警是资本市场监管、信贷审查与投资风险管理的重要任务，如何在类别不平衡条件下提升高风险企业识别能力，是现有研究亟待解决的问题。针对单阶段模型对中高风险边界样本排序能力不足的局限，本文提出一种基于CatBoost的级联边界重排序模型。该模型首先构建主排序器识别企业总体风险水平，随后通过Top-K高置信保护机制保持头部高风险名单稳定，并在候选边界区域引入二阶段重排序模型，对临界样本进行局部修正。基于中国上市公司季度面板数据的实证结果表明，所提模型PR-AUC达到0.8524，高于单阶段CatBoost的0.8315；F1和MCC分别提升至0.7339和0.7226。Top-K分析、机制消融和特征解释进一步验证了模型在类别不平衡场景下的高风险排序优势。研究结果可为资本市场监管、信贷风险筛查和企业风险监测提供决策支持。</w:t>
      </w:r>
    </w:p>
    <w:p w14:paraId="34DDC963">
      <w:pPr>
        <w:wordWrap w:val="0"/>
        <w:adjustRightInd/>
        <w:snapToGrid/>
        <w:spacing w:before="156" w:after="0" w:afterLines="-2147483648" w:line="360" w:lineRule="auto"/>
        <w:ind w:firstLine="0" w:firstLineChars="0"/>
        <w:jc w:val="both"/>
        <w:rPr>
          <w:rFonts w:hint="default" w:cs="Times New Roman"/>
          <w:sz w:val="21"/>
          <w:szCs w:val="21"/>
          <w14:ligatures w14:val="standardContextual"/>
        </w:rPr>
      </w:pPr>
      <w:r>
        <w:rPr>
          <w:rFonts w:hint="default" w:cs="Times New Roman"/>
          <w:b/>
          <w:bCs/>
          <w:sz w:val="21"/>
          <w:szCs w:val="21"/>
          <w14:ligatures w14:val="standardContextual"/>
        </w:rPr>
        <w:t>关键词：</w:t>
      </w:r>
      <w:r>
        <w:rPr>
          <w:rFonts w:hint="default" w:cs="Times New Roman"/>
          <w:b w:val="0"/>
          <w:bCs w:val="0"/>
          <w:sz w:val="21"/>
          <w:szCs w:val="21"/>
          <w:lang w:val="en-US" w:eastAsia="zh-CN"/>
          <w14:ligatures w14:val="standardContextual"/>
        </w:rPr>
        <w:t>企业</w:t>
      </w:r>
      <w:r>
        <w:rPr>
          <w:rFonts w:hint="default" w:cs="Times New Roman"/>
          <w:sz w:val="21"/>
          <w:szCs w:val="21"/>
          <w14:ligatures w14:val="standardContextual"/>
        </w:rPr>
        <w:t>财务困境预警；高风险排序；类别不平衡；CatBoost；级联边界重排序</w:t>
      </w:r>
    </w:p>
    <w:p w14:paraId="7DB662FB">
      <w:pPr>
        <w:pStyle w:val="2"/>
        <w:bidi w:val="0"/>
      </w:pPr>
      <w:r>
        <w:t>引言</w:t>
      </w:r>
    </w:p>
    <w:p w14:paraId="397040C4">
      <w:pPr>
        <w:bidi w:val="0"/>
      </w:pPr>
      <w:r>
        <w:t>企业财务困境预警是资本市场监管、信贷审查与投资风险管理的重要基础。近年来，受宏观经济波动、行业竞争加剧、融资环境变化和企业经营不确定性上升等因素影响，上市公司财务风险呈现出隐蔽性增强、累积性突出和集中暴露风险上升等特征。随着全面注册制改革深入推进和退市制度常态化，资本市场对风险识别效率、预警前瞻性和监管资源配置精度提出了更高要求。在中国资本市场制度背景下，</w:t>
      </w:r>
      <w:r>
        <w:rPr>
          <w:rFonts w:hint="eastAsia"/>
          <w:lang w:eastAsia="zh-CN"/>
        </w:rPr>
        <w:t>ST/*ST</w:t>
      </w:r>
      <w:r>
        <w:t xml:space="preserve">是证券交易所对上市公司财务状况或其他异常情形实施特别处理的重要标识。由于法律意义上的破产程序较为复杂且样本稀缺，国内学者在实证研究中广泛采用 </w:t>
      </w:r>
      <w:r>
        <w:rPr>
          <w:rFonts w:hint="eastAsia"/>
          <w:lang w:eastAsia="zh-CN"/>
        </w:rPr>
        <w:t>ST/*ST</w:t>
      </w:r>
      <w:r>
        <w:t>作为企业财务困境或濒临破产的代理变量</w:t>
      </w:r>
      <w:r>
        <w:fldChar w:fldCharType="begin"/>
      </w:r>
      <w:r>
        <w:rPr>
          <w:rFonts w:hint="eastAsia"/>
          <w:lang w:eastAsia="zh-CN"/>
        </w:rPr>
        <w:instrText xml:space="preserve"> ADDIN ZOTERO_ITEM CSL_CITATION {"citationID":"TxvaWovX","properties":{"formattedCitation":"\\super [1]\\nosupersub{}","plainCitation":"[1]","noteIndex":0},"citationItems":[{"id":309,"uris":["http://zotero.org/users/local/EkV6gCqt/items/BWAJFKNT"],"itemData":{"id":309,"type":"article-journal","abstract":"本文以我国上市公司为研究对象 ,选取了 70家处于财务困境的公司和 70家财务正常的公司为样本 ,首先应用剖面分析和单变量判定分析 ,研究财务困境出现前 5年内各年这二类公司 2 1个财务指标的差异 ,最后选定 6个为预测指标 ,应用Fisher线性判定分析、多元线性回归分析和Logistic回归分析三种方法 ,分别建立三种预测财务困境的模型。研究结果表明 :(1 )在财务困境发生前 2年或 1年 ,有 1 6个财务指标的信息时效性较强 ,其中净资产报酬率的判别成功率较高 ;(2 )三种模型均能在财务困境发生前做出相对准确的预测 ,在财务困境发生前 4年的误判率在 2 8%以内 ;(3)相对同一信息集而言 ,Logistic预测模型的误判率最低 ,财务困境发生前 1年的误判率仅为 6 .47%","container-title":"经济研究","issue":"6","journalAbbreviation":"经济研究","language":"zh","note":"Fund: 国家自然科学基金资助项目“我国证券市场风险的形成、评价、预测和监控研究”(79970 0 5 )的系列研究之一；","page":"46-55","source":"CNKI","title":"我国上市公司财务困境的预测模型研究","author":[{"literal":"吴世农"},{"literal":"卢贤义"}],"issued":{"date-parts":[["2001"]]}}}],"schema":"https://github.com/citation-style-language/schema/raw/master/csl-citation.json"} </w:instrText>
      </w:r>
      <w:r>
        <w:fldChar w:fldCharType="separate"/>
      </w:r>
      <w:r>
        <w:rPr>
          <w:rFonts w:hint="default" w:ascii="Times New Roman" w:hAnsi="Times New Roman" w:cs="Times New Roman"/>
          <w:sz w:val="21"/>
          <w:szCs w:val="24"/>
          <w:vertAlign w:val="superscript"/>
        </w:rPr>
        <w:t>[1]</w:t>
      </w:r>
      <w:r>
        <w:fldChar w:fldCharType="end"/>
      </w:r>
      <w:r>
        <w:t>。因此，如何在企业风险充分暴露之前识别潜在高风险主体，并构建面向审查资源约束的风险优先级排序框架，已成为金融风险管理领域的重要问题。</w:t>
      </w:r>
    </w:p>
    <w:p w14:paraId="35061FB9">
      <w:pPr>
        <w:bidi w:val="0"/>
      </w:pPr>
      <w:r>
        <w:t>围绕企业财务困境预警，现有研究已形成较为丰富的理论与方法积累。早期研究主要依赖财务报表数据，通过单一的财务比率或会计指标来刻画企业风险状态，如 Beaver的单变量预警模型</w:t>
      </w:r>
      <w:r>
        <w:fldChar w:fldCharType="begin"/>
      </w:r>
      <w:r>
        <w:rPr>
          <w:rFonts w:hint="eastAsia"/>
          <w:lang w:eastAsia="zh-CN"/>
        </w:rPr>
        <w:instrText xml:space="preserve"> ADDIN ZOTERO_ITEM CSL_CITATION {"citationID":"h3yjNCNI","properties":{"unsorted":false,"formattedCitation":"\\super [2]\\nosupersub{}","plainCitation":"[2]","noteIndex":0},"citationItems":[{"id":241,"uris":["http://zotero.org/users/local/EkV6gCqt/items/5462EH9J"],"itemData":{"id":241,"type":"article-journal","call-number":"1","container-title":"Journal of Accounting Research","DOI":"10.2307/2490171","ISSN":"00218456","journalAbbreviation":"J. Account. Res.","language":"en","page":"71","title":"Financial ratios As predictors of failure","volume":"4","author":[{"family":"Beaver","given":"William H."}],"issued":{"date-parts":[["1966"]]}}}],"schema":"https://github.com/citation-style-language/schema/raw/master/csl-citation.json"} </w:instrText>
      </w:r>
      <w:r>
        <w:fldChar w:fldCharType="separate"/>
      </w:r>
      <w:r>
        <w:rPr>
          <w:rFonts w:hint="default" w:ascii="Times New Roman" w:hAnsi="Times New Roman" w:cs="Times New Roman"/>
          <w:sz w:val="21"/>
          <w:szCs w:val="24"/>
          <w:vertAlign w:val="superscript"/>
        </w:rPr>
        <w:t>[2]</w:t>
      </w:r>
      <w:r>
        <w:fldChar w:fldCharType="end"/>
      </w:r>
      <w:r>
        <w:t>。随后，学者们逐渐引入多元统计分析方法来提高预测精度，如 Altman的 Z-Score 多元判别模型</w:t>
      </w:r>
      <w:r>
        <w:fldChar w:fldCharType="begin"/>
      </w:r>
      <w:r>
        <w:rPr>
          <w:rFonts w:hint="eastAsia"/>
          <w:lang w:eastAsia="zh-CN"/>
        </w:rPr>
        <w:instrText xml:space="preserve"> ADDIN ZOTERO_ITEM CSL_CITATION {"citationID":"E1SMOktA","properties":{"unsorted":false,"formattedCitation":"\\super [3]\\nosupersub{}","plainCitation":"[3]","noteIndex":0},"citationItems":[{"id":313,"uris":["http://zotero.org/users/local/EkV6gCqt/items/X3WAWJQ6"],"itemData":{"id":313,"type":"article-journal","container-title":"The Journal of Finance","DOI":"10.1111/j.1540-6261.1968.tb00843.x","ISSN":"0022-1082, 1540-6261","issue":"4","journalAbbreviation":"J.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fldChar w:fldCharType="separate"/>
      </w:r>
      <w:r>
        <w:rPr>
          <w:rFonts w:hint="default" w:ascii="Times New Roman" w:hAnsi="Times New Roman" w:cs="Times New Roman"/>
          <w:sz w:val="21"/>
          <w:szCs w:val="24"/>
          <w:vertAlign w:val="superscript"/>
        </w:rPr>
        <w:t>[3]</w:t>
      </w:r>
      <w:r>
        <w:fldChar w:fldCharType="end"/>
      </w:r>
      <w:r>
        <w:t>。随着计量经济学的发展， Ohlson和 Zmijewski分别将 Logistic 和 Probit 模型引入破产预测，确立了经典统计模型的基线</w:t>
      </w:r>
      <w:r>
        <w:fldChar w:fldCharType="begin"/>
      </w:r>
      <w:r>
        <w:rPr>
          <w:rFonts w:hint="eastAsia"/>
          <w:lang w:eastAsia="zh-CN"/>
        </w:rPr>
        <w:instrText xml:space="preserve"> ADDIN ZOTERO_ITEM CSL_CITATION {"citationID":"wpkaRvhL","properties":{"unsorted":false,"formattedCitation":"\\super [4,5]\\nosupersub{}","plainCitation":"[4,5]","noteIndex":0},"citationItems":[{"id":325,"uris":["http://zotero.org/users/local/EkV6gCqt/items/3ZJ7EGNY"],"itemData":{"id":325,"type":"article-journal","call-number":"1","container-title":"Journal of Accounting Research","DOI":"10.2307/2490395","ISSN":"00218456","issue":"1","journalAbbreviation":"J. Account. Res.","language":"en","page":"109","title":"Financial ratios and the probabilistic prediction of bankruptcy","volume":"18","author":[{"family":"Ohlson","given":"James A."}],"issued":{"date-parts":[["1980"]]}}},{"id":421,"uris":["http://zotero.org/users/local/EkV6gCqt/items/9TVWUN3M"],"itemData":{"id":421,"type":"article-journal","call-number":"1","container-title":"Journal of Accounting Research","DOI":"10.2307/2490859","ISSN":"0021-8456","journalAbbreviation":"J. Account. Res.","language":"en","page":"59-82","publisher":"[Accounting Research Center, Booth School of Business, University of Chicago, Wiley]","title":"Methodological issues related to the estimation of financial distress prediction models","volume":"22","author":[{"family":"Zmijewski","given":"Mark E."}],"issued":{"date-parts":[["1984"]]}}}],"schema":"https://github.com/citation-style-language/schema/raw/master/csl-citation.json"} </w:instrText>
      </w:r>
      <w:r>
        <w:fldChar w:fldCharType="separate"/>
      </w:r>
      <w:r>
        <w:rPr>
          <w:rFonts w:hint="default" w:ascii="Times New Roman" w:hAnsi="Times New Roman" w:cs="Times New Roman"/>
          <w:sz w:val="21"/>
          <w:szCs w:val="24"/>
          <w:vertAlign w:val="superscript"/>
        </w:rPr>
        <w:t>[4,5]</w:t>
      </w:r>
      <w:r>
        <w:fldChar w:fldCharType="end"/>
      </w:r>
      <w:r>
        <w:t>。进入 21 世纪，学者们开始关注风险的时间依赖性，例如 Shumway利用危险模型（Hazard Model）刻画了企业风险的动态演化过程</w:t>
      </w:r>
      <w:r>
        <w:fldChar w:fldCharType="begin"/>
      </w:r>
      <w:r>
        <w:rPr>
          <w:rFonts w:hint="eastAsia"/>
          <w:lang w:eastAsia="zh-CN"/>
        </w:rPr>
        <w:instrText xml:space="preserve"> ADDIN ZOTERO_ITEM CSL_CITATION {"citationID":"VWBCSsP2","properties":{"unsorted":false,"formattedCitation":"\\super [6]\\nosupersub{}","plainCitation":"[6]","noteIndex":0},"citationItems":[{"id":315,"uris":["http://zotero.org/users/local/EkV6gCqt/items/FDV7ANQZ"],"itemData":{"id":315,"type":"article-journal","container-title":"The Journal of Business","DOI":"10.1086/209665","ISSN":"0021-9398, 1537-5374","issue":"1","journalAbbreviation":"J. Bus.","language":"en","page":"101-124","source":"DOI.org (Crossref)","title":"Forecasting bankruptcy more accurately: a simple hazard model","title-short":"Forecasting bankruptcy more accurately","volume":"74","author":[{"family":"Shumway","given":"Tyler"}],"issued":{"date-parts":[["2001",1]]}}}],"schema":"https://github.com/citation-style-language/schema/raw/master/csl-citation.json"} </w:instrText>
      </w:r>
      <w:r>
        <w:fldChar w:fldCharType="separate"/>
      </w:r>
      <w:r>
        <w:rPr>
          <w:rFonts w:hint="default" w:ascii="Times New Roman" w:hAnsi="Times New Roman" w:cs="Times New Roman"/>
          <w:sz w:val="21"/>
          <w:szCs w:val="24"/>
          <w:vertAlign w:val="superscript"/>
        </w:rPr>
        <w:t>[6]</w:t>
      </w:r>
      <w:r>
        <w:fldChar w:fldCharType="end"/>
      </w:r>
      <w:r>
        <w:t>。随着数据可得性提升，市场交易信息和会计数据等逐步被纳入预警体系</w:t>
      </w:r>
      <w:r>
        <w:fldChar w:fldCharType="begin"/>
      </w:r>
      <w:r>
        <w:rPr>
          <w:rFonts w:hint="eastAsia"/>
          <w:lang w:eastAsia="zh-CN"/>
        </w:rPr>
        <w:instrText xml:space="preserve"> ADDIN ZOTERO_ITEM CSL_CITATION {"citationID":"TKZQkrPC","properties":{"unsorted":false,"formattedCitation":"\\super [7]\\nosupersub{}","plainCitation":"[7]","noteIndex":0},"citationItems":[{"id":329,"uris":["http://zotero.org/users/local/EkV6gCqt/items/7R2BXSLT"],"itemData":{"id":329,"type":"article-journal","abstract":"ABSTRACT\n            This paper explores the determinants of corporate failure and the pricing of financially distressed stocks whose failure probability, estimated from a dynamic logit model using accounting and market variables, is high. Since 1981, financially distressed stocks have delivered anomalously low returns. They have lower returns but much higher standard deviations, market betas, and loadings on value and small‐cap risk factors than stocks with low failure risk. These patterns are more pronounced for stocks with possible informational or arbitrage‐related frictions. They are inconsistent with the conjecture that the value and size effects are compensation for the risk of financial distress.","container-title":"The Journal of Finance","DOI":"10.1111/j.1540-6261.2008.01416.x","ISSN":"0022-1082, 1540-6261","issue":"6","journalAbbreviation":"J. Finance","language":"en","page":"2899-2939","source":"DOI.org (Crossref)","title":"In search of distress risk","volume":"63","author":[{"family":"Campbell","given":"John Y."},{"family":"Hilscher","given":"Jens"},{"family":"Szilagyi","given":"Jan"}],"issued":{"date-parts":[["2008",12]]}}}],"schema":"https://github.com/citation-style-language/schema/raw/master/csl-citation.json"} </w:instrText>
      </w:r>
      <w:r>
        <w:fldChar w:fldCharType="separate"/>
      </w:r>
      <w:r>
        <w:rPr>
          <w:rFonts w:hint="default" w:ascii="Times New Roman" w:hAnsi="Times New Roman" w:cs="Times New Roman"/>
          <w:sz w:val="21"/>
          <w:szCs w:val="24"/>
          <w:vertAlign w:val="superscript"/>
        </w:rPr>
        <w:t>[7]</w:t>
      </w:r>
      <w:r>
        <w:fldChar w:fldCharType="end"/>
      </w:r>
      <w:r>
        <w:t>，推动财务困境识别由单一财务指标向多源信息融合转变。在模型方法方面，相关研究逐渐拓展到支持向量机、随机森林、梯度提升树和深度学习等机器学习方法，以捕捉风险变量之间的非线性关系和高阶交互</w:t>
      </w:r>
      <w:r>
        <w:fldChar w:fldCharType="begin"/>
      </w:r>
      <w:r>
        <w:rPr>
          <w:rFonts w:hint="eastAsia"/>
          <w:lang w:eastAsia="zh-CN"/>
        </w:rPr>
        <w:instrText xml:space="preserve"> ADDIN ZOTERO_ITEM CSL_CITATION {"citationID":"EL5Rsjfr","properties":{"unsorted":false,"formattedCitation":"\\super [8]\\nosupersub{}","plainCitation":"[8]","noteIndex":0},"citationItems":[{"id":327,"uris":["http://zotero.org/users/local/EkV6gCqt/items/TEAX2PHI"],"itemData":{"id":327,"type":"article-journal","call-number":"1","container-title":"Expert Systems with Applications","DOI":"10.1016/j.eswa.2017.04.006","ISSN":"09574174","journalAbbreviation":"Expert Syst. Appl.","language":"en","page":"405-417","title":"Machine learning models and bankruptcy prediction","volume":"83","author":[{"family":"Barboza","given":"Flavio"},{"family":"Kimura","given":"Herbert"},{"family":"Altman","given":"Edward"}],"issued":{"date-parts":[["2017",10]]}}}],"schema":"https://github.com/citation-style-language/schema/raw/master/csl-citation.json"} </w:instrText>
      </w:r>
      <w:r>
        <w:fldChar w:fldCharType="separate"/>
      </w:r>
      <w:r>
        <w:rPr>
          <w:rFonts w:hint="default" w:ascii="Times New Roman" w:hAnsi="Times New Roman" w:cs="Times New Roman"/>
          <w:sz w:val="21"/>
          <w:szCs w:val="24"/>
          <w:vertAlign w:val="superscript"/>
        </w:rPr>
        <w:t>[8]</w:t>
      </w:r>
      <w:r>
        <w:fldChar w:fldCharType="end"/>
      </w:r>
      <w:r>
        <w:t>。</w:t>
      </w:r>
    </w:p>
    <w:p w14:paraId="24041E05">
      <w:pPr>
        <w:bidi w:val="0"/>
      </w:pPr>
      <w:r>
        <w:t>然而，面向真实监管筛查和信贷审查场景，现有研究仍存在进一步拓展空间。第一，特征构造对财务风险演化过程的刻画仍不充分。企业陷入财务困境通常并非单一指标异常所致，而是盈利能力下降、现金流恶化、偿债压力上升等多重因素共同作用的结果</w:t>
      </w:r>
      <w:r>
        <w:fldChar w:fldCharType="begin"/>
      </w:r>
      <w:r>
        <w:rPr>
          <w:rFonts w:hint="eastAsia"/>
          <w:lang w:eastAsia="zh-CN"/>
        </w:rPr>
        <w:instrText xml:space="preserve"> ADDIN ZOTERO_ITEM CSL_CITATION {"citationID":"hoBhaEvj","properties":{"unsorted":false,"formattedCitation":"\\super [9]\\nosupersub{}","plainCitation":"[9]","noteIndex":0},"citationItems":[{"id":423,"uris":["http://zotero.org/users/local/EkV6gCqt/items/HRM2YZHK"],"itemData":{"id":423,"type":"article-journal","call-number":"1","container-title":"Journal of Business Research","DOI":"10.1016/j.jbusres.2007.10.006","ISSN":"01482963","issue":"9","journalAbbreviation":"J. Bus. Res.","language":"en","license":"https://www.elsevier.com/tdm/userlicense/1.0/","page":"995-1003","title":"Estimating financial distress likelihood","volume":"61","author":[{"family":"Pindado","given":"Julio"},{"family":"Rodrigues","given":"Luis"},{"family":"De La Torre","given":"Chabela"}],"issued":{"date-parts":[["2008",9]]}}}],"schema":"https://github.com/citation-style-language/schema/raw/master/csl-citation.json"} </w:instrText>
      </w:r>
      <w:r>
        <w:fldChar w:fldCharType="separate"/>
      </w:r>
      <w:r>
        <w:rPr>
          <w:rFonts w:hint="default" w:ascii="Times New Roman" w:hAnsi="Times New Roman" w:cs="Times New Roman"/>
          <w:sz w:val="21"/>
          <w:szCs w:val="24"/>
          <w:vertAlign w:val="superscript"/>
        </w:rPr>
        <w:t>[9]</w:t>
      </w:r>
      <w:r>
        <w:fldChar w:fldCharType="end"/>
      </w:r>
      <w:r>
        <w:t>。若仅依赖静态截面特征，难以充分反映企业自身纵向恶化轨迹、行业相对偏离程度以及风险状态持续性。第二，类别不平衡问题已引起机器学习研究关注，相关研究通过重采样方法缓解少数类识别困难</w:t>
      </w:r>
      <w:r>
        <w:fldChar w:fldCharType="begin"/>
      </w:r>
      <w:r>
        <w:rPr>
          <w:rFonts w:hint="eastAsia"/>
          <w:lang w:eastAsia="zh-CN"/>
        </w:rPr>
        <w:instrText xml:space="preserve"> ADDIN ZOTERO_ITEM CSL_CITATION {"citationID":"224RVoIP","properties":{"unsorted":false,"formattedCitation":"\\super [10]\\nosupersub{}","plainCitation":"[10]","noteIndex":0},"citationItems":[{"id":366,"uris":["http://zotero.org/users/local/EkV6gCqt/items/FPA4RJ4N"],"itemData":{"id":366,"type":"article-journal","abstract":"An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strategy.","call-number":"3","container-title":"Journal of Artificial Intelligence Research","DOI":"10.1613/jair.953","ISSN":"1076-9757","journalAbbreviation":"J. Artif. Intell. Res.","language":"en","page":"321-357","title":"SMOTE: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hint="default" w:ascii="Times New Roman" w:hAnsi="Times New Roman" w:cs="Times New Roman"/>
          <w:sz w:val="21"/>
          <w:szCs w:val="24"/>
          <w:vertAlign w:val="superscript"/>
        </w:rPr>
        <w:t>[10]</w:t>
      </w:r>
      <w:r>
        <w:fldChar w:fldCharType="end"/>
      </w:r>
      <w:r>
        <w:t>，并强调在不平衡分类场景下采用 PR-AUC、Recall 等指标评价模型表现</w:t>
      </w:r>
      <w:r>
        <w:fldChar w:fldCharType="begin"/>
      </w:r>
      <w:r>
        <w:rPr>
          <w:rFonts w:hint="eastAsia"/>
          <w:lang w:eastAsia="zh-CN"/>
        </w:rPr>
        <w:instrText xml:space="preserve"> ADDIN ZOTERO_ITEM CSL_CITATION {"citationID":"purbKxC7","properties":{"unsorted":false,"formattedCitation":"\\super [11]\\nosupersub{}","plainCitation":"[11]","noteIndex":0},"citationItems":[{"id":427,"uris":["http://zotero.org/users/local/EkV6gCqt/items/MZQ6EYDA"],"itemData":{"id":427,"type":"article-journal","call-number":"3","container-title":"PLOS ONE","DOI":"10.1371/journal.pone.0118432","ISSN":"1932-6203","issue":"3","journalAbbreviation":"PLOS One","language":"en","page":"e0118432","title":"The precision-recall plot is more informative than the ROC plot when evaluating binary classifiers on imbalanced datasets","volume":"10","author":[{"family":"Saito","given":"Takaya"},{"family":"Rehmsmeier","given":"Marc"}],"editor":[{"family":"Brock","given":"Guy"}],"issued":{"date-parts":[["2015",3,4]]}}}],"schema":"https://github.com/citation-style-language/schema/raw/master/csl-citation.json"} </w:instrText>
      </w:r>
      <w:r>
        <w:fldChar w:fldCharType="separate"/>
      </w:r>
      <w:r>
        <w:rPr>
          <w:rFonts w:hint="default" w:ascii="Times New Roman" w:hAnsi="Times New Roman" w:cs="Times New Roman"/>
          <w:sz w:val="21"/>
          <w:szCs w:val="24"/>
          <w:vertAlign w:val="superscript"/>
        </w:rPr>
        <w:t>[11]</w:t>
      </w:r>
      <w:r>
        <w:fldChar w:fldCharType="end"/>
      </w:r>
      <w:r>
        <w:t>，但模型评价目标与实际筛查需求仍未充分对齐。对于监管机构和金融机构而言，实际决策并非对全部企业进行均等分类，而是在审查资源有限的条件下优先识别最需要关注的高风险主体。因此，聚焦于 Top-K 风险名单的命中质量、边界样本排序稳定性和审查资源约束下的筛查效率，更能体现模型在实际筛查场景中的应用价值。第三，现有单阶段模型对中高风险边界样本的排序优化不足。财务困境企业与正常企业在特征空间中往往存在类别重叠，尤其在风险程度相近的边界区域，两类企业的财务表现和市场信号可能高度相似</w:t>
      </w:r>
      <w:r>
        <w:fldChar w:fldCharType="begin"/>
      </w:r>
      <w:r>
        <w:rPr>
          <w:rFonts w:hint="eastAsia"/>
          <w:lang w:eastAsia="zh-CN"/>
        </w:rPr>
        <w:instrText xml:space="preserve"> ADDIN ZOTERO_ITEM CSL_CITATION {"citationID":"7G9EjR5h","properties":{"unsorted":false,"formattedCitation":"\\super [12]\\nosupersub{}","plainCitation":"[12]","noteIndex":0},"citationItems":[{"id":368,"uris":["http://zotero.org/users/local/EkV6gCqt/items/5MAX59X2"],"itemData":{"id":368,"type":"chapter","container-title":"Advances in intelligent computing","DOI":"10.1007/11538059_91","ISBN":"978-3-540-28226-6","language":"en","note":"collection-title: Lecture Notes in Computer Science","page":"878-887","publisher":"Springer Berlin Heidelberg","publisher-place":"Berlin, Heidelberg","source":"DOI.org (Crossref)","title":"Borderline-SMOTE: a new over-sampling method in imbalanced data sets learning","title-short":"Borderline-SMOTE","URL":"http://link.springer.com/10.1007/11538059_91","volume":"3644","collection-editor":[{"family":"Hutchison","given":"David"},{"family":"Kanade","given":"Takeo"},{"family":"Kittler","given":"Josef"},{"family":"Kleinberg","given":"Jon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Rangan","given":"C."},{"family":"Steffen","given":"Bernhard"},{"family":"Sudan","given":"Madhu"},{"family":"Terzopoulos","given":"Demetri"},{"family":"Tygar","given":"Dough"},{"family":"Vardi","given":"Moshe Y."},{"family":"Weikum","given":"Gerhard"}],"editor":[{"family":"Huang","given":"De-Shuang"},{"family":"Zhang","given":"Xiao-Ping"},{"family":"Huang","given":"Guang-Bin"}],"author":[{"family":"Han","given":"Hui"},{"family":"Wang","given":"Wen-Yuan"},{"family":"Mao","given":"Bing-Huan"}],"accessed":{"date-parts":[["2026",6,7]]},"issued":{"date-parts":[["2005"]]}}}],"schema":"https://github.com/citation-style-language/schema/raw/master/csl-citation.json"} </w:instrText>
      </w:r>
      <w:r>
        <w:fldChar w:fldCharType="separate"/>
      </w:r>
      <w:r>
        <w:rPr>
          <w:rFonts w:hint="default" w:ascii="Times New Roman" w:hAnsi="Times New Roman" w:cs="Times New Roman"/>
          <w:sz w:val="21"/>
          <w:szCs w:val="24"/>
          <w:vertAlign w:val="superscript"/>
        </w:rPr>
        <w:t>[12]</w:t>
      </w:r>
      <w:r>
        <w:fldChar w:fldCharType="end"/>
      </w:r>
      <w:r>
        <w:t>。单阶段模型在优化全局目标时，虽能较好识别极端高风险企业，却容易牺牲边界区域的排序稳定性，进而可能影响预警名单的边际筛查效率。</w:t>
      </w:r>
    </w:p>
    <w:p w14:paraId="4C1EAEA5">
      <w:pPr>
        <w:bidi w:val="0"/>
      </w:pPr>
      <w:r>
        <w:t>基于上述不足，本文借鉴级联筛查与重排序思想，将企业财务困境预警建模为审查资源约束下的高风险优先级排序问题，并提出一种基于 CatBoost 的级联边界重排序模型。该模型融合涵盖纵向恶化轨迹的动态特征，以及行业相对偏离和历史风险状态等具有明确经济解释的结构化信息，以刻画企业风险累积过程；在此基础上，利用 CatBoost 构建主排序器，对企业总体风险水平进行基础排序</w:t>
      </w:r>
      <w:r>
        <w:fldChar w:fldCharType="begin"/>
      </w:r>
      <w:r>
        <w:rPr>
          <w:rFonts w:hint="eastAsia"/>
          <w:lang w:eastAsia="zh-CN"/>
        </w:rPr>
        <w:instrText xml:space="preserve"> ADDIN ZOTERO_ITEM CSL_CITATION {"citationID":"ZaZAJEjR","properties":{"unsorted":false,"formattedCitation":"\\super [13]\\nosupersub{}","plainCitation":"[13]","noteIndex":0},"citationItems":[{"id":348,"uris":["http://zotero.org/users/local/EkV6gCqt/items/6S4P3JK9"],"itemData":{"id":348,"type":"article","abstract":"This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results.","DOI":"10.48550/ARXIV.1706.09516","language":"en","license":"arXiv.org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Veronika"},{"family":"Gulin","given":"Andrey"}],"accessed":{"date-parts":[["2026",6,7]]},"issued":{"date-parts":[["2017"]]}}}],"schema":"https://github.com/citation-style-language/schema/raw/master/csl-citation.json"} </w:instrText>
      </w:r>
      <w:r>
        <w:fldChar w:fldCharType="separate"/>
      </w:r>
      <w:r>
        <w:rPr>
          <w:rFonts w:hint="default" w:ascii="Times New Roman" w:hAnsi="Times New Roman" w:cs="Times New Roman"/>
          <w:sz w:val="21"/>
          <w:szCs w:val="24"/>
          <w:vertAlign w:val="superscript"/>
        </w:rPr>
        <w:t>[13]</w:t>
      </w:r>
      <w:r>
        <w:fldChar w:fldCharType="end"/>
      </w:r>
      <w:r>
        <w:t>；随后引入基于验证集分位数截断的 Top-K 保护机制，锁定头部高风险样本，避免二阶段模型对极端风险排序产生过度扰动；最后在中高风险候选区域构建二阶段重排序模型，对临界样本的相对顺序进行局部修正。与传统单阶段分类模型不同，本文方法并不追求对全样本进行无差别调整，而是围绕审查资源约束下更具实务价值的高风险名单质量展开优化。</w:t>
      </w:r>
    </w:p>
    <w:p w14:paraId="73EBD19C">
      <w:pPr>
        <w:bidi w:val="0"/>
      </w:pPr>
      <w:r>
        <w:t>本文主要回答以下三个问题：第一，级联边界重排序模型能否在时间阻断样本外测试中提升高风险排序表现；第二，融合多源结构化特征能否为财务困境预警提供增量信息；第三，级联重排序机制的性能增益主要体现在哪些排名区间和特征维度上。</w:t>
      </w:r>
    </w:p>
    <w:p w14:paraId="628D4C1D">
      <w:pPr>
        <w:bidi w:val="0"/>
      </w:pPr>
      <w:r>
        <w:t>本文的边际贡献主要体现在三个方面。第一，在研究视角上，本文将财务困境预警置于审查资源约束下的高风险优先级排序框架中，突出 Top-K 风险名单质量和边界样本排序稳定性在财务困境预警中的评价价值，从而拓展有限审查资源约束下的风险筛查研究视角。第二，在特征构造上，本文融合纵向恶化轨迹、行业比较和历史状态信息，构建具有经济解释力的结构化风险特征体系，从企业纵向变化、横向偏离和风险持续性等维度增强模型对财务困境演化过程的刻画能力。第三，在方法设计上，本文将 Top-K 保护、边界候选识别和二阶段重排序机制引入财务困境预警任务，构建面向 Top-K 风险筛查的级联边界重排序框架，为类别不平衡场景下的财务困境预警提供一种面向排序优化的建模方案</w:t>
      </w:r>
      <w:r>
        <w:fldChar w:fldCharType="begin"/>
      </w:r>
      <w:r>
        <w:rPr>
          <w:rFonts w:hint="eastAsia"/>
          <w:lang w:eastAsia="zh-CN"/>
        </w:rPr>
        <w:instrText xml:space="preserve"> ADDIN ZOTERO_ITEM CSL_CITATION {"citationID":"9yAW0Ghz","properties":{"unsorted":false,"formattedCitation":"\\super [13,14]\\nosupersub{}","plainCitation":"[13,14]","noteIndex":0},"citationItems":[{"id":348,"uris":["http://zotero.org/users/local/EkV6gCqt/items/6S4P3JK9"],"itemData":{"id":348,"type":"article","abstract":"This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results.","DOI":"10.48550/ARXIV.1706.09516","language":"en","license":"arXiv.org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Veronika"},{"family":"Gulin","given":"Andrey"}],"accessed":{"date-parts":[["2026",6,7]]},"issued":{"date-parts":[["2017"]]}}},{"id":433,"uris":["http://zotero.org/users/local/EkV6gCqt/items/W26JZJVR"],"itemData":{"id":433,"type":"paper-conference","container-title":"Proceedings of the 29th annual international ACM SIGIR conference on Research and development in information retrieval","DOI":"10.1145/1148170.1148205","event-title":"SIGIR06: The 29th Annual International SIGIR Conference","ISBN":"978-1-59593-369-0","language":"en","page":"186-193","publisher":"ACM","publisher-place":"Seattle Washington USA","source":"DOI.org (Crossref)","title":"Adapting ranking SVM to document retrieval","URL":"https://dl.acm.org/doi/10.1145/1148170.1148205","author":[{"family":"Cao","given":"Yunbo"},{"family":"Xu","given":"Jun"},{"family":"Liu","given":"Tie-Yan"},{"family":"Li","given":"Hang"},{"family":"Huang","given":"Yalou"},{"family":"Hon","given":"Hsiao-Wuen"}],"accessed":{"date-parts":[["2026",6,15]]},"issued":{"date-parts":[["2006",8,6]]}}}],"schema":"https://github.com/citation-style-language/schema/raw/master/csl-citation.json"} </w:instrText>
      </w:r>
      <w:r>
        <w:fldChar w:fldCharType="separate"/>
      </w:r>
      <w:r>
        <w:rPr>
          <w:rFonts w:hint="default" w:ascii="Times New Roman" w:hAnsi="Times New Roman" w:cs="Times New Roman"/>
          <w:sz w:val="21"/>
          <w:szCs w:val="24"/>
          <w:vertAlign w:val="superscript"/>
        </w:rPr>
        <w:t>[13,14]</w:t>
      </w:r>
      <w:r>
        <w:fldChar w:fldCharType="end"/>
      </w:r>
      <w:r>
        <w:t>。</w:t>
      </w:r>
    </w:p>
    <w:p w14:paraId="673FECC5">
      <w:pPr>
        <w:pStyle w:val="2"/>
        <w:bidi w:val="0"/>
      </w:pPr>
      <w:r>
        <w:t>文献综述</w:t>
      </w:r>
    </w:p>
    <w:p w14:paraId="018FDFF2">
      <w:pPr>
        <w:bidi w:val="0"/>
      </w:pPr>
      <w:r>
        <w:t>企业财务困境预警研究在近年来持续推进，研究范式逐渐由静态统计模型向动态风险建模与集成学习方向演进</w:t>
      </w:r>
      <w:r>
        <w:fldChar w:fldCharType="begin"/>
      </w:r>
      <w:r>
        <w:rPr>
          <w:rFonts w:hint="eastAsia"/>
          <w:lang w:eastAsia="zh-CN"/>
        </w:rPr>
        <w:instrText xml:space="preserve"> ADDIN ZOTERO_ITEM CSL_CITATION {"citationID":"0YxNp9L9","properties":{"unsorted":false,"formattedCitation":"\\super [3,8]\\nosupersub{}","plainCitation":"[3,8]","noteIndex":0},"citationItems":[{"id":313,"uris":["http://zotero.org/users/local/EkV6gCqt/items/X3WAWJQ6"],"itemData":{"id":313,"type":"article-journal","container-title":"The Journal of Finance","DOI":"10.1111/j.1540-6261.1968.tb00843.x","ISSN":"0022-1082, 1540-6261","issue":"4","journalAbbreviation":"J. Finance","language":"en","page":"589-609","source":"DOI.org (Crossref)","title":"Financial ratios, discriminant analysis and the prediction of corporate bankruptcy","volume":"23","author":[{"family":"Altman","given":"Edward I."}],"issued":{"date-parts":[["1968",9]]}}},{"id":327,"uris":["http://zotero.org/users/local/EkV6gCqt/items/TEAX2PHI"],"itemData":{"id":327,"type":"article-journal","call-number":"1","container-title":"Expert Systems with Applications","DOI":"10.1016/j.eswa.2017.04.006","ISSN":"09574174","journalAbbreviation":"Expert Syst. Appl.","language":"en","page":"405-417","title":"Machine learning models and bankruptcy prediction","volume":"83","author":[{"family":"Barboza","given":"Flavio"},{"family":"Kimura","given":"Herbert"},{"family":"Altman","given":"Edward"}],"issued":{"date-parts":[["2017",10]]}}}],"schema":"https://github.com/citation-style-language/schema/raw/master/csl-citation.json"} </w:instrText>
      </w:r>
      <w:r>
        <w:fldChar w:fldCharType="separate"/>
      </w:r>
      <w:r>
        <w:rPr>
          <w:rFonts w:hint="default" w:ascii="Times New Roman" w:hAnsi="Times New Roman" w:cs="Times New Roman"/>
          <w:sz w:val="21"/>
          <w:szCs w:val="24"/>
          <w:vertAlign w:val="superscript"/>
        </w:rPr>
        <w:t>[3,8]</w:t>
      </w:r>
      <w:r>
        <w:fldChar w:fldCharType="end"/>
      </w:r>
      <w:r>
        <w:t>。早期经典研究确立了以多财务比率为输入的线性判别逻辑</w:t>
      </w:r>
      <w:r>
        <w:fldChar w:fldCharType="begin"/>
      </w:r>
      <w:r>
        <w:rPr>
          <w:rFonts w:hint="eastAsia"/>
          <w:lang w:eastAsia="zh-CN"/>
        </w:rPr>
        <w:instrText xml:space="preserve"> ADDIN ZOTERO_ITEM CSL_CITATION {"citationID":"HnDKXMYu","properties":{"unsorted":false,"formattedCitation":"\\super [3]\\nosupersub{}","plainCitation":"[3]","noteIndex":0},"citationItems":[{"id":313,"uris":["http://zotero.org/users/local/EkV6gCqt/items/X3WAWJQ6"],"itemData":{"id":313,"type":"article-journal","container-title":"The Journal of Finance","DOI":"10.1111/j.1540-6261.1968.tb00843.x","ISSN":"0022-1082, 1540-6261","issue":"4","journalAbbreviation":"J. Finance","language":"en","page":"589-609","source":"DOI.org (Crossref)","title":"Financial ratios, discriminant analysis and the prediction of corporate bankruptcy","volume":"23","author":[{"family":"Altman","given":"Edward I."}],"issued":{"date-parts":[["1968",9]]}}}],"schema":"https://github.com/citation-style-language/schema/raw/master/csl-citation.json"} </w:instrText>
      </w:r>
      <w:r>
        <w:fldChar w:fldCharType="separate"/>
      </w:r>
      <w:r>
        <w:rPr>
          <w:rFonts w:hint="default" w:ascii="Times New Roman" w:hAnsi="Times New Roman" w:cs="Times New Roman"/>
          <w:sz w:val="21"/>
          <w:szCs w:val="24"/>
          <w:vertAlign w:val="superscript"/>
        </w:rPr>
        <w:t>[3]</w:t>
      </w:r>
      <w:r>
        <w:fldChar w:fldCharType="end"/>
      </w:r>
      <w:r>
        <w:t>，以及基于概率框架的财务困境预测思路</w:t>
      </w:r>
      <w:r>
        <w:fldChar w:fldCharType="begin"/>
      </w:r>
      <w:r>
        <w:rPr>
          <w:rFonts w:hint="eastAsia"/>
          <w:lang w:eastAsia="zh-CN"/>
        </w:rPr>
        <w:instrText xml:space="preserve"> ADDIN ZOTERO_ITEM CSL_CITATION {"citationID":"7pgM5bv5","properties":{"unsorted":false,"formattedCitation":"\\super [4]\\nosupersub{}","plainCitation":"[4]","noteIndex":0},"citationItems":[{"id":325,"uris":["http://zotero.org/users/local/EkV6gCqt/items/3ZJ7EGNY"],"itemData":{"id":325,"type":"article-journal","call-number":"1","container-title":"Journal of Accounting Research","DOI":"10.2307/2490395","ISSN":"00218456","issue":"1","journalAbbreviation":"J. Account. Res.","language":"en","page":"109","title":"Financial ratios and the probabilistic prediction of bankruptcy","volume":"18","author":[{"family":"Ohlson","given":"James A."}],"issued":{"date-parts":[["1980"]]}}}],"schema":"https://github.com/citation-style-language/schema/raw/master/csl-citation.json"} </w:instrText>
      </w:r>
      <w:r>
        <w:fldChar w:fldCharType="separate"/>
      </w:r>
      <w:r>
        <w:rPr>
          <w:rFonts w:hint="default" w:ascii="Times New Roman" w:hAnsi="Times New Roman" w:cs="Times New Roman"/>
          <w:sz w:val="21"/>
          <w:szCs w:val="24"/>
          <w:vertAlign w:val="superscript"/>
        </w:rPr>
        <w:t>[4]</w:t>
      </w:r>
      <w:r>
        <w:fldChar w:fldCharType="end"/>
      </w:r>
      <w:r>
        <w:t xml:space="preserve">；但这类线性/对数线性设定难以容纳高维结构化特征中的非线性交互，也难以适配中国证券市场 </w:t>
      </w:r>
      <w:r>
        <w:rPr>
          <w:rFonts w:hint="eastAsia"/>
          <w:lang w:eastAsia="zh-CN"/>
        </w:rPr>
        <w:t>ST/*ST</w:t>
      </w:r>
      <w:r>
        <w:t xml:space="preserve"> 等制度性风险标识带来的标签生成机制。伴随算力与数据可得性提升，以梯度提升树为代表的集成方法成为主流；其中 CatBoost 通过有序提升（Ordered Boosting）与有序目标统计机制，在结构化表格数据上兼顾了预测性能与数值稳定性</w:t>
      </w:r>
      <w:r>
        <w:fldChar w:fldCharType="begin"/>
      </w:r>
      <w:r>
        <w:rPr>
          <w:rFonts w:hint="eastAsia"/>
          <w:lang w:eastAsia="zh-CN"/>
        </w:rPr>
        <w:instrText xml:space="preserve"> ADDIN ZOTERO_ITEM CSL_CITATION {"citationID":"VdxkR7mL","properties":{"unsorted":false,"formattedCitation":"\\super [13]\\nosupersub{}","plainCitation":"[13]","noteIndex":0},"citationItems":[{"id":348,"uris":["http://zotero.org/users/local/EkV6gCqt/items/6S4P3JK9"],"itemData":{"id":348,"type":"article","abstract":"This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results.","DOI":"10.48550/ARXIV.1706.09516","language":"en","license":"arXiv.org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Veronika"},{"family":"Gulin","given":"Andrey"}],"accessed":{"date-parts":[["2026",6,7]]},"issued":{"date-parts":[["2017"]]}}}],"schema":"https://github.com/citation-style-language/schema/raw/master/csl-citation.json"} </w:instrText>
      </w:r>
      <w:r>
        <w:fldChar w:fldCharType="separate"/>
      </w:r>
      <w:r>
        <w:rPr>
          <w:rFonts w:hint="default" w:ascii="Times New Roman" w:hAnsi="Times New Roman" w:cs="Times New Roman"/>
          <w:sz w:val="21"/>
          <w:szCs w:val="24"/>
          <w:vertAlign w:val="superscript"/>
        </w:rPr>
        <w:t>[13]</w:t>
      </w:r>
      <w:r>
        <w:fldChar w:fldCharType="end"/>
      </w:r>
      <w:r>
        <w:t>。在国内制度语境下，学者进一步将预警特征空间从静态比率推向行业相对位置、产权与治理异质性以及市场隐含风险等维度，以缓解截面财务滞后→突发风险漏抓的偏差</w:t>
      </w:r>
      <w:r>
        <w:fldChar w:fldCharType="begin"/>
      </w:r>
      <w:r>
        <w:rPr>
          <w:rFonts w:hint="eastAsia"/>
          <w:lang w:eastAsia="zh-CN"/>
        </w:rPr>
        <w:instrText xml:space="preserve"> ADDIN ZOTERO_ITEM CSL_CITATION {"citationID":"AfrRYqHe","properties":{"unsorted":false,"formattedCitation":"\\super [15,16]\\nosupersub{}","plainCitation":"[15,16]","noteIndex":0},"citationItems":[{"id":414,"uris":["http://zotero.org/users/local/EkV6gCqt/items/RSEW8FS2"],"itemData":{"id":414,"type":"article-journal","abstract":"本文采用Logit回归模型以及随机森林模型、梯度提升模型等前沿机器学习方法，深入考察系统性风险指标对我国企业财务危机的预测能力。结果表明，系统性风险对中下游企业的财务危机具有显著的预测能力，而基于因子分析构建的系统性风险指标，结合随机森林模型可取得更好的预测效果。本文进一步区分财务危机的不同成因并发现，基于随机森林模型和Logit回归模型的预测框架能够对我国大多数财务危机事件进行有效预警。在此基础上，本文对我国上市企业监管提出相关建议，从而为完善金融风险处置机制提供一定参考。","container-title":"金融研究","issue":"8","journalAbbreviation":"金融研究","language":"zh","note":"Fund: 2021年度国家社会科学基金重大项目“‘双循环’新格局下我国金融风险演化及防控措施研究”（项目批准号：21&amp;ZD114）的资助；","page":"152-170","source":"CNKI","title":"系统性风险与企业财务危机预警——基于前沿机器学习的新视角","author":[{"literal":"杨子晖"},{"literal":"张平淼"},{"literal":"林师涵"}],"issued":{"date-parts":[["2022"]]}}},{"id":435,"uris":["http://zotero.org/users/local/EkV6gCqt/items/F2WPJW5N"],"itemData":{"id":435,"type":"article-journal","abstract":"在国内供给侧结构性改革背景下,市场环境复杂多变,公司债务违约频发,建立一种及时有效的财务困境预警模型十分必要.已有的多数困境预测模型尚未有效解决数据集不平衡、关键预测指标选取不稳定、样本匹配存在随机性等问题,且并不适应于当下中国复杂多变的市场状况.为此,本文采用Bootstrap重抽样方法构建1000个研究样本,通过LASSO (least absolute shrinkage and selection operator)变量选择技术筛选关键预测因子构建提前3年预测的Logit模型,并在预测阶段将样本进行1000次随机切割和预测以降低随机误差.结果表明,由Bootstrap样本组建方式结合LASSO构建的Logit困境预测模型相比传统应用的“同行业资产规模相近”方式所构建模型的预测能力更强.另外,该嵌入Bootstrap式LASSO-logit模型比主流的O-Score模型、ZChina-Score模型预测效果更好,准确率提高10%,更加适用于中国时变的市场.本文所构建模型能帮助公司利益相关者更好地识别财务困境并及时做出调整,以降低公司债券违约率或避免发生公司违约.","container-title":"计量经济学报","issue":"1","journalAbbreviation":"计量经济学报","language":"zh","note":"Fund: 国家自然科学基金青年项目“基于系统临界转变理论的大宗商品场外市场操纵事件识别研究”(72201120)； 江西省自然科学基金面上项目“江西省大宗商品交易场所合约崩盘成因及预警研究”(20232BAB201027)； 大学生创新创业训练计划国家级项目“基于机器学习的中国上市公司财务困境预测研究”(202210403051)~~；","page":"274-300","source":"CNKI","title":"基于非平衡数据处理和多变量筛选方法的上市公司财务困境预测研究","volume":"4","author":[{"literal":"邢凯"},{"literal":"盛利琴"},{"literal":"张盼"},{"literal":"李珊"}],"issued":{"date-parts":[["2024"]]}}}],"schema":"https://github.com/citation-style-language/schema/raw/master/csl-citation.json"} </w:instrText>
      </w:r>
      <w:r>
        <w:fldChar w:fldCharType="separate"/>
      </w:r>
      <w:r>
        <w:rPr>
          <w:rFonts w:hint="default" w:ascii="Times New Roman" w:hAnsi="Times New Roman" w:cs="Times New Roman"/>
          <w:sz w:val="21"/>
          <w:szCs w:val="24"/>
          <w:vertAlign w:val="superscript"/>
        </w:rPr>
        <w:t>[15,16]</w:t>
      </w:r>
      <w:r>
        <w:fldChar w:fldCharType="end"/>
      </w:r>
      <w:r>
        <w:t>。</w:t>
      </w:r>
    </w:p>
    <w:p w14:paraId="77CEE221">
      <w:pPr>
        <w:bidi w:val="0"/>
      </w:pPr>
      <w:r>
        <w:t>随着研究深入，仅靠截面财务比率已难以完整刻画企业风险的生成与累积过程，因此多源结构化特征（财务比率、行业相对偏离、历史演化轨迹、市场/估值压力代理）的融合逐渐成为提升预警区分力的关键路径</w:t>
      </w:r>
      <w:r>
        <w:fldChar w:fldCharType="begin"/>
      </w:r>
      <w:r>
        <w:rPr>
          <w:rFonts w:hint="eastAsia"/>
          <w:lang w:eastAsia="zh-CN"/>
        </w:rPr>
        <w:instrText xml:space="preserve"> ADDIN ZOTERO_ITEM CSL_CITATION {"citationID":"GbeSKzpA","properties":{"unsorted":false,"formattedCitation":"\\super [17]\\nosupersub{}","plainCitation":"[17]","noteIndex":0},"citationItems":[{"id":437,"uris":["http://zotero.org/users/local/EkV6gCqt/items/L7IAS6UR"],"itemData":{"id":437,"type":"article-journal","abstract":"Abstract\n            Financial distress prediction (FDP) is centrally imported to reduce potential losses of companies and investors. This paper combines social responsibility indicators with financial, management, and textual indicators to construct a multi‐dimensional FDP index system. To increase prediction accuracy, the difference in the number of samples between special treatment and health companies is actively considered, and the synthetic minority oversampling technique is adopted to deal with class‐imbalanced datasets. Moreover, a feature extraction method based on the genetic algorithm is employed to select features as input of machine learning models for predicting financial distress in Chinese listed companies. Experimental results show that ensemble classifiers are the better choice for predicting financial distress, of which gradient boosting decision tree outperforms other classifiers. Textual indicators play the most significant role in complementing traditional financial indicators of FDP, and their financial distress signals emerge earlier compared with management and social responsibility indicators.","call-number":"3","container-title":"Journal of Forecasting","DOI":"10.1002/for.3050","ISSN":"0277-6693, 1099-131X","issue":"3","journalAbbreviation":"J. Forecasting","language":"en","page":"593-614","title":"Class-imbalanced financial distress prediction with machine learning: incorporating financial, management, textual, and social responsibility features into index system","title-short":"Class-imbalanced financial distress prediction with machine learning","volume":"43","author":[{"family":"Song","given":"Yinghua"},{"family":"Jiang","given":"Minzhe"},{"family":"Li","given":"Shixuan"},{"family":"Zhao","given":"Shengzhe"}],"issued":{"date-parts":[["2024",4]]}}}],"schema":"https://github.com/citation-style-language/schema/raw/master/csl-citation.json"} </w:instrText>
      </w:r>
      <w:r>
        <w:fldChar w:fldCharType="separate"/>
      </w:r>
      <w:r>
        <w:rPr>
          <w:rFonts w:hint="default" w:ascii="Times New Roman" w:hAnsi="Times New Roman" w:cs="Times New Roman"/>
          <w:sz w:val="21"/>
          <w:szCs w:val="24"/>
          <w:vertAlign w:val="superscript"/>
        </w:rPr>
        <w:t>[17]</w:t>
      </w:r>
      <w:r>
        <w:fldChar w:fldCharType="end"/>
      </w:r>
      <w:r>
        <w:t>。既有研究亦表明，在财务比率之外引入市场信息与相对偏离度量，能够更有效刻画风险演化而不仅是历史失衡</w:t>
      </w:r>
      <w:r>
        <w:fldChar w:fldCharType="begin"/>
      </w:r>
      <w:r>
        <w:rPr>
          <w:rFonts w:hint="eastAsia"/>
          <w:lang w:eastAsia="zh-CN"/>
        </w:rPr>
        <w:instrText xml:space="preserve"> ADDIN ZOTERO_ITEM CSL_CITATION {"citationID":"jEDy0h1J","properties":{"unsorted":false,"formattedCitation":"\\super [7]\\nosupersub{}","plainCitation":"[7]","noteIndex":0},"citationItems":[{"id":329,"uris":["http://zotero.org/users/local/EkV6gCqt/items/7R2BXSLT"],"itemData":{"id":329,"type":"article-journal","abstract":"ABSTRACT\n            This paper explores the determinants of corporate failure and the pricing of financially distressed stocks whose failure probability, estimated from a dynamic logit model using accounting and market variables, is high. Since 1981, financially distressed stocks have delivered anomalously low returns. They have lower returns but much higher standard deviations, market betas, and loadings on value and small‐cap risk factors than stocks with low failure risk. These patterns are more pronounced for stocks with possible informational or arbitrage‐related frictions. They are inconsistent with the conjecture that the value and size effects are compensation for the risk of financial distress.","container-title":"The Journal of Finance","DOI":"10.1111/j.1540-6261.2008.01416.x","ISSN":"0022-1082, 1540-6261","issue":"6","journalAbbreviation":"J. Finance","language":"en","page":"2899-2939","source":"DOI.org (Crossref)","title":"In search of distress risk","volume":"63","author":[{"family":"Campbell","given":"John Y."},{"family":"Hilscher","given":"Jens"},{"family":"Szilagyi","given":"Jan"}],"issued":{"date-parts":[["2008",12]]}}}],"schema":"https://github.com/citation-style-language/schema/raw/master/csl-citation.json"} </w:instrText>
      </w:r>
      <w:r>
        <w:fldChar w:fldCharType="separate"/>
      </w:r>
      <w:r>
        <w:rPr>
          <w:rFonts w:hint="default" w:ascii="Times New Roman" w:hAnsi="Times New Roman" w:cs="Times New Roman"/>
          <w:sz w:val="21"/>
          <w:szCs w:val="24"/>
          <w:vertAlign w:val="superscript"/>
        </w:rPr>
        <w:t>[7]</w:t>
      </w:r>
      <w:r>
        <w:fldChar w:fldCharType="end"/>
      </w:r>
      <w:r>
        <w:t>；这也说明预警模型需要从静态截面判别，走向对风险动态性与排序质量的关注。</w:t>
      </w:r>
    </w:p>
    <w:p w14:paraId="5140E9C5">
      <w:pPr>
        <w:bidi w:val="0"/>
      </w:pPr>
      <w:r>
        <w:t>类别不平衡是困境预警落地的核心瓶颈：困境样本占比极低，常规模型易把决策边界压向多数类，导致对高风险主体识别不足</w:t>
      </w:r>
      <w:r>
        <w:fldChar w:fldCharType="begin"/>
      </w:r>
      <w:r>
        <w:rPr>
          <w:rFonts w:hint="eastAsia"/>
          <w:lang w:eastAsia="zh-CN"/>
        </w:rPr>
        <w:instrText xml:space="preserve"> ADDIN ZOTERO_ITEM CSL_CITATION {"citationID":"Teh2ofi8","properties":{"unsorted":false,"formattedCitation":"\\super [18]\\nosupersub{}","plainCitation":"[18]","noteIndex":0},"citationItems":[{"id":440,"uris":["http://zotero.org/users/local/EkV6gCqt/items/QKP5X3EZ"],"itemData":{"id":440,"type":"article-journal","abstract":"为了保障企业的财务健康，准确且有效的财务困境预测模型至关重要。然而，类别不平衡和概念漂移是财务困境预测领域需要解决的两个关键问题。为此，本文基于代价敏感学习和带时间加权的Adaboost方法提出了一种兼顾类别不平衡和概念漂移的动态财务困境预测方法，并在2005年至2022年间中国上市公司的动态不平衡数据集上进行了实证分析。结果表明，该方法在动态不平衡数据集上的预测性能优于改进前的模型，能够同时处理财务困境预测领域的概念漂移问题和数据分布不平衡问题。","container-title":"系统工程","issue":"2","journalAbbreviation":"系统工程","language":"zh","note":"Fund: 国家自然科学基金重大项目(72091313)；","page":"1-14","source":"CNKI","title":"基于代价敏感学习的上市公司财务困境动态预测模型","volume":"43","author":[{"literal":"李大元"},{"literal":"颜卓惠"},{"literal":"曾阳艳"}],"issued":{"date-parts":[["2025"]]}}}],"schema":"https://github.com/citation-style-language/schema/raw/master/csl-citation.json"} </w:instrText>
      </w:r>
      <w:r>
        <w:fldChar w:fldCharType="separate"/>
      </w:r>
      <w:r>
        <w:rPr>
          <w:rFonts w:hint="default" w:ascii="Times New Roman" w:hAnsi="Times New Roman" w:cs="Times New Roman"/>
          <w:sz w:val="21"/>
          <w:szCs w:val="24"/>
          <w:vertAlign w:val="superscript"/>
        </w:rPr>
        <w:t>[18]</w:t>
      </w:r>
      <w:r>
        <w:fldChar w:fldCharType="end"/>
      </w:r>
      <w:r>
        <w:t>。针对不平衡问题，既有文献主要分为两条路线：数据层面以 SMOTE</w:t>
      </w:r>
      <w:r>
        <w:fldChar w:fldCharType="begin"/>
      </w:r>
      <w:r>
        <w:rPr>
          <w:rFonts w:hint="eastAsia"/>
          <w:lang w:eastAsia="zh-CN"/>
        </w:rPr>
        <w:instrText xml:space="preserve"> ADDIN ZOTERO_ITEM CSL_CITATION {"citationID":"qbyrF4CB","properties":{"unsorted":false,"formattedCitation":"\\super [10]\\nosupersub{}","plainCitation":"[10]","noteIndex":0},"citationItems":[{"id":366,"uris":["http://zotero.org/users/local/EkV6gCqt/items/FPA4RJ4N"],"itemData":{"id":366,"type":"article-journal","abstract":"An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strategy.","call-number":"3","container-title":"Journal of Artificial Intelligence Research","DOI":"10.1613/jair.953","ISSN":"1076-9757","journalAbbreviation":"J. Artif. Intell. Res.","language":"en","page":"321-357","title":"SMOTE: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hint="default" w:ascii="Times New Roman" w:hAnsi="Times New Roman" w:cs="Times New Roman"/>
          <w:sz w:val="21"/>
          <w:szCs w:val="24"/>
          <w:vertAlign w:val="superscript"/>
        </w:rPr>
        <w:t>[10]</w:t>
      </w:r>
      <w:r>
        <w:fldChar w:fldCharType="end"/>
      </w:r>
      <w:r>
        <w:t>、Borderline-SMOTE</w:t>
      </w:r>
      <w:r>
        <w:fldChar w:fldCharType="begin"/>
      </w:r>
      <w:r>
        <w:rPr>
          <w:rFonts w:hint="eastAsia"/>
          <w:lang w:eastAsia="zh-CN"/>
        </w:rPr>
        <w:instrText xml:space="preserve"> ADDIN ZOTERO_ITEM CSL_CITATION {"citationID":"cJTOpCM5","properties":{"unsorted":false,"formattedCitation":"\\super [12]\\nosupersub{}","plainCitation":"[12]","noteIndex":0},"citationItems":[{"id":368,"uris":["http://zotero.org/users/local/EkV6gCqt/items/5MAX59X2"],"itemData":{"id":368,"type":"chapter","container-title":"Advances in intelligent computing","DOI":"10.1007/11538059_91","ISBN":"978-3-540-28226-6","language":"en","note":"collection-title: Lecture Notes in Computer Science","page":"878-887","publisher":"Springer Berlin Heidelberg","publisher-place":"Berlin, Heidelberg","source":"DOI.org (Crossref)","title":"Borderline-SMOTE: a new over-sampling method in imbalanced data sets learning","title-short":"Borderline-SMOTE","URL":"http://link.springer.com/10.1007/11538059_91","volume":"3644","collection-editor":[{"family":"Hutchison","given":"David"},{"family":"Kanade","given":"Takeo"},{"family":"Kittler","given":"Josef"},{"family":"Kleinberg","given":"Jon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Rangan","given":"C."},{"family":"Steffen","given":"Bernhard"},{"family":"Sudan","given":"Madhu"},{"family":"Terzopoulos","given":"Demetri"},{"family":"Tygar","given":"Dough"},{"family":"Vardi","given":"Moshe Y."},{"family":"Weikum","given":"Gerhard"}],"editor":[{"family":"Huang","given":"De-Shuang"},{"family":"Zhang","given":"Xiao-Ping"},{"family":"Huang","given":"Guang-Bin"}],"author":[{"family":"Han","given":"Hui"},{"family":"Wang","given":"Wen-Yuan"},{"family":"Mao","given":"Bing-Huan"}],"accessed":{"date-parts":[["2026",6,7]]},"issued":{"date-parts":[["2005"]]}}}],"schema":"https://github.com/citation-style-language/schema/raw/master/csl-citation.json"} </w:instrText>
      </w:r>
      <w:r>
        <w:fldChar w:fldCharType="separate"/>
      </w:r>
      <w:r>
        <w:rPr>
          <w:rFonts w:hint="default" w:ascii="Times New Roman" w:hAnsi="Times New Roman" w:cs="Times New Roman"/>
          <w:sz w:val="21"/>
          <w:szCs w:val="24"/>
          <w:vertAlign w:val="superscript"/>
        </w:rPr>
        <w:t>[12]</w:t>
      </w:r>
      <w:r>
        <w:fldChar w:fldCharType="end"/>
      </w:r>
      <w:r>
        <w:t>等重采样方法为代表；算法层面则以代价敏感学习、类别权重调整、变量筛选与集成策略为主</w:t>
      </w:r>
      <w:r>
        <w:fldChar w:fldCharType="begin"/>
      </w:r>
      <w:r>
        <w:rPr>
          <w:rFonts w:hint="eastAsia"/>
          <w:lang w:eastAsia="zh-CN"/>
        </w:rPr>
        <w:instrText xml:space="preserve"> ADDIN ZOTERO_ITEM CSL_CITATION {"citationID":"ph5cq5xu","properties":{"unsorted":false,"formattedCitation":"\\super [16]\\nosupersub{}","plainCitation":"[16]","noteIndex":0},"citationItems":[{"id":435,"uris":["http://zotero.org/users/local/EkV6gCqt/items/F2WPJW5N"],"itemData":{"id":435,"type":"article-journal","abstract":"在国内供给侧结构性改革背景下,市场环境复杂多变,公司债务违约频发,建立一种及时有效的财务困境预警模型十分必要.已有的多数困境预测模型尚未有效解决数据集不平衡、关键预测指标选取不稳定、样本匹配存在随机性等问题,且并不适应于当下中国复杂多变的市场状况.为此,本文采用Bootstrap重抽样方法构建1000个研究样本,通过LASSO (least absolute shrinkage and selection operator)变量选择技术筛选关键预测因子构建提前3年预测的Logit模型,并在预测阶段将样本进行1000次随机切割和预测以降低随机误差.结果表明,由Bootstrap样本组建方式结合LASSO构建的Logit困境预测模型相比传统应用的“同行业资产规模相近”方式所构建模型的预测能力更强.另外,该嵌入Bootstrap式LASSO-logit模型比主流的O-Score模型、ZChina-Score模型预测效果更好,准确率提高10%,更加适用于中国时变的市场.本文所构建模型能帮助公司利益相关者更好地识别财务困境并及时做出调整,以降低公司债券违约率或避免发生公司违约.","container-title":"计量经济学报","issue":"1","journalAbbreviation":"计量经济学报","language":"zh","note":"Fund: 国家自然科学基金青年项目“基于系统临界转变理论的大宗商品场外市场操纵事件识别研究”(72201120)； 江西省自然科学基金面上项目“江西省大宗商品交易场所合约崩盘成因及预警研究”(20232BAB201027)； 大学生创新创业训练计划国家级项目“基于机器学习的中国上市公司财务困境预测研究”(202210403051)~~；","page":"274-300","source":"CNKI","title":"基于非平衡数据处理和多变量筛选方法的上市公司财务困境预测研究","volume":"4","author":[{"literal":"邢凯"},{"literal":"盛利琴"},{"literal":"张盼"},{"literal":"李珊"}],"issued":{"date-parts":[["2024"]]}}}],"schema":"https://github.com/citation-style-language/schema/raw/master/csl-citation.json"} </w:instrText>
      </w:r>
      <w:r>
        <w:fldChar w:fldCharType="separate"/>
      </w:r>
      <w:r>
        <w:rPr>
          <w:rFonts w:hint="default" w:ascii="Times New Roman" w:hAnsi="Times New Roman" w:cs="Times New Roman"/>
          <w:sz w:val="21"/>
          <w:szCs w:val="24"/>
          <w:vertAlign w:val="superscript"/>
        </w:rPr>
        <w:t>[16]</w:t>
      </w:r>
      <w:r>
        <w:fldChar w:fldCharType="end"/>
      </w:r>
      <w:r>
        <w:t>。为避免重采样可能带来的样本分布扰动，本文不将其作为核心机制，而是通过类别权重、结构化风险特征构造与边界候选区重排序来强化对少数类与名单边缘的识别能力。</w:t>
      </w:r>
    </w:p>
    <w:p w14:paraId="5B89BD43">
      <w:pPr>
        <w:bidi w:val="0"/>
      </w:pPr>
      <w:r>
        <w:t>在评价层面，ROC-AUC 在极端不平衡下会受大量低风险真负样本虚增面积影响而高估实际识别表现</w:t>
      </w:r>
      <w:r>
        <w:fldChar w:fldCharType="begin"/>
      </w:r>
      <w:r>
        <w:rPr>
          <w:rFonts w:hint="eastAsia"/>
          <w:lang w:eastAsia="zh-CN"/>
        </w:rPr>
        <w:instrText xml:space="preserve"> ADDIN ZOTERO_ITEM CSL_CITATION {"citationID":"u6PzBvUc","properties":{"unsorted":false,"formattedCitation":"\\super [11]\\nosupersub{}","plainCitation":"[11]","noteIndex":0},"citationItems":[{"id":427,"uris":["http://zotero.org/users/local/EkV6gCqt/items/MZQ6EYDA"],"itemData":{"id":427,"type":"article-journal","call-number":"3","container-title":"PLOS ONE","DOI":"10.1371/journal.pone.0118432","ISSN":"1932-6203","issue":"3","journalAbbreviation":"PLOS One","language":"en","page":"e0118432","title":"The precision-recall plot is more informative than the ROC plot when evaluating binary classifiers on imbalanced datasets","volume":"10","author":[{"family":"Saito","given":"Takaya"},{"family":"Rehmsmeier","given":"Marc"}],"editor":[{"family":"Brock","given":"Guy"}],"issued":{"date-parts":[["2015",3,4]]}}}],"schema":"https://github.com/citation-style-language/schema/raw/master/csl-citation.json"} </w:instrText>
      </w:r>
      <w:r>
        <w:fldChar w:fldCharType="separate"/>
      </w:r>
      <w:r>
        <w:rPr>
          <w:rFonts w:hint="default" w:ascii="Times New Roman" w:hAnsi="Times New Roman" w:cs="Times New Roman"/>
          <w:sz w:val="21"/>
          <w:szCs w:val="24"/>
          <w:vertAlign w:val="superscript"/>
        </w:rPr>
        <w:t>[11]</w:t>
      </w:r>
      <w:r>
        <w:fldChar w:fldCharType="end"/>
      </w:r>
      <w:r>
        <w:t>；相较之下，PR 曲线/PR-AUC更聚焦于正类排序质量</w:t>
      </w:r>
      <w:r>
        <w:fldChar w:fldCharType="begin"/>
      </w:r>
      <w:r>
        <w:rPr>
          <w:rFonts w:hint="eastAsia"/>
          <w:lang w:eastAsia="zh-CN"/>
        </w:rPr>
        <w:instrText xml:space="preserve"> ADDIN ZOTERO_ITEM CSL_CITATION {"citationID":"OPBgT6oJ","properties":{"unsorted":false,"formattedCitation":"\\super [11,19]\\nosupersub{}","plainCitation":"[11,19]","noteIndex":0},"citationItems":[{"id":427,"uris":["http://zotero.org/users/local/EkV6gCqt/items/MZQ6EYDA"],"itemData":{"id":427,"type":"article-journal","call-number":"3","container-title":"PLOS ONE","DOI":"10.1371/journal.pone.0118432","ISSN":"1932-6203","issue":"3","journalAbbreviation":"PLOS One","language":"en","page":"e0118432","title":"The precision-recall plot is more informative than the ROC plot when evaluating binary classifiers on imbalanced datasets","volume":"10","author":[{"family":"Saito","given":"Takaya"},{"family":"Rehmsmeier","given":"Marc"}],"editor":[{"family":"Brock","given":"Guy"}],"issued":{"date-parts":[["2015",3,4]]}}},{"id":408,"uris":["http://zotero.org/users/local/EkV6gCqt/items/P8TTGXRS"],"itemData":{"id":408,"type":"article-journal","call-number":"2","container-title":"IEEE Transactions on Knowledge and Data Engineering","DOI":"10.1109/TKDE.2008.239","ISSN":"1041-4347","issue":"9","journalAbbreviation":"IEEE Trans. Knowl. Data Eng.","language":"en","license":"https://ieeexplore.ieee.org/Xplorehelp/downloads/license-information/IEEE.html","page":"1263-1284","title":"Learning from imbalanced data","volume":"21","author":[{"literal":"Haibo He"},{"family":"Garcia","given":"E.A."}],"issued":{"date-parts":[["2009",9]]}}}],"schema":"https://github.com/citation-style-language/schema/raw/master/csl-citation.json"} </w:instrText>
      </w:r>
      <w:r>
        <w:fldChar w:fldCharType="separate"/>
      </w:r>
      <w:r>
        <w:rPr>
          <w:rFonts w:hint="default" w:ascii="Times New Roman" w:hAnsi="Times New Roman" w:cs="Times New Roman"/>
          <w:sz w:val="21"/>
          <w:szCs w:val="24"/>
          <w:vertAlign w:val="superscript"/>
        </w:rPr>
        <w:t>[11,19]</w:t>
      </w:r>
      <w:r>
        <w:fldChar w:fldCharType="end"/>
      </w:r>
      <w:r>
        <w:t>。进一步，在监管/内控的有限审查预算下，真正被使用的是高风险名单而非全局判决，因此应以 Precision@K、Recall@K等 Top-K 排序指标刻画名单的边际筛查质量</w:t>
      </w:r>
      <w:r>
        <w:fldChar w:fldCharType="begin"/>
      </w:r>
      <w:r>
        <w:rPr>
          <w:rFonts w:hint="eastAsia"/>
          <w:lang w:eastAsia="zh-CN"/>
        </w:rPr>
        <w:instrText xml:space="preserve"> ADDIN ZOTERO_ITEM CSL_CITATION {"citationID":"KVqSHFtW","properties":{"unsorted":false,"formattedCitation":"\\super [20,21]\\nosupersub{}","plainCitation":"[20,21]","noteIndex":0},"citationItems":[{"id":356,"uris":["http://zotero.org/users/local/EkV6gCqt/items/GDE2RS6K"],"itemData":{"id":356,"type":"article-journal","call-number":"2","container-title":"European Journal of Operational Research","DOI":"10.1016/j.ejor.2015.05.030","ISSN":"03772217","issue":"1","journalAbbreviation":"Eur. J. Oper. Res.","language":"en","page":"124-136","title":"Benchmarking state-of-the-art classification algorithms for credit scoring: an update of research","title-short":"Benchmarking state-of-the-art classification algorithms for credit scoring","volume":"247","author":[{"family":"Lessmann","given":"Stefan"},{"family":"Baesens","given":"Bart"},{"family":"Seow","given":"Hsin-Vonn"},{"family":"Thomas","given":"Lyn C."}],"issued":{"date-parts":[["2015",11]]}}},{"id":449,"uris":["http://zotero.org/users/local/EkV6gCqt/items/2QXGQAYF"],"itemData":{"id":449,"type":"book","ISBN":"978-0-521-86571-5","language":"en","publisher":"Cambridge university press","publisher-place":"Cambridge","source":"BnF ISBN","title":"Introduction to information retrieval","author":[{"family":"Manning","given":"Christopher D."},{"family":"Raghavan","given":"Prabhakar"},{"family":"Schütze","given":"Hinrich"}],"issued":{"date-parts":[["2008"]]}}}],"schema":"https://github.com/citation-style-language/schema/raw/master/csl-citation.json"} </w:instrText>
      </w:r>
      <w:r>
        <w:fldChar w:fldCharType="separate"/>
      </w:r>
      <w:r>
        <w:rPr>
          <w:rFonts w:hint="default" w:ascii="Times New Roman" w:hAnsi="Times New Roman" w:cs="Times New Roman"/>
          <w:sz w:val="21"/>
          <w:szCs w:val="24"/>
          <w:vertAlign w:val="superscript"/>
        </w:rPr>
        <w:t>[20,21]</w:t>
      </w:r>
      <w:r>
        <w:fldChar w:fldCharType="end"/>
      </w:r>
      <w:r>
        <w:t>。由此，本文将财务困境预警从全样本二分类重构为审查资源约束下的高风险排序问题。</w:t>
      </w:r>
    </w:p>
    <w:p w14:paraId="5E113D3E">
      <w:pPr>
        <w:bidi w:val="0"/>
      </w:pPr>
      <w:r>
        <w:t>现有研究仍存在三点局限，也正是本文的切入点。其一，动态特征构造仍不充分：多数工作停留在静态截面比率，对企业纵向恶化轨迹与风险累积的非线性加速刻画偏弱。其二，优化目标与实务错位：CatBoost 等模型全局精度强，但常规单阶段交叉熵并不直接优化 Top-K 名单质量与边界区局部排序稳定性。其三，面向高风险边界的二阶段校正/重排序机制供给不足：全样本单模型往往将部分风险特征相似但尚未触发困境标签的样本集中于阈值附近，而这些样本恰好决定名单尾部与边缘区域的审查价值。基于此，本文构建一阶段 CatBoost 全局排序 + 二阶段边界候选区重排序（级联校正）框架，并以 PR-AUC、Precision@K 和 Recall@K 等指标检验模型在不平衡样本和有限审查资源约束下的排序效果，以提升高风险企业的识别与排序效能。</w:t>
      </w:r>
    </w:p>
    <w:p w14:paraId="27753F9E">
      <w:pPr>
        <w:pStyle w:val="2"/>
        <w:bidi w:val="0"/>
      </w:pPr>
      <w:r>
        <w:t>研究设计与方法</w:t>
      </w:r>
    </w:p>
    <w:p w14:paraId="16D8D28A">
      <w:pPr>
        <w:pStyle w:val="3"/>
        <w:bidi w:val="0"/>
      </w:pPr>
      <w:r>
        <w:rPr>
          <w:rFonts w:hint="eastAsia"/>
        </w:rPr>
        <w:t>3.1 财务困境风险的特征表示</w:t>
      </w:r>
    </w:p>
    <w:p w14:paraId="6F30F6DB">
      <w:pPr>
        <w:keepNext w:val="0"/>
        <w:keepLines w:val="0"/>
        <w:widowControl/>
        <w:suppressLineNumbers w:val="0"/>
        <w:spacing w:after="62"/>
      </w:pPr>
      <w:r>
        <w:t>本文选取中国 A 股上市公司作为研究对象，构建公司—季度层面的结构化风险特征面板。特征观测期覆盖 2007 年第 1 季度至 2024 年第 4 季度。本文所用数据统一来源于国泰安数据库（CSMAR），涵盖财务报表、财务比率、市场交易、行业环境、行业竞争、公司治理、审计监督、管理层文本、诉讼风险及宏观环境十类模块（见表 3-1）。</w:t>
      </w:r>
    </w:p>
    <w:p w14:paraId="0C66755F">
      <w:pPr>
        <w:spacing w:after="62"/>
        <w:ind w:firstLine="0" w:firstLineChars="0"/>
      </w:pPr>
      <w:r>
        <w:t>在数据处理环节，本文以证券代码作为公司标识，以统计截止日期、交易月份、公告日期或审计日期作为时间标识，将不同频率的数据统一聚合至公司—季度层面，严格遵循信息可得性约束。具体处理逻辑如下：季度财务数据按统计截止日期直接匹配；月度市场交易与宏观数据按季度聚合，构造季度收益率、波动率及流动性指标；年度治理、审计及文本数据按披露日期或保守可得日期滞后匹配至后续季度；诉讼数据按公告日期聚合为季度层面的诉讼频次与风险敞口。经过样本清洗、时间对齐、缺失值处理及异常值处理后，形成非平衡公司—季度面板数据集。</w:t>
      </w:r>
    </w:p>
    <w:p w14:paraId="613E49B3">
      <w:pPr>
        <w:spacing w:after="62"/>
        <w:ind w:left="0" w:leftChars="0" w:firstLine="0" w:firstLineChars="0"/>
        <w:jc w:val="center"/>
        <w:rPr>
          <w:rFonts w:hint="eastAsia"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表 3-1 数据来源与特征模块</w:t>
      </w:r>
    </w:p>
    <w:tbl>
      <w:tblPr>
        <w:tblStyle w:val="27"/>
        <w:tblW w:w="0" w:type="auto"/>
        <w:jc w:val="center"/>
        <w:tblLayout w:type="autofit"/>
        <w:tblCellMar>
          <w:top w:w="0" w:type="dxa"/>
          <w:left w:w="108" w:type="dxa"/>
          <w:bottom w:w="0" w:type="dxa"/>
          <w:right w:w="108" w:type="dxa"/>
        </w:tblCellMar>
      </w:tblPr>
      <w:tblGrid>
        <w:gridCol w:w="2119"/>
        <w:gridCol w:w="2119"/>
        <w:gridCol w:w="2119"/>
        <w:gridCol w:w="2165"/>
      </w:tblGrid>
      <w:tr w14:paraId="011C4A3A">
        <w:tblPrEx>
          <w:tblCellMar>
            <w:top w:w="0" w:type="dxa"/>
            <w:left w:w="108" w:type="dxa"/>
            <w:bottom w:w="0" w:type="dxa"/>
            <w:right w:w="108" w:type="dxa"/>
          </w:tblCellMar>
        </w:tblPrEx>
        <w:trPr>
          <w:jc w:val="center"/>
        </w:trPr>
        <w:tc>
          <w:tcPr>
            <w:tcW w:w="2119" w:type="dxa"/>
            <w:tcBorders>
              <w:top w:val="single" w:color="000000" w:sz="12" w:space="0"/>
              <w:left w:val="nil"/>
              <w:bottom w:val="single" w:color="000000" w:sz="8" w:space="0"/>
              <w:right w:val="nil"/>
            </w:tcBorders>
            <w:vAlign w:val="center"/>
          </w:tcPr>
          <w:p w14:paraId="356F657A">
            <w:pPr>
              <w:spacing w:after="62"/>
              <w:ind w:firstLine="0" w:firstLineChars="0"/>
              <w:jc w:val="center"/>
              <w:rPr>
                <w:rFonts w:hint="eastAsia" w:ascii="宋体" w:hAnsi="宋体" w:eastAsia="宋体" w:cs="宋体"/>
                <w:sz w:val="15"/>
                <w:szCs w:val="15"/>
              </w:rPr>
            </w:pPr>
            <w:r>
              <w:rPr>
                <w:rFonts w:hint="eastAsia" w:ascii="宋体" w:hAnsi="宋体" w:eastAsia="宋体" w:cs="宋体"/>
                <w:b/>
                <w:sz w:val="15"/>
                <w:szCs w:val="15"/>
              </w:rPr>
              <w:t>指标模块</w:t>
            </w:r>
          </w:p>
        </w:tc>
        <w:tc>
          <w:tcPr>
            <w:tcW w:w="2119" w:type="dxa"/>
            <w:tcBorders>
              <w:top w:val="single" w:color="000000" w:sz="12" w:space="0"/>
              <w:left w:val="nil"/>
              <w:bottom w:val="single" w:color="000000" w:sz="8" w:space="0"/>
              <w:right w:val="nil"/>
            </w:tcBorders>
            <w:vAlign w:val="center"/>
          </w:tcPr>
          <w:p w14:paraId="2F024E8F">
            <w:pPr>
              <w:spacing w:after="62"/>
              <w:ind w:firstLine="0" w:firstLineChars="0"/>
              <w:jc w:val="center"/>
              <w:rPr>
                <w:rFonts w:hint="eastAsia" w:ascii="宋体" w:hAnsi="宋体" w:eastAsia="宋体" w:cs="宋体"/>
                <w:sz w:val="15"/>
                <w:szCs w:val="15"/>
              </w:rPr>
            </w:pPr>
            <w:r>
              <w:rPr>
                <w:rFonts w:hint="eastAsia" w:ascii="宋体" w:hAnsi="宋体" w:eastAsia="宋体" w:cs="宋体"/>
                <w:b/>
                <w:sz w:val="15"/>
                <w:szCs w:val="15"/>
              </w:rPr>
              <w:t>数据频率</w:t>
            </w:r>
          </w:p>
        </w:tc>
        <w:tc>
          <w:tcPr>
            <w:tcW w:w="2119" w:type="dxa"/>
            <w:tcBorders>
              <w:top w:val="single" w:color="000000" w:sz="12" w:space="0"/>
              <w:left w:val="nil"/>
              <w:bottom w:val="single" w:color="000000" w:sz="8" w:space="0"/>
              <w:right w:val="nil"/>
            </w:tcBorders>
            <w:vAlign w:val="center"/>
          </w:tcPr>
          <w:p w14:paraId="6CA4D722">
            <w:pPr>
              <w:spacing w:after="62"/>
              <w:ind w:firstLine="0" w:firstLineChars="0"/>
              <w:jc w:val="center"/>
              <w:rPr>
                <w:rFonts w:hint="eastAsia" w:ascii="宋体" w:hAnsi="宋体" w:eastAsia="宋体" w:cs="宋体"/>
                <w:sz w:val="15"/>
                <w:szCs w:val="15"/>
              </w:rPr>
            </w:pPr>
            <w:r>
              <w:rPr>
                <w:rFonts w:hint="eastAsia" w:ascii="宋体" w:hAnsi="宋体" w:eastAsia="宋体" w:cs="宋体"/>
                <w:b/>
                <w:sz w:val="15"/>
                <w:szCs w:val="15"/>
              </w:rPr>
              <w:t>季度化处理方式</w:t>
            </w:r>
          </w:p>
        </w:tc>
        <w:tc>
          <w:tcPr>
            <w:tcW w:w="2165" w:type="dxa"/>
            <w:tcBorders>
              <w:top w:val="single" w:color="000000" w:sz="12" w:space="0"/>
              <w:left w:val="nil"/>
              <w:bottom w:val="single" w:color="000000" w:sz="8" w:space="0"/>
              <w:right w:val="nil"/>
            </w:tcBorders>
            <w:vAlign w:val="center"/>
          </w:tcPr>
          <w:p w14:paraId="6A381379">
            <w:pPr>
              <w:spacing w:after="62"/>
              <w:ind w:firstLine="0" w:firstLineChars="0"/>
              <w:jc w:val="center"/>
              <w:rPr>
                <w:rFonts w:hint="eastAsia" w:ascii="宋体" w:hAnsi="宋体" w:eastAsia="宋体" w:cs="宋体"/>
                <w:sz w:val="15"/>
                <w:szCs w:val="15"/>
              </w:rPr>
            </w:pPr>
            <w:r>
              <w:rPr>
                <w:rFonts w:hint="eastAsia" w:ascii="宋体" w:hAnsi="宋体" w:eastAsia="宋体" w:cs="宋体"/>
                <w:b/>
                <w:sz w:val="15"/>
                <w:szCs w:val="15"/>
              </w:rPr>
              <w:t>代表性指标</w:t>
            </w:r>
          </w:p>
        </w:tc>
      </w:tr>
      <w:tr w14:paraId="0AB5EC0A">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011FCD38">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财务报表</w:t>
            </w:r>
          </w:p>
        </w:tc>
        <w:tc>
          <w:tcPr>
            <w:tcW w:w="2119" w:type="dxa"/>
            <w:tcBorders>
              <w:top w:val="nil"/>
              <w:left w:val="nil"/>
              <w:bottom w:val="nil"/>
              <w:right w:val="nil"/>
            </w:tcBorders>
            <w:vAlign w:val="center"/>
          </w:tcPr>
          <w:p w14:paraId="02041A63">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季度</w:t>
            </w:r>
          </w:p>
        </w:tc>
        <w:tc>
          <w:tcPr>
            <w:tcW w:w="2119" w:type="dxa"/>
            <w:tcBorders>
              <w:top w:val="nil"/>
              <w:left w:val="nil"/>
              <w:bottom w:val="nil"/>
              <w:right w:val="nil"/>
            </w:tcBorders>
            <w:vAlign w:val="center"/>
          </w:tcPr>
          <w:p w14:paraId="4CEF4FD1">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按统计截止日期匹配</w:t>
            </w:r>
          </w:p>
        </w:tc>
        <w:tc>
          <w:tcPr>
            <w:tcW w:w="2165" w:type="dxa"/>
            <w:tcBorders>
              <w:top w:val="nil"/>
              <w:left w:val="nil"/>
              <w:bottom w:val="nil"/>
              <w:right w:val="nil"/>
            </w:tcBorders>
            <w:vAlign w:val="center"/>
          </w:tcPr>
          <w:p w14:paraId="027E2315">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货币资金、应收账款、存货、商誉、短期借款、长期借款、营业收入、净利润、经营现金流</w:t>
            </w:r>
          </w:p>
        </w:tc>
      </w:tr>
      <w:tr w14:paraId="2FB5CDEC">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06A0ECB2">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财务比率</w:t>
            </w:r>
          </w:p>
        </w:tc>
        <w:tc>
          <w:tcPr>
            <w:tcW w:w="2119" w:type="dxa"/>
            <w:tcBorders>
              <w:top w:val="nil"/>
              <w:left w:val="nil"/>
              <w:bottom w:val="nil"/>
              <w:right w:val="nil"/>
            </w:tcBorders>
            <w:vAlign w:val="center"/>
          </w:tcPr>
          <w:p w14:paraId="0FD5DB07">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季度</w:t>
            </w:r>
          </w:p>
        </w:tc>
        <w:tc>
          <w:tcPr>
            <w:tcW w:w="2119" w:type="dxa"/>
            <w:tcBorders>
              <w:top w:val="nil"/>
              <w:left w:val="nil"/>
              <w:bottom w:val="nil"/>
              <w:right w:val="nil"/>
            </w:tcBorders>
            <w:vAlign w:val="center"/>
          </w:tcPr>
          <w:p w14:paraId="25704C21">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按统计截止日期匹配</w:t>
            </w:r>
          </w:p>
        </w:tc>
        <w:tc>
          <w:tcPr>
            <w:tcW w:w="2165" w:type="dxa"/>
            <w:tcBorders>
              <w:top w:val="nil"/>
              <w:left w:val="nil"/>
              <w:bottom w:val="nil"/>
              <w:right w:val="nil"/>
            </w:tcBorders>
            <w:vAlign w:val="center"/>
          </w:tcPr>
          <w:p w14:paraId="385F0493">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流动比率、速动比率、现金比率、资产负债率、ROA、ROE、营业毛利率、净利润增长率</w:t>
            </w:r>
          </w:p>
        </w:tc>
      </w:tr>
      <w:tr w14:paraId="6F00C49D">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3C628E2E">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市场交易</w:t>
            </w:r>
          </w:p>
        </w:tc>
        <w:tc>
          <w:tcPr>
            <w:tcW w:w="2119" w:type="dxa"/>
            <w:tcBorders>
              <w:top w:val="nil"/>
              <w:left w:val="nil"/>
              <w:bottom w:val="nil"/>
              <w:right w:val="nil"/>
            </w:tcBorders>
            <w:vAlign w:val="center"/>
          </w:tcPr>
          <w:p w14:paraId="7092AEAE">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月度</w:t>
            </w:r>
          </w:p>
        </w:tc>
        <w:tc>
          <w:tcPr>
            <w:tcW w:w="2119" w:type="dxa"/>
            <w:tcBorders>
              <w:top w:val="nil"/>
              <w:left w:val="nil"/>
              <w:bottom w:val="nil"/>
              <w:right w:val="nil"/>
            </w:tcBorders>
            <w:vAlign w:val="center"/>
          </w:tcPr>
          <w:p w14:paraId="6DA1E621">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聚合至季度</w:t>
            </w:r>
          </w:p>
        </w:tc>
        <w:tc>
          <w:tcPr>
            <w:tcW w:w="2165" w:type="dxa"/>
            <w:tcBorders>
              <w:top w:val="nil"/>
              <w:left w:val="nil"/>
              <w:bottom w:val="nil"/>
              <w:right w:val="nil"/>
            </w:tcBorders>
            <w:vAlign w:val="center"/>
          </w:tcPr>
          <w:p w14:paraId="01457169">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股票收益率、流通市值、总市值、换手率、Beta、非流动性、融资融券余额</w:t>
            </w:r>
          </w:p>
        </w:tc>
      </w:tr>
      <w:tr w14:paraId="63479EC2">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08F099D4">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行业环境</w:t>
            </w:r>
          </w:p>
        </w:tc>
        <w:tc>
          <w:tcPr>
            <w:tcW w:w="2119" w:type="dxa"/>
            <w:tcBorders>
              <w:top w:val="nil"/>
              <w:left w:val="nil"/>
              <w:bottom w:val="nil"/>
              <w:right w:val="nil"/>
            </w:tcBorders>
            <w:vAlign w:val="center"/>
          </w:tcPr>
          <w:p w14:paraId="689FBB5D">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季度/年度</w:t>
            </w:r>
          </w:p>
        </w:tc>
        <w:tc>
          <w:tcPr>
            <w:tcW w:w="2119" w:type="dxa"/>
            <w:tcBorders>
              <w:top w:val="nil"/>
              <w:left w:val="nil"/>
              <w:bottom w:val="nil"/>
              <w:right w:val="nil"/>
            </w:tcBorders>
            <w:vAlign w:val="center"/>
          </w:tcPr>
          <w:p w14:paraId="1BAEBC66">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按行业代码和统计截止日期匹配</w:t>
            </w:r>
          </w:p>
        </w:tc>
        <w:tc>
          <w:tcPr>
            <w:tcW w:w="2165" w:type="dxa"/>
            <w:tcBorders>
              <w:top w:val="nil"/>
              <w:left w:val="nil"/>
              <w:bottom w:val="nil"/>
              <w:right w:val="nil"/>
            </w:tcBorders>
            <w:vAlign w:val="center"/>
          </w:tcPr>
          <w:p w14:paraId="5077C3AF">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行业偿债能力、行业盈利能力、行业经营能力、行业现金流、行业风险水平、行业景气指数</w:t>
            </w:r>
          </w:p>
        </w:tc>
      </w:tr>
      <w:tr w14:paraId="75C18336">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6481404A">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行业竞争</w:t>
            </w:r>
          </w:p>
        </w:tc>
        <w:tc>
          <w:tcPr>
            <w:tcW w:w="2119" w:type="dxa"/>
            <w:tcBorders>
              <w:top w:val="nil"/>
              <w:left w:val="nil"/>
              <w:bottom w:val="nil"/>
              <w:right w:val="nil"/>
            </w:tcBorders>
            <w:vAlign w:val="center"/>
          </w:tcPr>
          <w:p w14:paraId="1F246DB9">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年度</w:t>
            </w:r>
          </w:p>
        </w:tc>
        <w:tc>
          <w:tcPr>
            <w:tcW w:w="2119" w:type="dxa"/>
            <w:tcBorders>
              <w:top w:val="nil"/>
              <w:left w:val="nil"/>
              <w:bottom w:val="nil"/>
              <w:right w:val="nil"/>
            </w:tcBorders>
            <w:vAlign w:val="center"/>
          </w:tcPr>
          <w:p w14:paraId="34A312C8">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滞后匹配至后续季度</w:t>
            </w:r>
          </w:p>
        </w:tc>
        <w:tc>
          <w:tcPr>
            <w:tcW w:w="2165" w:type="dxa"/>
            <w:tcBorders>
              <w:top w:val="nil"/>
              <w:left w:val="nil"/>
              <w:bottom w:val="nil"/>
              <w:right w:val="nil"/>
            </w:tcBorders>
            <w:vAlign w:val="center"/>
          </w:tcPr>
          <w:p w14:paraId="0AA0AD9B">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勒纳指数、赫芬达尔指数、CR8、市场占有率</w:t>
            </w:r>
          </w:p>
        </w:tc>
      </w:tr>
      <w:tr w14:paraId="40D79ABA">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2A8EC156">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公司治理</w:t>
            </w:r>
          </w:p>
        </w:tc>
        <w:tc>
          <w:tcPr>
            <w:tcW w:w="2119" w:type="dxa"/>
            <w:tcBorders>
              <w:top w:val="nil"/>
              <w:left w:val="nil"/>
              <w:bottom w:val="nil"/>
              <w:right w:val="nil"/>
            </w:tcBorders>
            <w:vAlign w:val="center"/>
          </w:tcPr>
          <w:p w14:paraId="0F927FF7">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年度</w:t>
            </w:r>
          </w:p>
        </w:tc>
        <w:tc>
          <w:tcPr>
            <w:tcW w:w="2119" w:type="dxa"/>
            <w:tcBorders>
              <w:top w:val="nil"/>
              <w:left w:val="nil"/>
              <w:bottom w:val="nil"/>
              <w:right w:val="nil"/>
            </w:tcBorders>
            <w:vAlign w:val="center"/>
          </w:tcPr>
          <w:p w14:paraId="15BAC4AF">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按披露日期或保守可得日期滞后匹配</w:t>
            </w:r>
          </w:p>
        </w:tc>
        <w:tc>
          <w:tcPr>
            <w:tcW w:w="2165" w:type="dxa"/>
            <w:tcBorders>
              <w:top w:val="nil"/>
              <w:left w:val="nil"/>
              <w:bottom w:val="nil"/>
              <w:right w:val="nil"/>
            </w:tcBorders>
            <w:vAlign w:val="center"/>
          </w:tcPr>
          <w:p w14:paraId="6731450E">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董事会规模、独董人数、两职合一、第一大股东持股比例、股权制衡、高管薪酬</w:t>
            </w:r>
          </w:p>
        </w:tc>
      </w:tr>
      <w:tr w14:paraId="347AB2FA">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08BB2BC9">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审计监督</w:t>
            </w:r>
          </w:p>
        </w:tc>
        <w:tc>
          <w:tcPr>
            <w:tcW w:w="2119" w:type="dxa"/>
            <w:tcBorders>
              <w:top w:val="nil"/>
              <w:left w:val="nil"/>
              <w:bottom w:val="nil"/>
              <w:right w:val="nil"/>
            </w:tcBorders>
            <w:vAlign w:val="center"/>
          </w:tcPr>
          <w:p w14:paraId="52573966">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年度</w:t>
            </w:r>
          </w:p>
        </w:tc>
        <w:tc>
          <w:tcPr>
            <w:tcW w:w="2119" w:type="dxa"/>
            <w:tcBorders>
              <w:top w:val="nil"/>
              <w:left w:val="nil"/>
              <w:bottom w:val="nil"/>
              <w:right w:val="nil"/>
            </w:tcBorders>
            <w:vAlign w:val="center"/>
          </w:tcPr>
          <w:p w14:paraId="64818966">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按审计日期或保守可得日期滞后匹配</w:t>
            </w:r>
          </w:p>
        </w:tc>
        <w:tc>
          <w:tcPr>
            <w:tcW w:w="2165" w:type="dxa"/>
            <w:tcBorders>
              <w:top w:val="nil"/>
              <w:left w:val="nil"/>
              <w:bottom w:val="nil"/>
              <w:right w:val="nil"/>
            </w:tcBorders>
            <w:vAlign w:val="center"/>
          </w:tcPr>
          <w:p w14:paraId="22DC0909">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审计意见类型、财务报告审计意见、非标准审计意见、持续经营提示</w:t>
            </w:r>
          </w:p>
        </w:tc>
      </w:tr>
      <w:tr w14:paraId="1D5C12FD">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0190F522">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管理层文本</w:t>
            </w:r>
          </w:p>
        </w:tc>
        <w:tc>
          <w:tcPr>
            <w:tcW w:w="2119" w:type="dxa"/>
            <w:tcBorders>
              <w:top w:val="nil"/>
              <w:left w:val="nil"/>
              <w:bottom w:val="nil"/>
              <w:right w:val="nil"/>
            </w:tcBorders>
            <w:vAlign w:val="center"/>
          </w:tcPr>
          <w:p w14:paraId="67E4BE18">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年度</w:t>
            </w:r>
          </w:p>
        </w:tc>
        <w:tc>
          <w:tcPr>
            <w:tcW w:w="2119" w:type="dxa"/>
            <w:tcBorders>
              <w:top w:val="nil"/>
              <w:left w:val="nil"/>
              <w:bottom w:val="nil"/>
              <w:right w:val="nil"/>
            </w:tcBorders>
            <w:vAlign w:val="center"/>
          </w:tcPr>
          <w:p w14:paraId="05355830">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按披露日期滞后匹配</w:t>
            </w:r>
          </w:p>
        </w:tc>
        <w:tc>
          <w:tcPr>
            <w:tcW w:w="2165" w:type="dxa"/>
            <w:tcBorders>
              <w:top w:val="nil"/>
              <w:left w:val="nil"/>
              <w:bottom w:val="nil"/>
              <w:right w:val="nil"/>
            </w:tcBorders>
            <w:vAlign w:val="center"/>
          </w:tcPr>
          <w:p w14:paraId="797B575A">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文本相似度、正面词汇、负面词汇、文本长度、情感语调、风险提示披露</w:t>
            </w:r>
          </w:p>
        </w:tc>
      </w:tr>
      <w:tr w14:paraId="644B0FD6">
        <w:tblPrEx>
          <w:tblCellMar>
            <w:top w:w="0" w:type="dxa"/>
            <w:left w:w="108" w:type="dxa"/>
            <w:bottom w:w="0" w:type="dxa"/>
            <w:right w:w="108" w:type="dxa"/>
          </w:tblCellMar>
        </w:tblPrEx>
        <w:trPr>
          <w:jc w:val="center"/>
        </w:trPr>
        <w:tc>
          <w:tcPr>
            <w:tcW w:w="2119" w:type="dxa"/>
            <w:tcBorders>
              <w:top w:val="nil"/>
              <w:left w:val="nil"/>
              <w:bottom w:val="nil"/>
              <w:right w:val="nil"/>
            </w:tcBorders>
            <w:vAlign w:val="center"/>
          </w:tcPr>
          <w:p w14:paraId="4E1944F4">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诉讼风险</w:t>
            </w:r>
          </w:p>
        </w:tc>
        <w:tc>
          <w:tcPr>
            <w:tcW w:w="2119" w:type="dxa"/>
            <w:tcBorders>
              <w:top w:val="nil"/>
              <w:left w:val="nil"/>
              <w:bottom w:val="nil"/>
              <w:right w:val="nil"/>
            </w:tcBorders>
            <w:vAlign w:val="center"/>
          </w:tcPr>
          <w:p w14:paraId="7002A348">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日度</w:t>
            </w:r>
          </w:p>
        </w:tc>
        <w:tc>
          <w:tcPr>
            <w:tcW w:w="2119" w:type="dxa"/>
            <w:tcBorders>
              <w:top w:val="nil"/>
              <w:left w:val="nil"/>
              <w:bottom w:val="nil"/>
              <w:right w:val="nil"/>
            </w:tcBorders>
            <w:vAlign w:val="center"/>
          </w:tcPr>
          <w:p w14:paraId="03E20AEF">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按公告日期聚合至季度</w:t>
            </w:r>
          </w:p>
        </w:tc>
        <w:tc>
          <w:tcPr>
            <w:tcW w:w="2165" w:type="dxa"/>
            <w:tcBorders>
              <w:top w:val="nil"/>
              <w:left w:val="nil"/>
              <w:bottom w:val="nil"/>
              <w:right w:val="nil"/>
            </w:tcBorders>
            <w:vAlign w:val="center"/>
          </w:tcPr>
          <w:p w14:paraId="0B6E8FE6">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诉讼事件数量、司法类型、司法进程、涉案金额</w:t>
            </w:r>
          </w:p>
        </w:tc>
      </w:tr>
      <w:tr w14:paraId="5F676B51">
        <w:tblPrEx>
          <w:tblCellMar>
            <w:top w:w="0" w:type="dxa"/>
            <w:left w:w="108" w:type="dxa"/>
            <w:bottom w:w="0" w:type="dxa"/>
            <w:right w:w="108" w:type="dxa"/>
          </w:tblCellMar>
        </w:tblPrEx>
        <w:trPr>
          <w:jc w:val="center"/>
        </w:trPr>
        <w:tc>
          <w:tcPr>
            <w:tcW w:w="2119" w:type="dxa"/>
            <w:tcBorders>
              <w:top w:val="nil"/>
              <w:left w:val="nil"/>
              <w:bottom w:val="single" w:color="000000" w:sz="12" w:space="0"/>
              <w:right w:val="nil"/>
            </w:tcBorders>
            <w:vAlign w:val="center"/>
          </w:tcPr>
          <w:p w14:paraId="7FD90D10">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宏观环境</w:t>
            </w:r>
          </w:p>
        </w:tc>
        <w:tc>
          <w:tcPr>
            <w:tcW w:w="2119" w:type="dxa"/>
            <w:tcBorders>
              <w:top w:val="nil"/>
              <w:left w:val="nil"/>
              <w:bottom w:val="single" w:color="000000" w:sz="12" w:space="0"/>
              <w:right w:val="nil"/>
            </w:tcBorders>
            <w:vAlign w:val="center"/>
          </w:tcPr>
          <w:p w14:paraId="413C11DF">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月度</w:t>
            </w:r>
          </w:p>
        </w:tc>
        <w:tc>
          <w:tcPr>
            <w:tcW w:w="2119" w:type="dxa"/>
            <w:tcBorders>
              <w:top w:val="nil"/>
              <w:left w:val="nil"/>
              <w:bottom w:val="single" w:color="000000" w:sz="12" w:space="0"/>
              <w:right w:val="nil"/>
            </w:tcBorders>
            <w:vAlign w:val="center"/>
          </w:tcPr>
          <w:p w14:paraId="36E0CD9E">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聚合至季度</w:t>
            </w:r>
          </w:p>
        </w:tc>
        <w:tc>
          <w:tcPr>
            <w:tcW w:w="2165" w:type="dxa"/>
            <w:tcBorders>
              <w:top w:val="nil"/>
              <w:left w:val="nil"/>
              <w:bottom w:val="single" w:color="000000" w:sz="12" w:space="0"/>
              <w:right w:val="nil"/>
            </w:tcBorders>
            <w:vAlign w:val="center"/>
          </w:tcPr>
          <w:p w14:paraId="6300E32B">
            <w:pPr>
              <w:spacing w:after="62"/>
              <w:ind w:firstLine="0" w:firstLineChars="0"/>
              <w:jc w:val="center"/>
              <w:rPr>
                <w:rFonts w:hint="eastAsia" w:ascii="宋体" w:hAnsi="宋体" w:eastAsia="宋体" w:cs="宋体"/>
                <w:sz w:val="15"/>
                <w:szCs w:val="15"/>
              </w:rPr>
            </w:pPr>
            <w:r>
              <w:rPr>
                <w:rFonts w:hint="eastAsia" w:ascii="宋体" w:hAnsi="宋体" w:eastAsia="宋体" w:cs="宋体"/>
                <w:sz w:val="15"/>
                <w:szCs w:val="15"/>
              </w:rPr>
              <w:t>宏观经济一致指数、先行指数</w:t>
            </w:r>
          </w:p>
        </w:tc>
      </w:tr>
    </w:tbl>
    <w:p w14:paraId="0AFD2F96">
      <w:pPr>
        <w:spacing w:after="62"/>
        <w:ind w:firstLine="0" w:firstLineChars="0"/>
        <w:jc w:val="both"/>
      </w:pPr>
    </w:p>
    <w:p w14:paraId="4DE57851">
      <w:pPr>
        <w:keepNext w:val="0"/>
        <w:keepLines w:val="0"/>
        <w:widowControl/>
        <w:suppressLineNumbers w:val="0"/>
        <w:spacing w:after="62"/>
      </w:pPr>
      <w:r>
        <w:t>在时间对齐企业—季度面板的基础上，本文进一步构建会计金融风险特征体系。该体系并非简单地扩充特征数量，而是基于明确的会计金融风险逻辑，将面板数据转化为服务于高风险排序任务的动态风险画像。特征体系由以下七个维度构成（见表 3-2）：</w:t>
      </w:r>
    </w:p>
    <w:p w14:paraId="4C5C8FDD">
      <w:pPr>
        <w:keepNext w:val="0"/>
        <w:keepLines w:val="0"/>
        <w:widowControl/>
        <w:suppressLineNumbers w:val="0"/>
        <w:spacing w:after="62"/>
      </w:pPr>
      <w:r>
        <w:t>（1）行业相对风险特征。参照财务困境预测研究中常用的行业基准调整思路，计算关键财务变量的行业 z-score、行业分位数及相对行业中位数差值，以控制行业异质性对风险基准的影响，识别企业相对于同行的异常偏离。</w:t>
      </w:r>
    </w:p>
    <w:p w14:paraId="1BF8F7E3">
      <w:pPr>
        <w:keepNext w:val="0"/>
        <w:keepLines w:val="0"/>
        <w:widowControl/>
        <w:suppressLineNumbers w:val="0"/>
        <w:spacing w:after="62"/>
      </w:pPr>
      <w:r>
        <w:t>（2）历史窗口特征。基于企业自身历史窗口计算滚动均值、滚动标准差、历史均值偏离，刻画风险累积过程。</w:t>
      </w:r>
    </w:p>
    <w:p w14:paraId="0CE8D202">
      <w:pPr>
        <w:keepNext w:val="0"/>
        <w:keepLines w:val="0"/>
        <w:widowControl/>
        <w:suppressLineNumbers w:val="0"/>
        <w:spacing w:after="62"/>
      </w:pPr>
      <w:r>
        <w:t>（3）动态恶化特征。按指标风险方向统计变化，包括季度变化、年度变化、杠杆连续上升、盈利连续下降、现金流连续恶化，捕捉企业逐步滑向困境的路径。</w:t>
      </w:r>
    </w:p>
    <w:p w14:paraId="264C2778">
      <w:pPr>
        <w:keepNext w:val="0"/>
        <w:keepLines w:val="0"/>
        <w:widowControl/>
        <w:suppressLineNumbers w:val="0"/>
        <w:spacing w:after="62"/>
      </w:pPr>
      <w:r>
        <w:t>（4）行业尾部特征。标记行业内极端位置，如行业尾部分位数标记、行业分位数变化、行业分位数下移，强化高风险边界识别。</w:t>
      </w:r>
    </w:p>
    <w:p w14:paraId="678FE65F">
      <w:pPr>
        <w:keepNext w:val="0"/>
        <w:keepLines w:val="0"/>
        <w:widowControl/>
        <w:suppressLineNumbers w:val="0"/>
        <w:spacing w:after="62"/>
      </w:pPr>
      <w:r>
        <w:t>（5）风险组合特征。构建具有明确会计金融含义的复合风险交互项，如高杠杆 × 现金流恶化、盈利下滑 × 审计异常、行业尾部盈利 × 负债上升，刻画多信号共振下的风险传导机制。</w:t>
      </w:r>
    </w:p>
    <w:p w14:paraId="1633CF62">
      <w:pPr>
        <w:keepNext w:val="0"/>
        <w:keepLines w:val="0"/>
        <w:widowControl/>
        <w:suppressLineNumbers w:val="0"/>
        <w:spacing w:after="62"/>
      </w:pPr>
      <w:r>
        <w:t>（6）审计与文本风险特征。将审计意见和管理层披露信息转为风险变量，包括非标准审计意见、审计严重度、文本风险指标、披露语调或披露质量特征，补充非财务风险信号。</w:t>
      </w:r>
    </w:p>
    <w:p w14:paraId="5D120D7E">
      <w:pPr>
        <w:keepNext w:val="0"/>
        <w:keepLines w:val="0"/>
        <w:widowControl/>
        <w:suppressLineNumbers w:val="0"/>
        <w:spacing w:after="62"/>
      </w:pPr>
      <w:r>
        <w:t>（7）缺失模式特征。统计关键变量缺失数量、缺失比例、信息可得标记，刻画信息可得性与披露完整性差异。</w:t>
      </w:r>
    </w:p>
    <w:p w14:paraId="302AE04E">
      <w:pPr>
        <w:spacing w:after="62"/>
        <w:jc w:val="left"/>
      </w:pPr>
      <w:r>
        <w:t xml:space="preserve">通过上述处理，本文将公司 </w:t>
      </w:r>
      <m:oMath>
        <m:r>
          <m:rPr/>
          <w:rPr>
            <w:rFonts w:hint="default" w:ascii="Cambria Math"/>
          </w:rPr>
          <m:t>i</m:t>
        </m:r>
      </m:oMath>
      <w:r>
        <w:t xml:space="preserve">在季度 </w:t>
      </w:r>
      <m:oMath>
        <m:r>
          <m:rPr/>
          <w:rPr>
            <w:rFonts w:hint="default" w:ascii="Cambria Math"/>
          </w:rPr>
          <m:t>t</m:t>
        </m:r>
      </m:oMath>
      <w:r>
        <w:t xml:space="preserve">的多源信息表示为结构化风险特征向量 </w:t>
      </w:r>
      <m:oMath>
        <m:sSub>
          <m:sSubPr>
            <m:ctrlPr>
              <w:rPr>
                <w:rFonts w:ascii="Cambria Math"/>
                <w:i/>
              </w:rPr>
            </m:ctrlPr>
          </m:sSubPr>
          <m:e>
            <m:r>
              <m:rPr/>
              <w:rPr>
                <w:rFonts w:hint="default" w:ascii="Cambria Math"/>
              </w:rPr>
              <m:t>x</m:t>
            </m:r>
            <m:ctrlPr>
              <w:rPr>
                <w:rFonts w:ascii="Cambria Math"/>
                <w:i/>
              </w:rPr>
            </m:ctrlPr>
          </m:e>
          <m:sub>
            <m:r>
              <m:rPr/>
              <w:rPr>
                <w:rFonts w:hint="default" w:ascii="Cambria Math"/>
              </w:rPr>
              <m:t>i,t</m:t>
            </m:r>
            <m:ctrlPr>
              <w:rPr>
                <w:rFonts w:ascii="Cambria Math"/>
                <w:i/>
              </w:rPr>
            </m:ctrlPr>
          </m:sub>
        </m:sSub>
      </m:oMath>
      <w:r>
        <w:t>，作为后续财务困境标签构造与级联边界重排序模型训练的输入。</w:t>
      </w:r>
    </w:p>
    <w:p w14:paraId="74287E6B">
      <w:pPr>
        <w:spacing w:after="62"/>
        <w:ind w:left="0" w:leftChars="0" w:firstLine="0" w:firstLineChars="0"/>
        <w:jc w:val="center"/>
        <w:rPr>
          <w:rFonts w:hint="eastAsia"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表3-2 会计金融风险特征体系</w:t>
      </w:r>
    </w:p>
    <w:tbl>
      <w:tblPr>
        <w:tblStyle w:val="27"/>
        <w:tblW w:w="0" w:type="auto"/>
        <w:tblInd w:w="0" w:type="dxa"/>
        <w:tblLayout w:type="autofit"/>
        <w:tblCellMar>
          <w:top w:w="0" w:type="dxa"/>
          <w:left w:w="108" w:type="dxa"/>
          <w:bottom w:w="0" w:type="dxa"/>
          <w:right w:w="108" w:type="dxa"/>
        </w:tblCellMar>
      </w:tblPr>
      <w:tblGrid>
        <w:gridCol w:w="2114"/>
        <w:gridCol w:w="2114"/>
        <w:gridCol w:w="2180"/>
        <w:gridCol w:w="2114"/>
      </w:tblGrid>
      <w:tr w14:paraId="57BB08D5">
        <w:tblPrEx>
          <w:tblCellMar>
            <w:top w:w="0" w:type="dxa"/>
            <w:left w:w="108" w:type="dxa"/>
            <w:bottom w:w="0" w:type="dxa"/>
            <w:right w:w="108" w:type="dxa"/>
          </w:tblCellMar>
        </w:tblPrEx>
        <w:tc>
          <w:tcPr>
            <w:tcW w:w="2412" w:type="dxa"/>
            <w:tcBorders>
              <w:top w:val="single" w:color="000000" w:sz="12" w:space="0"/>
              <w:left w:val="nil"/>
              <w:bottom w:val="single" w:color="000000" w:sz="8" w:space="0"/>
              <w:right w:val="nil"/>
            </w:tcBorders>
          </w:tcPr>
          <w:p w14:paraId="3222075C">
            <w:pPr>
              <w:spacing w:after="62" w:line="276" w:lineRule="auto"/>
              <w:ind w:firstLine="0" w:firstLineChars="0"/>
              <w:jc w:val="center"/>
              <w:rPr>
                <w:sz w:val="13"/>
                <w:szCs w:val="13"/>
              </w:rPr>
            </w:pPr>
            <w:r>
              <w:rPr>
                <w:rFonts w:ascii="宋体" w:hAnsi="宋体"/>
                <w:b/>
                <w:sz w:val="13"/>
                <w:szCs w:val="13"/>
              </w:rPr>
              <w:t>特征类别</w:t>
            </w:r>
          </w:p>
        </w:tc>
        <w:tc>
          <w:tcPr>
            <w:tcW w:w="2412" w:type="dxa"/>
            <w:tcBorders>
              <w:top w:val="single" w:color="000000" w:sz="12" w:space="0"/>
              <w:left w:val="nil"/>
              <w:bottom w:val="single" w:color="000000" w:sz="8" w:space="0"/>
              <w:right w:val="nil"/>
            </w:tcBorders>
          </w:tcPr>
          <w:p w14:paraId="041BA8B7">
            <w:pPr>
              <w:spacing w:after="62" w:line="276" w:lineRule="auto"/>
              <w:ind w:firstLine="0" w:firstLineChars="0"/>
              <w:jc w:val="center"/>
              <w:rPr>
                <w:sz w:val="13"/>
                <w:szCs w:val="13"/>
              </w:rPr>
            </w:pPr>
            <w:r>
              <w:rPr>
                <w:rFonts w:ascii="宋体" w:hAnsi="宋体"/>
                <w:b/>
                <w:sz w:val="13"/>
                <w:szCs w:val="13"/>
              </w:rPr>
              <w:t>构造方式</w:t>
            </w:r>
          </w:p>
        </w:tc>
        <w:tc>
          <w:tcPr>
            <w:tcW w:w="2412" w:type="dxa"/>
            <w:tcBorders>
              <w:top w:val="single" w:color="000000" w:sz="12" w:space="0"/>
              <w:left w:val="nil"/>
              <w:bottom w:val="single" w:color="000000" w:sz="8" w:space="0"/>
              <w:right w:val="nil"/>
            </w:tcBorders>
          </w:tcPr>
          <w:p w14:paraId="0A4218EF">
            <w:pPr>
              <w:spacing w:after="62" w:line="276" w:lineRule="auto"/>
              <w:ind w:firstLine="0" w:firstLineChars="0"/>
              <w:jc w:val="center"/>
              <w:rPr>
                <w:sz w:val="13"/>
                <w:szCs w:val="13"/>
              </w:rPr>
            </w:pPr>
            <w:r>
              <w:rPr>
                <w:rFonts w:ascii="宋体" w:hAnsi="宋体"/>
                <w:b/>
                <w:sz w:val="13"/>
                <w:szCs w:val="13"/>
              </w:rPr>
              <w:t>代表性特征</w:t>
            </w:r>
          </w:p>
        </w:tc>
        <w:tc>
          <w:tcPr>
            <w:tcW w:w="2412" w:type="dxa"/>
            <w:tcBorders>
              <w:top w:val="single" w:color="000000" w:sz="12" w:space="0"/>
              <w:left w:val="nil"/>
              <w:bottom w:val="single" w:color="000000" w:sz="8" w:space="0"/>
              <w:right w:val="nil"/>
            </w:tcBorders>
          </w:tcPr>
          <w:p w14:paraId="007D0032">
            <w:pPr>
              <w:spacing w:after="62" w:line="276" w:lineRule="auto"/>
              <w:ind w:firstLine="0" w:firstLineChars="0"/>
              <w:jc w:val="center"/>
              <w:rPr>
                <w:sz w:val="13"/>
                <w:szCs w:val="13"/>
              </w:rPr>
            </w:pPr>
            <w:r>
              <w:rPr>
                <w:rFonts w:ascii="宋体" w:hAnsi="宋体"/>
                <w:b/>
                <w:sz w:val="13"/>
                <w:szCs w:val="13"/>
              </w:rPr>
              <w:t>风险含义</w:t>
            </w:r>
          </w:p>
        </w:tc>
      </w:tr>
      <w:tr w14:paraId="4D169E94">
        <w:tblPrEx>
          <w:tblCellMar>
            <w:top w:w="0" w:type="dxa"/>
            <w:left w:w="108" w:type="dxa"/>
            <w:bottom w:w="0" w:type="dxa"/>
            <w:right w:w="108" w:type="dxa"/>
          </w:tblCellMar>
        </w:tblPrEx>
        <w:tc>
          <w:tcPr>
            <w:tcW w:w="2412" w:type="dxa"/>
            <w:tcBorders>
              <w:top w:val="nil"/>
              <w:left w:val="nil"/>
              <w:bottom w:val="nil"/>
              <w:right w:val="nil"/>
            </w:tcBorders>
          </w:tcPr>
          <w:p w14:paraId="17866831">
            <w:pPr>
              <w:spacing w:after="62" w:line="276" w:lineRule="auto"/>
              <w:ind w:firstLine="0" w:firstLineChars="0"/>
              <w:jc w:val="center"/>
              <w:rPr>
                <w:sz w:val="13"/>
                <w:szCs w:val="13"/>
              </w:rPr>
            </w:pPr>
            <w:r>
              <w:rPr>
                <w:rFonts w:ascii="宋体" w:hAnsi="宋体"/>
                <w:sz w:val="13"/>
                <w:szCs w:val="13"/>
              </w:rPr>
              <w:t>行业相对风险</w:t>
            </w:r>
          </w:p>
        </w:tc>
        <w:tc>
          <w:tcPr>
            <w:tcW w:w="2412" w:type="dxa"/>
            <w:tcBorders>
              <w:top w:val="nil"/>
              <w:left w:val="nil"/>
              <w:bottom w:val="nil"/>
              <w:right w:val="nil"/>
            </w:tcBorders>
          </w:tcPr>
          <w:p w14:paraId="20C31946">
            <w:pPr>
              <w:spacing w:after="62" w:line="276" w:lineRule="auto"/>
              <w:ind w:firstLine="0" w:firstLineChars="0"/>
              <w:jc w:val="center"/>
              <w:rPr>
                <w:sz w:val="13"/>
                <w:szCs w:val="13"/>
              </w:rPr>
            </w:pPr>
            <w:r>
              <w:rPr>
                <w:rFonts w:ascii="宋体" w:hAnsi="宋体"/>
                <w:sz w:val="13"/>
                <w:szCs w:val="13"/>
              </w:rPr>
              <w:t>同行业同季度比较</w:t>
            </w:r>
          </w:p>
        </w:tc>
        <w:tc>
          <w:tcPr>
            <w:tcW w:w="2412" w:type="dxa"/>
            <w:tcBorders>
              <w:top w:val="nil"/>
              <w:left w:val="nil"/>
              <w:bottom w:val="nil"/>
              <w:right w:val="nil"/>
            </w:tcBorders>
          </w:tcPr>
          <w:p w14:paraId="757AF1F2">
            <w:pPr>
              <w:spacing w:after="62" w:line="276" w:lineRule="auto"/>
              <w:ind w:firstLine="0" w:firstLineChars="0"/>
              <w:jc w:val="center"/>
              <w:rPr>
                <w:sz w:val="13"/>
                <w:szCs w:val="13"/>
              </w:rPr>
            </w:pPr>
            <w:r>
              <w:rPr>
                <w:rFonts w:ascii="宋体" w:hAnsi="宋体"/>
                <w:sz w:val="13"/>
                <w:szCs w:val="13"/>
              </w:rPr>
              <w:t>行业 z-score、行业分位数、相对行业中位数差值、相对行业中位数比例</w:t>
            </w:r>
          </w:p>
        </w:tc>
        <w:tc>
          <w:tcPr>
            <w:tcW w:w="2412" w:type="dxa"/>
            <w:tcBorders>
              <w:top w:val="nil"/>
              <w:left w:val="nil"/>
              <w:bottom w:val="nil"/>
              <w:right w:val="nil"/>
            </w:tcBorders>
          </w:tcPr>
          <w:p w14:paraId="49959E6C">
            <w:pPr>
              <w:spacing w:after="62" w:line="276" w:lineRule="auto"/>
              <w:ind w:firstLine="0" w:firstLineChars="0"/>
              <w:jc w:val="center"/>
              <w:rPr>
                <w:sz w:val="13"/>
                <w:szCs w:val="13"/>
              </w:rPr>
            </w:pPr>
            <w:r>
              <w:rPr>
                <w:rFonts w:ascii="宋体" w:hAnsi="宋体"/>
                <w:sz w:val="13"/>
                <w:szCs w:val="13"/>
              </w:rPr>
              <w:t>识别企业相对于同行的异常偏离</w:t>
            </w:r>
          </w:p>
        </w:tc>
      </w:tr>
      <w:tr w14:paraId="36F3D7D3">
        <w:tblPrEx>
          <w:tblCellMar>
            <w:top w:w="0" w:type="dxa"/>
            <w:left w:w="108" w:type="dxa"/>
            <w:bottom w:w="0" w:type="dxa"/>
            <w:right w:w="108" w:type="dxa"/>
          </w:tblCellMar>
        </w:tblPrEx>
        <w:tc>
          <w:tcPr>
            <w:tcW w:w="2412" w:type="dxa"/>
            <w:tcBorders>
              <w:top w:val="nil"/>
              <w:left w:val="nil"/>
              <w:bottom w:val="nil"/>
              <w:right w:val="nil"/>
            </w:tcBorders>
          </w:tcPr>
          <w:p w14:paraId="01B7EF78">
            <w:pPr>
              <w:spacing w:after="62" w:line="276" w:lineRule="auto"/>
              <w:ind w:firstLine="0" w:firstLineChars="0"/>
              <w:jc w:val="center"/>
              <w:rPr>
                <w:sz w:val="13"/>
                <w:szCs w:val="13"/>
              </w:rPr>
            </w:pPr>
            <w:r>
              <w:rPr>
                <w:rFonts w:ascii="宋体" w:hAnsi="宋体"/>
                <w:sz w:val="13"/>
                <w:szCs w:val="13"/>
              </w:rPr>
              <w:t>历史窗口特征</w:t>
            </w:r>
          </w:p>
        </w:tc>
        <w:tc>
          <w:tcPr>
            <w:tcW w:w="2412" w:type="dxa"/>
            <w:tcBorders>
              <w:top w:val="nil"/>
              <w:left w:val="nil"/>
              <w:bottom w:val="nil"/>
              <w:right w:val="nil"/>
            </w:tcBorders>
          </w:tcPr>
          <w:p w14:paraId="3727E974">
            <w:pPr>
              <w:spacing w:after="62" w:line="276" w:lineRule="auto"/>
              <w:ind w:firstLine="0" w:firstLineChars="0"/>
              <w:jc w:val="center"/>
              <w:rPr>
                <w:sz w:val="13"/>
                <w:szCs w:val="13"/>
              </w:rPr>
            </w:pPr>
            <w:r>
              <w:rPr>
                <w:rFonts w:ascii="宋体" w:hAnsi="宋体"/>
                <w:sz w:val="13"/>
                <w:szCs w:val="13"/>
              </w:rPr>
              <w:t>基于企业自身历史窗口计算</w:t>
            </w:r>
          </w:p>
        </w:tc>
        <w:tc>
          <w:tcPr>
            <w:tcW w:w="2412" w:type="dxa"/>
            <w:tcBorders>
              <w:top w:val="nil"/>
              <w:left w:val="nil"/>
              <w:bottom w:val="nil"/>
              <w:right w:val="nil"/>
            </w:tcBorders>
          </w:tcPr>
          <w:p w14:paraId="1BE4C13D">
            <w:pPr>
              <w:spacing w:after="62" w:line="276" w:lineRule="auto"/>
              <w:ind w:firstLine="0" w:firstLineChars="0"/>
              <w:jc w:val="center"/>
              <w:rPr>
                <w:sz w:val="13"/>
                <w:szCs w:val="13"/>
              </w:rPr>
            </w:pPr>
            <w:r>
              <w:rPr>
                <w:rFonts w:ascii="宋体" w:hAnsi="宋体"/>
                <w:sz w:val="13"/>
                <w:szCs w:val="13"/>
              </w:rPr>
              <w:t>滚动均值、滚动标准差、历史均值偏离</w:t>
            </w:r>
          </w:p>
        </w:tc>
        <w:tc>
          <w:tcPr>
            <w:tcW w:w="2412" w:type="dxa"/>
            <w:tcBorders>
              <w:top w:val="nil"/>
              <w:left w:val="nil"/>
              <w:bottom w:val="nil"/>
              <w:right w:val="nil"/>
            </w:tcBorders>
          </w:tcPr>
          <w:p w14:paraId="02E32E69">
            <w:pPr>
              <w:spacing w:after="62" w:line="276" w:lineRule="auto"/>
              <w:ind w:firstLine="0" w:firstLineChars="0"/>
              <w:jc w:val="center"/>
              <w:rPr>
                <w:sz w:val="13"/>
                <w:szCs w:val="13"/>
              </w:rPr>
            </w:pPr>
            <w:r>
              <w:rPr>
                <w:rFonts w:ascii="宋体" w:hAnsi="宋体"/>
                <w:sz w:val="13"/>
                <w:szCs w:val="13"/>
              </w:rPr>
              <w:t>刻画风险累积过程</w:t>
            </w:r>
          </w:p>
        </w:tc>
      </w:tr>
      <w:tr w14:paraId="3C33499D">
        <w:tblPrEx>
          <w:tblCellMar>
            <w:top w:w="0" w:type="dxa"/>
            <w:left w:w="108" w:type="dxa"/>
            <w:bottom w:w="0" w:type="dxa"/>
            <w:right w:w="108" w:type="dxa"/>
          </w:tblCellMar>
        </w:tblPrEx>
        <w:tc>
          <w:tcPr>
            <w:tcW w:w="2412" w:type="dxa"/>
            <w:tcBorders>
              <w:top w:val="nil"/>
              <w:left w:val="nil"/>
              <w:bottom w:val="nil"/>
              <w:right w:val="nil"/>
            </w:tcBorders>
          </w:tcPr>
          <w:p w14:paraId="5176A2FF">
            <w:pPr>
              <w:spacing w:after="62" w:line="276" w:lineRule="auto"/>
              <w:ind w:firstLine="0" w:firstLineChars="0"/>
              <w:jc w:val="center"/>
              <w:rPr>
                <w:sz w:val="13"/>
                <w:szCs w:val="13"/>
              </w:rPr>
            </w:pPr>
            <w:r>
              <w:rPr>
                <w:rFonts w:ascii="宋体" w:hAnsi="宋体"/>
                <w:sz w:val="13"/>
                <w:szCs w:val="13"/>
              </w:rPr>
              <w:t>动态恶化特征</w:t>
            </w:r>
          </w:p>
        </w:tc>
        <w:tc>
          <w:tcPr>
            <w:tcW w:w="2412" w:type="dxa"/>
            <w:tcBorders>
              <w:top w:val="nil"/>
              <w:left w:val="nil"/>
              <w:bottom w:val="nil"/>
              <w:right w:val="nil"/>
            </w:tcBorders>
          </w:tcPr>
          <w:p w14:paraId="6A5951C4">
            <w:pPr>
              <w:spacing w:after="62" w:line="276" w:lineRule="auto"/>
              <w:ind w:firstLine="0" w:firstLineChars="0"/>
              <w:jc w:val="center"/>
              <w:rPr>
                <w:sz w:val="13"/>
                <w:szCs w:val="13"/>
              </w:rPr>
            </w:pPr>
            <w:r>
              <w:rPr>
                <w:rFonts w:ascii="宋体" w:hAnsi="宋体"/>
                <w:sz w:val="13"/>
                <w:szCs w:val="13"/>
              </w:rPr>
              <w:t>按指标风险方向统计变化</w:t>
            </w:r>
          </w:p>
        </w:tc>
        <w:tc>
          <w:tcPr>
            <w:tcW w:w="2412" w:type="dxa"/>
            <w:tcBorders>
              <w:top w:val="nil"/>
              <w:left w:val="nil"/>
              <w:bottom w:val="nil"/>
              <w:right w:val="nil"/>
            </w:tcBorders>
          </w:tcPr>
          <w:p w14:paraId="1DF7AD70">
            <w:pPr>
              <w:spacing w:after="62" w:line="276" w:lineRule="auto"/>
              <w:ind w:firstLine="0" w:firstLineChars="0"/>
              <w:jc w:val="center"/>
              <w:rPr>
                <w:sz w:val="13"/>
                <w:szCs w:val="13"/>
              </w:rPr>
            </w:pPr>
            <w:r>
              <w:rPr>
                <w:rFonts w:ascii="宋体" w:hAnsi="宋体"/>
                <w:sz w:val="13"/>
                <w:szCs w:val="13"/>
              </w:rPr>
              <w:t>季度变化、年度变化、杠杆连续上升、盈利连续下降、现金流连续恶化</w:t>
            </w:r>
          </w:p>
        </w:tc>
        <w:tc>
          <w:tcPr>
            <w:tcW w:w="2412" w:type="dxa"/>
            <w:tcBorders>
              <w:top w:val="nil"/>
              <w:left w:val="nil"/>
              <w:bottom w:val="nil"/>
              <w:right w:val="nil"/>
            </w:tcBorders>
          </w:tcPr>
          <w:p w14:paraId="3C7AA58C">
            <w:pPr>
              <w:spacing w:after="62" w:line="276" w:lineRule="auto"/>
              <w:ind w:firstLine="0" w:firstLineChars="0"/>
              <w:jc w:val="center"/>
              <w:rPr>
                <w:sz w:val="13"/>
                <w:szCs w:val="13"/>
              </w:rPr>
            </w:pPr>
            <w:r>
              <w:rPr>
                <w:rFonts w:ascii="宋体" w:hAnsi="宋体"/>
                <w:sz w:val="13"/>
                <w:szCs w:val="13"/>
              </w:rPr>
              <w:t>捕捉企业逐步滑向困境的路径</w:t>
            </w:r>
          </w:p>
        </w:tc>
      </w:tr>
      <w:tr w14:paraId="0FF0CAB9">
        <w:tblPrEx>
          <w:tblCellMar>
            <w:top w:w="0" w:type="dxa"/>
            <w:left w:w="108" w:type="dxa"/>
            <w:bottom w:w="0" w:type="dxa"/>
            <w:right w:w="108" w:type="dxa"/>
          </w:tblCellMar>
        </w:tblPrEx>
        <w:tc>
          <w:tcPr>
            <w:tcW w:w="2412" w:type="dxa"/>
            <w:tcBorders>
              <w:top w:val="nil"/>
              <w:left w:val="nil"/>
              <w:bottom w:val="nil"/>
              <w:right w:val="nil"/>
            </w:tcBorders>
          </w:tcPr>
          <w:p w14:paraId="3CC22ACA">
            <w:pPr>
              <w:spacing w:after="62" w:line="276" w:lineRule="auto"/>
              <w:ind w:firstLine="0" w:firstLineChars="0"/>
              <w:jc w:val="center"/>
              <w:rPr>
                <w:sz w:val="13"/>
                <w:szCs w:val="13"/>
              </w:rPr>
            </w:pPr>
            <w:r>
              <w:rPr>
                <w:rFonts w:ascii="宋体" w:hAnsi="宋体"/>
                <w:sz w:val="13"/>
                <w:szCs w:val="13"/>
              </w:rPr>
              <w:t>行业尾部特征</w:t>
            </w:r>
          </w:p>
        </w:tc>
        <w:tc>
          <w:tcPr>
            <w:tcW w:w="2412" w:type="dxa"/>
            <w:tcBorders>
              <w:top w:val="nil"/>
              <w:left w:val="nil"/>
              <w:bottom w:val="nil"/>
              <w:right w:val="nil"/>
            </w:tcBorders>
          </w:tcPr>
          <w:p w14:paraId="17A2F132">
            <w:pPr>
              <w:spacing w:after="62" w:line="276" w:lineRule="auto"/>
              <w:ind w:firstLine="0" w:firstLineChars="0"/>
              <w:jc w:val="center"/>
              <w:rPr>
                <w:sz w:val="13"/>
                <w:szCs w:val="13"/>
              </w:rPr>
            </w:pPr>
            <w:r>
              <w:rPr>
                <w:rFonts w:ascii="宋体" w:hAnsi="宋体"/>
                <w:sz w:val="13"/>
                <w:szCs w:val="13"/>
              </w:rPr>
              <w:t>标记行业内极端位置</w:t>
            </w:r>
          </w:p>
        </w:tc>
        <w:tc>
          <w:tcPr>
            <w:tcW w:w="2412" w:type="dxa"/>
            <w:tcBorders>
              <w:top w:val="nil"/>
              <w:left w:val="nil"/>
              <w:bottom w:val="nil"/>
              <w:right w:val="nil"/>
            </w:tcBorders>
          </w:tcPr>
          <w:p w14:paraId="2C77791C">
            <w:pPr>
              <w:spacing w:after="62" w:line="276" w:lineRule="auto"/>
              <w:ind w:firstLine="0" w:firstLineChars="0"/>
              <w:jc w:val="center"/>
              <w:rPr>
                <w:sz w:val="13"/>
                <w:szCs w:val="13"/>
              </w:rPr>
            </w:pPr>
            <w:r>
              <w:rPr>
                <w:rFonts w:ascii="宋体" w:hAnsi="宋体"/>
                <w:sz w:val="13"/>
                <w:szCs w:val="13"/>
              </w:rPr>
              <w:t>行业尾部分位数标记、行业分位数变化、行业分位数下移</w:t>
            </w:r>
          </w:p>
        </w:tc>
        <w:tc>
          <w:tcPr>
            <w:tcW w:w="2412" w:type="dxa"/>
            <w:tcBorders>
              <w:top w:val="nil"/>
              <w:left w:val="nil"/>
              <w:bottom w:val="nil"/>
              <w:right w:val="nil"/>
            </w:tcBorders>
          </w:tcPr>
          <w:p w14:paraId="045F262E">
            <w:pPr>
              <w:spacing w:after="62" w:line="276" w:lineRule="auto"/>
              <w:ind w:firstLine="0" w:firstLineChars="0"/>
              <w:jc w:val="center"/>
              <w:rPr>
                <w:sz w:val="13"/>
                <w:szCs w:val="13"/>
              </w:rPr>
            </w:pPr>
            <w:r>
              <w:rPr>
                <w:rFonts w:ascii="宋体" w:hAnsi="宋体"/>
                <w:sz w:val="13"/>
                <w:szCs w:val="13"/>
              </w:rPr>
              <w:t>强化高风险边界识别</w:t>
            </w:r>
          </w:p>
        </w:tc>
      </w:tr>
      <w:tr w14:paraId="668C1574">
        <w:tblPrEx>
          <w:tblCellMar>
            <w:top w:w="0" w:type="dxa"/>
            <w:left w:w="108" w:type="dxa"/>
            <w:bottom w:w="0" w:type="dxa"/>
            <w:right w:w="108" w:type="dxa"/>
          </w:tblCellMar>
        </w:tblPrEx>
        <w:tc>
          <w:tcPr>
            <w:tcW w:w="2412" w:type="dxa"/>
            <w:tcBorders>
              <w:top w:val="nil"/>
              <w:left w:val="nil"/>
              <w:bottom w:val="nil"/>
              <w:right w:val="nil"/>
            </w:tcBorders>
          </w:tcPr>
          <w:p w14:paraId="0FFD16C3">
            <w:pPr>
              <w:spacing w:after="62" w:line="276" w:lineRule="auto"/>
              <w:ind w:firstLine="0" w:firstLineChars="0"/>
              <w:jc w:val="center"/>
              <w:rPr>
                <w:sz w:val="13"/>
                <w:szCs w:val="13"/>
              </w:rPr>
            </w:pPr>
            <w:r>
              <w:rPr>
                <w:rFonts w:ascii="宋体" w:hAnsi="宋体"/>
                <w:sz w:val="13"/>
                <w:szCs w:val="13"/>
              </w:rPr>
              <w:t>风险组合特征</w:t>
            </w:r>
          </w:p>
        </w:tc>
        <w:tc>
          <w:tcPr>
            <w:tcW w:w="2412" w:type="dxa"/>
            <w:tcBorders>
              <w:top w:val="nil"/>
              <w:left w:val="nil"/>
              <w:bottom w:val="nil"/>
              <w:right w:val="nil"/>
            </w:tcBorders>
          </w:tcPr>
          <w:p w14:paraId="6B51DEE1">
            <w:pPr>
              <w:spacing w:after="62" w:line="276" w:lineRule="auto"/>
              <w:ind w:firstLine="0" w:firstLineChars="0"/>
              <w:jc w:val="center"/>
              <w:rPr>
                <w:sz w:val="13"/>
                <w:szCs w:val="13"/>
              </w:rPr>
            </w:pPr>
            <w:r>
              <w:rPr>
                <w:rFonts w:ascii="宋体" w:hAnsi="宋体"/>
                <w:sz w:val="13"/>
                <w:szCs w:val="13"/>
              </w:rPr>
              <w:t>构造跨机制交互项</w:t>
            </w:r>
          </w:p>
        </w:tc>
        <w:tc>
          <w:tcPr>
            <w:tcW w:w="2412" w:type="dxa"/>
            <w:tcBorders>
              <w:top w:val="nil"/>
              <w:left w:val="nil"/>
              <w:bottom w:val="nil"/>
              <w:right w:val="nil"/>
            </w:tcBorders>
          </w:tcPr>
          <w:p w14:paraId="13BBC616">
            <w:pPr>
              <w:spacing w:after="62" w:line="276" w:lineRule="auto"/>
              <w:ind w:firstLine="0" w:firstLineChars="0"/>
              <w:jc w:val="center"/>
              <w:rPr>
                <w:sz w:val="13"/>
                <w:szCs w:val="13"/>
              </w:rPr>
            </w:pPr>
            <w:r>
              <w:rPr>
                <w:rFonts w:ascii="宋体" w:hAnsi="宋体"/>
                <w:sz w:val="13"/>
                <w:szCs w:val="13"/>
              </w:rPr>
              <w:t>高杠杆 × 现金流恶化、盈利下滑 × 审计异常、行业尾部盈利 × 负债上升</w:t>
            </w:r>
          </w:p>
        </w:tc>
        <w:tc>
          <w:tcPr>
            <w:tcW w:w="2412" w:type="dxa"/>
            <w:tcBorders>
              <w:top w:val="nil"/>
              <w:left w:val="nil"/>
              <w:bottom w:val="nil"/>
              <w:right w:val="nil"/>
            </w:tcBorders>
          </w:tcPr>
          <w:p w14:paraId="088A6F6F">
            <w:pPr>
              <w:spacing w:after="62" w:line="276" w:lineRule="auto"/>
              <w:ind w:firstLine="0" w:firstLineChars="0"/>
              <w:jc w:val="center"/>
              <w:rPr>
                <w:sz w:val="13"/>
                <w:szCs w:val="13"/>
              </w:rPr>
            </w:pPr>
            <w:r>
              <w:rPr>
                <w:rFonts w:ascii="宋体" w:hAnsi="宋体"/>
                <w:sz w:val="13"/>
                <w:szCs w:val="13"/>
              </w:rPr>
              <w:t>表达多信号共振下的复合风险</w:t>
            </w:r>
          </w:p>
        </w:tc>
      </w:tr>
      <w:tr w14:paraId="724E6F5F">
        <w:tblPrEx>
          <w:tblCellMar>
            <w:top w:w="0" w:type="dxa"/>
            <w:left w:w="108" w:type="dxa"/>
            <w:bottom w:w="0" w:type="dxa"/>
            <w:right w:w="108" w:type="dxa"/>
          </w:tblCellMar>
        </w:tblPrEx>
        <w:tc>
          <w:tcPr>
            <w:tcW w:w="2412" w:type="dxa"/>
            <w:tcBorders>
              <w:top w:val="nil"/>
              <w:left w:val="nil"/>
              <w:bottom w:val="nil"/>
              <w:right w:val="nil"/>
            </w:tcBorders>
          </w:tcPr>
          <w:p w14:paraId="7BCF42C0">
            <w:pPr>
              <w:spacing w:after="62" w:line="276" w:lineRule="auto"/>
              <w:ind w:firstLine="0" w:firstLineChars="0"/>
              <w:jc w:val="center"/>
              <w:rPr>
                <w:sz w:val="13"/>
                <w:szCs w:val="13"/>
              </w:rPr>
            </w:pPr>
            <w:r>
              <w:rPr>
                <w:rFonts w:ascii="宋体" w:hAnsi="宋体"/>
                <w:sz w:val="13"/>
                <w:szCs w:val="13"/>
              </w:rPr>
              <w:t>审计与文本风险</w:t>
            </w:r>
          </w:p>
        </w:tc>
        <w:tc>
          <w:tcPr>
            <w:tcW w:w="2412" w:type="dxa"/>
            <w:tcBorders>
              <w:top w:val="nil"/>
              <w:left w:val="nil"/>
              <w:bottom w:val="nil"/>
              <w:right w:val="nil"/>
            </w:tcBorders>
          </w:tcPr>
          <w:p w14:paraId="6375D24A">
            <w:pPr>
              <w:spacing w:after="62" w:line="276" w:lineRule="auto"/>
              <w:ind w:firstLine="0" w:firstLineChars="0"/>
              <w:jc w:val="center"/>
              <w:rPr>
                <w:sz w:val="13"/>
                <w:szCs w:val="13"/>
              </w:rPr>
            </w:pPr>
            <w:r>
              <w:rPr>
                <w:rFonts w:ascii="宋体" w:hAnsi="宋体"/>
                <w:sz w:val="13"/>
                <w:szCs w:val="13"/>
              </w:rPr>
              <w:t>将审计意见和管理层披露信息转为风险变量</w:t>
            </w:r>
          </w:p>
        </w:tc>
        <w:tc>
          <w:tcPr>
            <w:tcW w:w="2412" w:type="dxa"/>
            <w:tcBorders>
              <w:top w:val="nil"/>
              <w:left w:val="nil"/>
              <w:bottom w:val="nil"/>
              <w:right w:val="nil"/>
            </w:tcBorders>
          </w:tcPr>
          <w:p w14:paraId="16F9F31A">
            <w:pPr>
              <w:spacing w:after="62" w:line="276" w:lineRule="auto"/>
              <w:ind w:firstLine="0" w:firstLineChars="0"/>
              <w:jc w:val="center"/>
              <w:rPr>
                <w:sz w:val="13"/>
                <w:szCs w:val="13"/>
              </w:rPr>
            </w:pPr>
            <w:r>
              <w:rPr>
                <w:rFonts w:ascii="宋体" w:hAnsi="宋体"/>
                <w:sz w:val="13"/>
                <w:szCs w:val="13"/>
              </w:rPr>
              <w:t>非标准审计意见、审计严重度、文本风险指标、披露语调或披露质量特征</w:t>
            </w:r>
          </w:p>
        </w:tc>
        <w:tc>
          <w:tcPr>
            <w:tcW w:w="2412" w:type="dxa"/>
            <w:tcBorders>
              <w:top w:val="nil"/>
              <w:left w:val="nil"/>
              <w:bottom w:val="nil"/>
              <w:right w:val="nil"/>
            </w:tcBorders>
          </w:tcPr>
          <w:p w14:paraId="2D1BD5B8">
            <w:pPr>
              <w:spacing w:after="62" w:line="276" w:lineRule="auto"/>
              <w:ind w:firstLine="0" w:firstLineChars="0"/>
              <w:jc w:val="center"/>
              <w:rPr>
                <w:sz w:val="13"/>
                <w:szCs w:val="13"/>
              </w:rPr>
            </w:pPr>
            <w:r>
              <w:rPr>
                <w:rFonts w:ascii="宋体" w:hAnsi="宋体"/>
                <w:sz w:val="13"/>
                <w:szCs w:val="13"/>
              </w:rPr>
              <w:t>补充非财务风险信号</w:t>
            </w:r>
          </w:p>
        </w:tc>
      </w:tr>
      <w:tr w14:paraId="38016488">
        <w:tblPrEx>
          <w:tblCellMar>
            <w:top w:w="0" w:type="dxa"/>
            <w:left w:w="108" w:type="dxa"/>
            <w:bottom w:w="0" w:type="dxa"/>
            <w:right w:w="108" w:type="dxa"/>
          </w:tblCellMar>
        </w:tblPrEx>
        <w:tc>
          <w:tcPr>
            <w:tcW w:w="2412" w:type="dxa"/>
            <w:tcBorders>
              <w:top w:val="nil"/>
              <w:left w:val="nil"/>
              <w:bottom w:val="single" w:color="000000" w:sz="12" w:space="0"/>
              <w:right w:val="nil"/>
            </w:tcBorders>
          </w:tcPr>
          <w:p w14:paraId="4A62DCFF">
            <w:pPr>
              <w:spacing w:after="62" w:line="276" w:lineRule="auto"/>
              <w:ind w:firstLine="0" w:firstLineChars="0"/>
              <w:jc w:val="center"/>
              <w:rPr>
                <w:sz w:val="13"/>
                <w:szCs w:val="13"/>
              </w:rPr>
            </w:pPr>
            <w:r>
              <w:rPr>
                <w:rFonts w:ascii="宋体" w:hAnsi="宋体"/>
                <w:sz w:val="13"/>
                <w:szCs w:val="13"/>
              </w:rPr>
              <w:t>缺失模式特征</w:t>
            </w:r>
          </w:p>
        </w:tc>
        <w:tc>
          <w:tcPr>
            <w:tcW w:w="2412" w:type="dxa"/>
            <w:tcBorders>
              <w:top w:val="nil"/>
              <w:left w:val="nil"/>
              <w:bottom w:val="single" w:color="000000" w:sz="12" w:space="0"/>
              <w:right w:val="nil"/>
            </w:tcBorders>
          </w:tcPr>
          <w:p w14:paraId="615DB872">
            <w:pPr>
              <w:spacing w:after="62" w:line="276" w:lineRule="auto"/>
              <w:ind w:firstLine="0" w:firstLineChars="0"/>
              <w:jc w:val="center"/>
              <w:rPr>
                <w:sz w:val="13"/>
                <w:szCs w:val="13"/>
              </w:rPr>
            </w:pPr>
            <w:r>
              <w:rPr>
                <w:rFonts w:ascii="宋体" w:hAnsi="宋体"/>
                <w:sz w:val="13"/>
                <w:szCs w:val="13"/>
              </w:rPr>
              <w:t>统计关键变量缺失情况</w:t>
            </w:r>
          </w:p>
        </w:tc>
        <w:tc>
          <w:tcPr>
            <w:tcW w:w="2412" w:type="dxa"/>
            <w:tcBorders>
              <w:top w:val="nil"/>
              <w:left w:val="nil"/>
              <w:bottom w:val="single" w:color="000000" w:sz="12" w:space="0"/>
              <w:right w:val="nil"/>
            </w:tcBorders>
          </w:tcPr>
          <w:p w14:paraId="3827BC71">
            <w:pPr>
              <w:spacing w:after="62" w:line="276" w:lineRule="auto"/>
              <w:ind w:firstLine="0" w:firstLineChars="0"/>
              <w:jc w:val="center"/>
              <w:rPr>
                <w:sz w:val="13"/>
                <w:szCs w:val="13"/>
              </w:rPr>
            </w:pPr>
            <w:r>
              <w:rPr>
                <w:rFonts w:ascii="宋体" w:hAnsi="宋体"/>
                <w:sz w:val="13"/>
                <w:szCs w:val="13"/>
              </w:rPr>
              <w:t>缺失数量、缺失比例、信息可得标记</w:t>
            </w:r>
          </w:p>
        </w:tc>
        <w:tc>
          <w:tcPr>
            <w:tcW w:w="2412" w:type="dxa"/>
            <w:tcBorders>
              <w:top w:val="nil"/>
              <w:left w:val="nil"/>
              <w:bottom w:val="single" w:color="000000" w:sz="12" w:space="0"/>
              <w:right w:val="nil"/>
            </w:tcBorders>
          </w:tcPr>
          <w:p w14:paraId="087DE28E">
            <w:pPr>
              <w:spacing w:after="62" w:line="276" w:lineRule="auto"/>
              <w:ind w:firstLine="0" w:firstLineChars="0"/>
              <w:jc w:val="center"/>
              <w:rPr>
                <w:sz w:val="13"/>
                <w:szCs w:val="13"/>
              </w:rPr>
            </w:pPr>
            <w:r>
              <w:rPr>
                <w:rFonts w:ascii="宋体" w:hAnsi="宋体"/>
                <w:sz w:val="13"/>
                <w:szCs w:val="13"/>
              </w:rPr>
              <w:t>刻画信息可得性与披露完整性差异</w:t>
            </w:r>
          </w:p>
        </w:tc>
      </w:tr>
    </w:tbl>
    <w:p w14:paraId="1148B4C9">
      <w:pPr>
        <w:pStyle w:val="3"/>
        <w:bidi w:val="0"/>
        <w:rPr>
          <w:rFonts w:hint="eastAsia"/>
        </w:rPr>
      </w:pPr>
      <w:r>
        <w:t xml:space="preserve">3.2 </w:t>
      </w:r>
      <w:r>
        <w:rPr>
          <w:rFonts w:hint="eastAsia"/>
        </w:rPr>
        <w:t>财务困境标签构造与时间划分</w:t>
      </w:r>
    </w:p>
    <w:p w14:paraId="501CD4A3">
      <w:pPr>
        <w:spacing w:after="62"/>
      </w:pPr>
      <w:r>
        <w:t>本文采用前瞻式标签构造逻辑，以公司未来 4 个季度内</w:t>
      </w:r>
      <w:r>
        <w:rPr>
          <w:rFonts w:hint="eastAsia"/>
        </w:rPr>
        <w:t>是否被实施 ST 或 *ST 处理</w:t>
      </w:r>
      <w:r>
        <w:t>作为预测目标。具体而言，对于公司 i 在季度 t 的观测，若该公司在未来 (t,</w:t>
      </w:r>
      <w:r>
        <w:rPr>
          <w:rFonts w:hint="eastAsia"/>
        </w:rPr>
        <w:t xml:space="preserve"> </w:t>
      </w:r>
      <w:r>
        <w:t>t+4] 预测窗口内被实施 ST 或 *ST 处理，则将该观测标记为财务困境样本，即 y_{i,t}=1；若公司在未来 4 个季度窗口内未发生 ST 或 *ST 事件，且该窗口状态完整可观测，则标记为非财务困境样本，即 y_{i,t}=0。本文仅保留未来 4 个季度标签状态可观测的公司—季度样本，以避免因未来窗口不完整导致的右删失误标问题。</w:t>
      </w:r>
    </w:p>
    <w:p w14:paraId="03B40FCE">
      <w:pPr>
        <w:spacing w:after="62"/>
      </w:pPr>
      <w:r>
        <w:t>该设定符合利用历史信息预测未来风险的预警逻辑。对于预测时点已经处于 ST 或 *ST 状态的样本，本文将其当前状态作为元数据保留，</w:t>
      </w:r>
      <w:r>
        <w:rPr>
          <w:rFonts w:hint="eastAsia"/>
        </w:rPr>
        <w:t>用于分组分析或稳健性检验</w:t>
      </w:r>
      <w:r>
        <w:t>，但不作为模型输入特征。通过上述处理，本文的标签构造能够较好对应真实风险预警场景，并降低事后信息泄露风险。</w:t>
      </w:r>
    </w:p>
    <w:p w14:paraId="031CE37E">
      <w:pPr>
        <w:spacing w:after="62"/>
        <w:ind w:left="0" w:leftChars="0" w:firstLine="0" w:firstLineChars="0"/>
        <w:jc w:val="center"/>
        <w:rPr>
          <w:rFonts w:hint="eastAsia"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表 3-3 财务困境标签构造规则</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7"/>
        <w:gridCol w:w="2823"/>
        <w:gridCol w:w="2872"/>
      </w:tblGrid>
      <w:tr w14:paraId="3B55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27" w:type="dxa"/>
            <w:tcBorders>
              <w:top w:val="single" w:color="auto" w:sz="12" w:space="0"/>
              <w:left w:val="nil"/>
              <w:bottom w:val="single" w:color="auto" w:sz="4" w:space="0"/>
              <w:right w:val="nil"/>
            </w:tcBorders>
          </w:tcPr>
          <w:p w14:paraId="47CEEE0E">
            <w:pPr>
              <w:spacing w:after="62" w:line="264" w:lineRule="auto"/>
              <w:ind w:firstLine="0" w:firstLineChars="0"/>
              <w:jc w:val="center"/>
              <w:rPr>
                <w:rFonts w:hint="eastAsia" w:ascii="宋体" w:hAnsi="宋体"/>
                <w:b/>
                <w:sz w:val="15"/>
                <w:szCs w:val="15"/>
              </w:rPr>
            </w:pPr>
            <w:r>
              <w:rPr>
                <w:rFonts w:ascii="宋体" w:hAnsi="宋体"/>
                <w:b/>
                <w:sz w:val="15"/>
                <w:szCs w:val="15"/>
              </w:rPr>
              <w:t>样本情形</w:t>
            </w:r>
          </w:p>
        </w:tc>
        <w:tc>
          <w:tcPr>
            <w:tcW w:w="2823" w:type="dxa"/>
            <w:tcBorders>
              <w:top w:val="single" w:color="auto" w:sz="12" w:space="0"/>
              <w:left w:val="nil"/>
              <w:bottom w:val="single" w:color="auto" w:sz="4" w:space="0"/>
              <w:right w:val="nil"/>
            </w:tcBorders>
          </w:tcPr>
          <w:p w14:paraId="240BC1D7">
            <w:pPr>
              <w:spacing w:after="62" w:line="264" w:lineRule="auto"/>
              <w:ind w:firstLine="0" w:firstLineChars="0"/>
              <w:jc w:val="center"/>
              <w:rPr>
                <w:rFonts w:hint="eastAsia" w:ascii="宋体" w:hAnsi="宋体"/>
                <w:b/>
                <w:sz w:val="15"/>
                <w:szCs w:val="15"/>
              </w:rPr>
            </w:pPr>
            <w:r>
              <w:rPr>
                <w:rFonts w:ascii="宋体" w:hAnsi="宋体"/>
                <w:b/>
                <w:sz w:val="15"/>
                <w:szCs w:val="15"/>
              </w:rPr>
              <w:t>处理规则</w:t>
            </w:r>
          </w:p>
        </w:tc>
        <w:tc>
          <w:tcPr>
            <w:tcW w:w="2872" w:type="dxa"/>
            <w:tcBorders>
              <w:top w:val="single" w:color="auto" w:sz="12" w:space="0"/>
              <w:left w:val="nil"/>
              <w:bottom w:val="single" w:color="auto" w:sz="4" w:space="0"/>
              <w:right w:val="nil"/>
            </w:tcBorders>
          </w:tcPr>
          <w:p w14:paraId="558FAD49">
            <w:pPr>
              <w:spacing w:after="62" w:line="264" w:lineRule="auto"/>
              <w:ind w:firstLine="0" w:firstLineChars="0"/>
              <w:jc w:val="center"/>
              <w:rPr>
                <w:rFonts w:hint="eastAsia" w:ascii="宋体" w:hAnsi="宋体"/>
                <w:b/>
                <w:sz w:val="15"/>
                <w:szCs w:val="15"/>
              </w:rPr>
            </w:pPr>
            <w:r>
              <w:rPr>
                <w:rFonts w:ascii="宋体" w:hAnsi="宋体"/>
                <w:b/>
                <w:sz w:val="15"/>
                <w:szCs w:val="15"/>
              </w:rPr>
              <w:t>标签</w:t>
            </w:r>
          </w:p>
        </w:tc>
      </w:tr>
      <w:tr w14:paraId="6C0D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7" w:type="dxa"/>
            <w:tcBorders>
              <w:top w:val="single" w:color="auto" w:sz="4" w:space="0"/>
              <w:left w:val="nil"/>
              <w:bottom w:val="nil"/>
              <w:right w:val="nil"/>
            </w:tcBorders>
          </w:tcPr>
          <w:p w14:paraId="1DB58F13">
            <w:pPr>
              <w:spacing w:after="62" w:line="264" w:lineRule="auto"/>
              <w:ind w:firstLine="0" w:firstLineChars="0"/>
              <w:jc w:val="center"/>
              <w:rPr>
                <w:rFonts w:hint="eastAsia" w:ascii="宋体" w:hAnsi="宋体"/>
                <w:sz w:val="15"/>
                <w:szCs w:val="15"/>
              </w:rPr>
            </w:pPr>
            <w:r>
              <w:rPr>
                <w:rFonts w:ascii="宋体" w:hAnsi="宋体"/>
                <w:sz w:val="15"/>
                <w:szCs w:val="15"/>
              </w:rPr>
              <w:t>未来 t+1 至 t+4 季度内发生 ST 或 *ST</w:t>
            </w:r>
          </w:p>
        </w:tc>
        <w:tc>
          <w:tcPr>
            <w:tcW w:w="2823" w:type="dxa"/>
            <w:tcBorders>
              <w:top w:val="single" w:color="auto" w:sz="4" w:space="0"/>
              <w:left w:val="nil"/>
              <w:bottom w:val="nil"/>
              <w:right w:val="nil"/>
            </w:tcBorders>
          </w:tcPr>
          <w:p w14:paraId="366C41D3">
            <w:pPr>
              <w:spacing w:after="62" w:line="264" w:lineRule="auto"/>
              <w:ind w:firstLine="0" w:firstLineChars="0"/>
              <w:jc w:val="center"/>
              <w:rPr>
                <w:rFonts w:hint="eastAsia" w:ascii="宋体" w:hAnsi="宋体"/>
                <w:sz w:val="15"/>
                <w:szCs w:val="15"/>
              </w:rPr>
            </w:pPr>
            <w:r>
              <w:rPr>
                <w:rFonts w:ascii="宋体" w:hAnsi="宋体"/>
                <w:sz w:val="15"/>
                <w:szCs w:val="15"/>
              </w:rPr>
              <w:t>标记为财务困境样本</w:t>
            </w:r>
          </w:p>
        </w:tc>
        <w:tc>
          <w:tcPr>
            <w:tcW w:w="2872" w:type="dxa"/>
            <w:tcBorders>
              <w:top w:val="single" w:color="auto" w:sz="4" w:space="0"/>
              <w:left w:val="nil"/>
              <w:bottom w:val="nil"/>
              <w:right w:val="nil"/>
            </w:tcBorders>
          </w:tcPr>
          <w:p w14:paraId="6244E15B">
            <w:pPr>
              <w:spacing w:after="62" w:line="264" w:lineRule="auto"/>
              <w:ind w:firstLine="0" w:firstLineChars="0"/>
              <w:jc w:val="center"/>
              <w:rPr>
                <w:rFonts w:hint="eastAsia" w:ascii="宋体" w:hAnsi="宋体"/>
                <w:sz w:val="15"/>
                <w:szCs w:val="15"/>
              </w:rPr>
            </w:pPr>
            <w:r>
              <w:rPr>
                <w:rFonts w:ascii="宋体" w:hAnsi="宋体"/>
                <w:sz w:val="15"/>
                <w:szCs w:val="15"/>
              </w:rPr>
              <w:t>y_{i,t}=1</w:t>
            </w:r>
          </w:p>
        </w:tc>
      </w:tr>
      <w:tr w14:paraId="5D30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7" w:type="dxa"/>
            <w:tcBorders>
              <w:top w:val="nil"/>
              <w:left w:val="nil"/>
              <w:bottom w:val="nil"/>
              <w:right w:val="nil"/>
            </w:tcBorders>
          </w:tcPr>
          <w:p w14:paraId="2C45DCA0">
            <w:pPr>
              <w:spacing w:after="62" w:line="264" w:lineRule="auto"/>
              <w:ind w:firstLine="0" w:firstLineChars="0"/>
              <w:jc w:val="center"/>
              <w:rPr>
                <w:rFonts w:hint="eastAsia" w:ascii="宋体" w:hAnsi="宋体"/>
                <w:sz w:val="15"/>
                <w:szCs w:val="15"/>
              </w:rPr>
            </w:pPr>
            <w:r>
              <w:rPr>
                <w:rFonts w:ascii="宋体" w:hAnsi="宋体"/>
                <w:sz w:val="15"/>
                <w:szCs w:val="15"/>
              </w:rPr>
              <w:t>未来 t+1 至 t+4 季度内未发生 ST 或 *ST，且窗口完整可观测</w:t>
            </w:r>
          </w:p>
        </w:tc>
        <w:tc>
          <w:tcPr>
            <w:tcW w:w="2823" w:type="dxa"/>
            <w:tcBorders>
              <w:top w:val="nil"/>
              <w:left w:val="nil"/>
              <w:bottom w:val="nil"/>
              <w:right w:val="nil"/>
            </w:tcBorders>
          </w:tcPr>
          <w:p w14:paraId="66A035EB">
            <w:pPr>
              <w:spacing w:after="62" w:line="264" w:lineRule="auto"/>
              <w:ind w:firstLine="0" w:firstLineChars="0"/>
              <w:jc w:val="center"/>
              <w:rPr>
                <w:rFonts w:hint="eastAsia" w:ascii="宋体" w:hAnsi="宋体"/>
                <w:sz w:val="15"/>
                <w:szCs w:val="15"/>
              </w:rPr>
            </w:pPr>
            <w:r>
              <w:rPr>
                <w:rFonts w:ascii="宋体" w:hAnsi="宋体"/>
                <w:sz w:val="15"/>
                <w:szCs w:val="15"/>
              </w:rPr>
              <w:t>标记为非财务困境样本</w:t>
            </w:r>
          </w:p>
        </w:tc>
        <w:tc>
          <w:tcPr>
            <w:tcW w:w="2872" w:type="dxa"/>
            <w:tcBorders>
              <w:top w:val="nil"/>
              <w:left w:val="nil"/>
              <w:bottom w:val="nil"/>
              <w:right w:val="nil"/>
            </w:tcBorders>
          </w:tcPr>
          <w:p w14:paraId="278FFDD9">
            <w:pPr>
              <w:spacing w:after="62" w:line="264" w:lineRule="auto"/>
              <w:ind w:firstLine="0" w:firstLineChars="0"/>
              <w:jc w:val="center"/>
              <w:rPr>
                <w:rFonts w:hint="eastAsia" w:ascii="宋体" w:hAnsi="宋体"/>
                <w:sz w:val="15"/>
                <w:szCs w:val="15"/>
              </w:rPr>
            </w:pPr>
            <w:r>
              <w:rPr>
                <w:rFonts w:ascii="宋体" w:hAnsi="宋体"/>
                <w:sz w:val="15"/>
                <w:szCs w:val="15"/>
              </w:rPr>
              <w:t>y_{i,t}=0</w:t>
            </w:r>
          </w:p>
        </w:tc>
      </w:tr>
      <w:tr w14:paraId="558A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7" w:type="dxa"/>
            <w:tcBorders>
              <w:top w:val="nil"/>
              <w:left w:val="nil"/>
              <w:bottom w:val="nil"/>
              <w:right w:val="nil"/>
            </w:tcBorders>
          </w:tcPr>
          <w:p w14:paraId="76DDD668">
            <w:pPr>
              <w:spacing w:after="62" w:line="264" w:lineRule="auto"/>
              <w:ind w:firstLine="0" w:firstLineChars="0"/>
              <w:jc w:val="center"/>
              <w:rPr>
                <w:rFonts w:hint="eastAsia" w:ascii="宋体" w:hAnsi="宋体"/>
                <w:sz w:val="15"/>
                <w:szCs w:val="15"/>
              </w:rPr>
            </w:pPr>
            <w:r>
              <w:rPr>
                <w:rFonts w:ascii="宋体" w:hAnsi="宋体"/>
                <w:sz w:val="15"/>
                <w:szCs w:val="15"/>
              </w:rPr>
              <w:t>未来 4 个季度窗口不完整且未发生 ST 或 *ST</w:t>
            </w:r>
          </w:p>
        </w:tc>
        <w:tc>
          <w:tcPr>
            <w:tcW w:w="2823" w:type="dxa"/>
            <w:tcBorders>
              <w:top w:val="nil"/>
              <w:left w:val="nil"/>
              <w:bottom w:val="nil"/>
              <w:right w:val="nil"/>
            </w:tcBorders>
          </w:tcPr>
          <w:p w14:paraId="4AC95E95">
            <w:pPr>
              <w:spacing w:after="62" w:line="264" w:lineRule="auto"/>
              <w:ind w:firstLine="0" w:firstLineChars="0"/>
              <w:jc w:val="center"/>
              <w:rPr>
                <w:rFonts w:hint="eastAsia" w:ascii="宋体" w:hAnsi="宋体"/>
                <w:sz w:val="15"/>
                <w:szCs w:val="15"/>
              </w:rPr>
            </w:pPr>
            <w:r>
              <w:rPr>
                <w:rFonts w:ascii="宋体" w:hAnsi="宋体"/>
                <w:sz w:val="15"/>
                <w:szCs w:val="15"/>
              </w:rPr>
              <w:t>剔除，避免右删失误标</w:t>
            </w:r>
          </w:p>
        </w:tc>
        <w:tc>
          <w:tcPr>
            <w:tcW w:w="2872" w:type="dxa"/>
            <w:tcBorders>
              <w:top w:val="nil"/>
              <w:left w:val="nil"/>
              <w:bottom w:val="nil"/>
              <w:right w:val="nil"/>
            </w:tcBorders>
          </w:tcPr>
          <w:p w14:paraId="313D9E24">
            <w:pPr>
              <w:spacing w:after="62" w:line="264" w:lineRule="auto"/>
              <w:ind w:firstLine="0" w:firstLineChars="0"/>
              <w:jc w:val="center"/>
              <w:rPr>
                <w:rFonts w:hint="eastAsia" w:ascii="宋体" w:hAnsi="宋体"/>
                <w:sz w:val="15"/>
                <w:szCs w:val="15"/>
              </w:rPr>
            </w:pPr>
            <w:r>
              <w:rPr>
                <w:rFonts w:ascii="宋体" w:hAnsi="宋体"/>
                <w:sz w:val="15"/>
                <w:szCs w:val="15"/>
              </w:rPr>
              <w:t>-</w:t>
            </w:r>
          </w:p>
        </w:tc>
      </w:tr>
      <w:tr w14:paraId="60EB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7" w:type="dxa"/>
            <w:tcBorders>
              <w:top w:val="nil"/>
              <w:left w:val="nil"/>
              <w:bottom w:val="single" w:color="auto" w:sz="12" w:space="0"/>
              <w:right w:val="nil"/>
            </w:tcBorders>
          </w:tcPr>
          <w:p w14:paraId="454602D3">
            <w:pPr>
              <w:spacing w:after="62" w:line="264" w:lineRule="auto"/>
              <w:ind w:firstLine="0" w:firstLineChars="0"/>
              <w:jc w:val="center"/>
              <w:rPr>
                <w:rFonts w:hint="eastAsia" w:ascii="宋体" w:hAnsi="宋体"/>
                <w:sz w:val="15"/>
                <w:szCs w:val="15"/>
              </w:rPr>
            </w:pPr>
            <w:r>
              <w:rPr>
                <w:rFonts w:ascii="宋体" w:hAnsi="宋体"/>
                <w:sz w:val="15"/>
                <w:szCs w:val="15"/>
              </w:rPr>
              <w:t>预测时点 t 已处于 ST 或 *ST 状态</w:t>
            </w:r>
          </w:p>
        </w:tc>
        <w:tc>
          <w:tcPr>
            <w:tcW w:w="2823" w:type="dxa"/>
            <w:tcBorders>
              <w:top w:val="nil"/>
              <w:left w:val="nil"/>
              <w:bottom w:val="single" w:color="auto" w:sz="12" w:space="0"/>
              <w:right w:val="nil"/>
            </w:tcBorders>
          </w:tcPr>
          <w:p w14:paraId="3A98D7EA">
            <w:pPr>
              <w:spacing w:after="62" w:line="264" w:lineRule="auto"/>
              <w:ind w:firstLine="0" w:firstLineChars="0"/>
              <w:jc w:val="center"/>
              <w:rPr>
                <w:rFonts w:hint="eastAsia" w:ascii="宋体" w:hAnsi="宋体"/>
                <w:sz w:val="15"/>
                <w:szCs w:val="15"/>
              </w:rPr>
            </w:pPr>
            <w:r>
              <w:rPr>
                <w:rFonts w:ascii="宋体" w:hAnsi="宋体"/>
                <w:sz w:val="15"/>
                <w:szCs w:val="15"/>
              </w:rPr>
              <w:t>当前状态作为元数据保留</w:t>
            </w:r>
          </w:p>
        </w:tc>
        <w:tc>
          <w:tcPr>
            <w:tcW w:w="2872" w:type="dxa"/>
            <w:tcBorders>
              <w:top w:val="nil"/>
              <w:left w:val="nil"/>
              <w:bottom w:val="single" w:color="auto" w:sz="12" w:space="0"/>
              <w:right w:val="nil"/>
            </w:tcBorders>
          </w:tcPr>
          <w:p w14:paraId="782AE680">
            <w:pPr>
              <w:spacing w:after="62" w:line="264" w:lineRule="auto"/>
              <w:ind w:firstLine="0" w:firstLineChars="0"/>
              <w:jc w:val="center"/>
              <w:rPr>
                <w:rFonts w:hint="eastAsia" w:ascii="宋体" w:hAnsi="宋体"/>
                <w:sz w:val="15"/>
                <w:szCs w:val="15"/>
              </w:rPr>
            </w:pPr>
            <w:r>
              <w:rPr>
                <w:rFonts w:ascii="宋体" w:hAnsi="宋体"/>
                <w:sz w:val="15"/>
                <w:szCs w:val="15"/>
              </w:rPr>
              <w:t>按未来 4 个季度窗口状态标记</w:t>
            </w:r>
          </w:p>
        </w:tc>
      </w:tr>
    </w:tbl>
    <w:p w14:paraId="0E005000">
      <w:pPr>
        <w:spacing w:after="62" w:line="360" w:lineRule="auto"/>
        <w:rPr>
          <w:rFonts w:hint="eastAsia"/>
        </w:rPr>
      </w:pPr>
      <w:r>
        <w:rPr>
          <w:rFonts w:hint="eastAsia"/>
        </w:rPr>
        <w:t>财务困境预测具有强时间依赖性。若采用随机划分方式，模型可能在训练阶段接触到未来样本分布或信息披露特征，从而高估样本外预测性能。因此，本文采用时间阻断划分法，将样本按自然时间顺序划分为训练集、验证集和测试集。其中，训练集用于模型参数学习，验证集进一步划分为验证调参集和验证校准集，分别用于早停、基础超参数选择以及分类阈值、重排序候选区间和二阶段校正规则校准；测试集仅用于最终样本外泛化性能评价。具体划分见表 3-4。</w:t>
      </w:r>
    </w:p>
    <w:p w14:paraId="1958C4AB">
      <w:pPr>
        <w:pStyle w:val="7"/>
        <w:bidi w:val="0"/>
        <w:rPr>
          <w:rFonts w:hint="eastAsia"/>
          <w:lang w:val="en-US" w:eastAsia="zh-CN"/>
        </w:rPr>
      </w:pPr>
      <w:r>
        <w:rPr>
          <w:rFonts w:hint="eastAsia"/>
          <w:lang w:val="en-US" w:eastAsia="zh-CN"/>
        </w:rPr>
        <w:t>表 3-4 样本划分与类别分布</w:t>
      </w:r>
    </w:p>
    <w:tbl>
      <w:tblPr>
        <w:tblStyle w:val="27"/>
        <w:tblW w:w="0" w:type="auto"/>
        <w:jc w:val="center"/>
        <w:tblLayout w:type="autofit"/>
        <w:tblCellMar>
          <w:top w:w="0" w:type="dxa"/>
          <w:left w:w="108" w:type="dxa"/>
          <w:bottom w:w="0" w:type="dxa"/>
          <w:right w:w="108" w:type="dxa"/>
        </w:tblCellMar>
      </w:tblPr>
      <w:tblGrid>
        <w:gridCol w:w="1394"/>
        <w:gridCol w:w="1466"/>
        <w:gridCol w:w="1427"/>
        <w:gridCol w:w="1414"/>
        <w:gridCol w:w="1414"/>
        <w:gridCol w:w="1407"/>
      </w:tblGrid>
      <w:tr w14:paraId="410CDC94">
        <w:tblPrEx>
          <w:tblCellMar>
            <w:top w:w="0" w:type="dxa"/>
            <w:left w:w="108" w:type="dxa"/>
            <w:bottom w:w="0" w:type="dxa"/>
            <w:right w:w="108" w:type="dxa"/>
          </w:tblCellMar>
        </w:tblPrEx>
        <w:trPr>
          <w:jc w:val="center"/>
        </w:trPr>
        <w:tc>
          <w:tcPr>
            <w:tcW w:w="1511" w:type="dxa"/>
            <w:tcBorders>
              <w:top w:val="single" w:color="000000" w:sz="12" w:space="0"/>
              <w:left w:val="nil"/>
              <w:bottom w:val="single" w:color="000000" w:sz="8" w:space="0"/>
              <w:right w:val="nil"/>
            </w:tcBorders>
            <w:vAlign w:val="center"/>
          </w:tcPr>
          <w:p w14:paraId="20EB1340">
            <w:pPr>
              <w:spacing w:after="62" w:line="264" w:lineRule="auto"/>
              <w:ind w:firstLine="0" w:firstLineChars="0"/>
              <w:jc w:val="center"/>
              <w:rPr>
                <w:sz w:val="13"/>
                <w:szCs w:val="13"/>
              </w:rPr>
            </w:pPr>
            <w:r>
              <w:rPr>
                <w:rFonts w:ascii="宋体" w:hAnsi="宋体"/>
                <w:b/>
                <w:sz w:val="13"/>
                <w:szCs w:val="13"/>
              </w:rPr>
              <w:t>样本区间</w:t>
            </w:r>
          </w:p>
        </w:tc>
        <w:tc>
          <w:tcPr>
            <w:tcW w:w="1511" w:type="dxa"/>
            <w:tcBorders>
              <w:top w:val="single" w:color="000000" w:sz="12" w:space="0"/>
              <w:left w:val="nil"/>
              <w:bottom w:val="single" w:color="000000" w:sz="8" w:space="0"/>
              <w:right w:val="nil"/>
            </w:tcBorders>
            <w:vAlign w:val="center"/>
          </w:tcPr>
          <w:p w14:paraId="401FBD30">
            <w:pPr>
              <w:spacing w:after="62" w:line="264" w:lineRule="auto"/>
              <w:ind w:firstLine="0" w:firstLineChars="0"/>
              <w:jc w:val="center"/>
              <w:rPr>
                <w:sz w:val="13"/>
                <w:szCs w:val="13"/>
              </w:rPr>
            </w:pPr>
            <w:r>
              <w:rPr>
                <w:rFonts w:ascii="宋体" w:hAnsi="宋体"/>
                <w:b/>
                <w:sz w:val="13"/>
                <w:szCs w:val="13"/>
              </w:rPr>
              <w:t>时间范围</w:t>
            </w:r>
          </w:p>
        </w:tc>
        <w:tc>
          <w:tcPr>
            <w:tcW w:w="1511" w:type="dxa"/>
            <w:tcBorders>
              <w:top w:val="single" w:color="000000" w:sz="12" w:space="0"/>
              <w:left w:val="nil"/>
              <w:bottom w:val="single" w:color="000000" w:sz="8" w:space="0"/>
              <w:right w:val="nil"/>
            </w:tcBorders>
            <w:vAlign w:val="center"/>
          </w:tcPr>
          <w:p w14:paraId="53B0773C">
            <w:pPr>
              <w:spacing w:after="62" w:line="264" w:lineRule="auto"/>
              <w:ind w:firstLine="0" w:firstLineChars="0"/>
              <w:jc w:val="center"/>
              <w:rPr>
                <w:sz w:val="13"/>
                <w:szCs w:val="13"/>
              </w:rPr>
            </w:pPr>
            <w:r>
              <w:rPr>
                <w:rFonts w:ascii="宋体" w:hAnsi="宋体"/>
                <w:b/>
                <w:sz w:val="13"/>
                <w:szCs w:val="13"/>
              </w:rPr>
              <w:t>样本量</w:t>
            </w:r>
          </w:p>
        </w:tc>
        <w:tc>
          <w:tcPr>
            <w:tcW w:w="1511" w:type="dxa"/>
            <w:tcBorders>
              <w:top w:val="single" w:color="000000" w:sz="12" w:space="0"/>
              <w:left w:val="nil"/>
              <w:bottom w:val="single" w:color="000000" w:sz="8" w:space="0"/>
              <w:right w:val="nil"/>
            </w:tcBorders>
            <w:vAlign w:val="center"/>
          </w:tcPr>
          <w:p w14:paraId="5481E94F">
            <w:pPr>
              <w:spacing w:after="62" w:line="264" w:lineRule="auto"/>
              <w:ind w:firstLine="0" w:firstLineChars="0"/>
              <w:jc w:val="center"/>
              <w:rPr>
                <w:sz w:val="13"/>
                <w:szCs w:val="13"/>
              </w:rPr>
            </w:pPr>
            <w:r>
              <w:rPr>
                <w:rFonts w:ascii="宋体" w:hAnsi="宋体"/>
                <w:b/>
                <w:sz w:val="13"/>
                <w:szCs w:val="13"/>
              </w:rPr>
              <w:t>正样本数</w:t>
            </w:r>
          </w:p>
        </w:tc>
        <w:tc>
          <w:tcPr>
            <w:tcW w:w="1511" w:type="dxa"/>
            <w:tcBorders>
              <w:top w:val="single" w:color="000000" w:sz="12" w:space="0"/>
              <w:left w:val="nil"/>
              <w:bottom w:val="single" w:color="000000" w:sz="8" w:space="0"/>
              <w:right w:val="nil"/>
            </w:tcBorders>
            <w:vAlign w:val="center"/>
          </w:tcPr>
          <w:p w14:paraId="0791D40E">
            <w:pPr>
              <w:spacing w:after="62" w:line="264" w:lineRule="auto"/>
              <w:ind w:firstLine="0" w:firstLineChars="0"/>
              <w:jc w:val="center"/>
              <w:rPr>
                <w:sz w:val="13"/>
                <w:szCs w:val="13"/>
              </w:rPr>
            </w:pPr>
            <w:r>
              <w:rPr>
                <w:rFonts w:ascii="宋体" w:hAnsi="宋体"/>
                <w:b/>
                <w:sz w:val="13"/>
                <w:szCs w:val="13"/>
              </w:rPr>
              <w:t>正样本占比</w:t>
            </w:r>
          </w:p>
        </w:tc>
        <w:tc>
          <w:tcPr>
            <w:tcW w:w="1511" w:type="dxa"/>
            <w:tcBorders>
              <w:top w:val="single" w:color="000000" w:sz="12" w:space="0"/>
              <w:left w:val="nil"/>
              <w:bottom w:val="single" w:color="000000" w:sz="8" w:space="0"/>
              <w:right w:val="nil"/>
            </w:tcBorders>
            <w:vAlign w:val="center"/>
          </w:tcPr>
          <w:p w14:paraId="7FE833BA">
            <w:pPr>
              <w:spacing w:after="62" w:line="264" w:lineRule="auto"/>
              <w:ind w:firstLine="0" w:firstLineChars="0"/>
              <w:jc w:val="center"/>
              <w:rPr>
                <w:sz w:val="13"/>
                <w:szCs w:val="13"/>
              </w:rPr>
            </w:pPr>
            <w:r>
              <w:rPr>
                <w:rFonts w:ascii="宋体" w:hAnsi="宋体"/>
                <w:b/>
                <w:sz w:val="13"/>
                <w:szCs w:val="13"/>
              </w:rPr>
              <w:t>用途</w:t>
            </w:r>
          </w:p>
        </w:tc>
      </w:tr>
      <w:tr w14:paraId="79906B45">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0B6ABFAE">
            <w:pPr>
              <w:spacing w:after="62" w:line="264" w:lineRule="auto"/>
              <w:ind w:firstLine="0" w:firstLineChars="0"/>
              <w:jc w:val="center"/>
              <w:rPr>
                <w:sz w:val="13"/>
                <w:szCs w:val="13"/>
              </w:rPr>
            </w:pPr>
            <w:r>
              <w:rPr>
                <w:rFonts w:ascii="宋体" w:hAnsi="宋体"/>
                <w:sz w:val="13"/>
                <w:szCs w:val="13"/>
              </w:rPr>
              <w:t>训练集</w:t>
            </w:r>
          </w:p>
        </w:tc>
        <w:tc>
          <w:tcPr>
            <w:tcW w:w="1511" w:type="dxa"/>
            <w:tcBorders>
              <w:top w:val="nil"/>
              <w:left w:val="nil"/>
              <w:bottom w:val="nil"/>
              <w:right w:val="nil"/>
            </w:tcBorders>
            <w:vAlign w:val="center"/>
          </w:tcPr>
          <w:p w14:paraId="2BDA1A28">
            <w:pPr>
              <w:spacing w:after="62" w:line="264" w:lineRule="auto"/>
              <w:ind w:firstLine="0" w:firstLineChars="0"/>
              <w:jc w:val="center"/>
              <w:rPr>
                <w:sz w:val="13"/>
                <w:szCs w:val="13"/>
              </w:rPr>
            </w:pPr>
            <w:r>
              <w:rPr>
                <w:rFonts w:ascii="宋体" w:hAnsi="宋体"/>
                <w:sz w:val="13"/>
                <w:szCs w:val="13"/>
              </w:rPr>
              <w:t>2007Q1-2020Q4</w:t>
            </w:r>
          </w:p>
        </w:tc>
        <w:tc>
          <w:tcPr>
            <w:tcW w:w="1511" w:type="dxa"/>
            <w:tcBorders>
              <w:top w:val="nil"/>
              <w:left w:val="nil"/>
              <w:bottom w:val="nil"/>
              <w:right w:val="nil"/>
            </w:tcBorders>
            <w:vAlign w:val="center"/>
          </w:tcPr>
          <w:p w14:paraId="3874AD1C">
            <w:pPr>
              <w:spacing w:after="62" w:line="264" w:lineRule="auto"/>
              <w:ind w:firstLine="0" w:firstLineChars="0"/>
              <w:jc w:val="center"/>
              <w:rPr>
                <w:sz w:val="13"/>
                <w:szCs w:val="13"/>
              </w:rPr>
            </w:pPr>
            <w:r>
              <w:rPr>
                <w:rFonts w:ascii="宋体" w:hAnsi="宋体"/>
                <w:sz w:val="13"/>
                <w:szCs w:val="13"/>
              </w:rPr>
              <w:t>110,787</w:t>
            </w:r>
          </w:p>
        </w:tc>
        <w:tc>
          <w:tcPr>
            <w:tcW w:w="1511" w:type="dxa"/>
            <w:tcBorders>
              <w:top w:val="nil"/>
              <w:left w:val="nil"/>
              <w:bottom w:val="nil"/>
              <w:right w:val="nil"/>
            </w:tcBorders>
            <w:vAlign w:val="center"/>
          </w:tcPr>
          <w:p w14:paraId="48AEB80B">
            <w:pPr>
              <w:spacing w:after="62" w:line="264" w:lineRule="auto"/>
              <w:ind w:firstLine="0" w:firstLineChars="0"/>
              <w:jc w:val="center"/>
              <w:rPr>
                <w:sz w:val="13"/>
                <w:szCs w:val="13"/>
              </w:rPr>
            </w:pPr>
            <w:r>
              <w:rPr>
                <w:rFonts w:ascii="宋体" w:hAnsi="宋体"/>
                <w:sz w:val="13"/>
                <w:szCs w:val="13"/>
              </w:rPr>
              <w:t>8,491</w:t>
            </w:r>
          </w:p>
        </w:tc>
        <w:tc>
          <w:tcPr>
            <w:tcW w:w="1511" w:type="dxa"/>
            <w:tcBorders>
              <w:top w:val="nil"/>
              <w:left w:val="nil"/>
              <w:bottom w:val="nil"/>
              <w:right w:val="nil"/>
            </w:tcBorders>
            <w:vAlign w:val="center"/>
          </w:tcPr>
          <w:p w14:paraId="384A8635">
            <w:pPr>
              <w:spacing w:after="62" w:line="264" w:lineRule="auto"/>
              <w:ind w:firstLine="0" w:firstLineChars="0"/>
              <w:jc w:val="center"/>
              <w:rPr>
                <w:sz w:val="13"/>
                <w:szCs w:val="13"/>
              </w:rPr>
            </w:pPr>
            <w:r>
              <w:rPr>
                <w:rFonts w:ascii="宋体" w:hAnsi="宋体"/>
                <w:sz w:val="13"/>
                <w:szCs w:val="13"/>
              </w:rPr>
              <w:t>7.66%</w:t>
            </w:r>
          </w:p>
        </w:tc>
        <w:tc>
          <w:tcPr>
            <w:tcW w:w="1511" w:type="dxa"/>
            <w:tcBorders>
              <w:top w:val="nil"/>
              <w:left w:val="nil"/>
              <w:bottom w:val="nil"/>
              <w:right w:val="nil"/>
            </w:tcBorders>
            <w:vAlign w:val="center"/>
          </w:tcPr>
          <w:p w14:paraId="318A9162">
            <w:pPr>
              <w:spacing w:after="62" w:line="264" w:lineRule="auto"/>
              <w:ind w:firstLine="0" w:firstLineChars="0"/>
              <w:jc w:val="center"/>
              <w:rPr>
                <w:sz w:val="13"/>
                <w:szCs w:val="13"/>
              </w:rPr>
            </w:pPr>
            <w:r>
              <w:rPr>
                <w:rFonts w:ascii="宋体" w:hAnsi="宋体"/>
                <w:sz w:val="13"/>
                <w:szCs w:val="13"/>
              </w:rPr>
              <w:t>模型参数学习、基础特征提取</w:t>
            </w:r>
          </w:p>
        </w:tc>
      </w:tr>
      <w:tr w14:paraId="4637ED55">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1B71A06D">
            <w:pPr>
              <w:spacing w:after="62" w:line="264" w:lineRule="auto"/>
              <w:ind w:firstLine="0" w:firstLineChars="0"/>
              <w:jc w:val="center"/>
              <w:rPr>
                <w:sz w:val="13"/>
                <w:szCs w:val="13"/>
              </w:rPr>
            </w:pPr>
            <w:r>
              <w:rPr>
                <w:rFonts w:ascii="宋体" w:hAnsi="宋体"/>
                <w:sz w:val="13"/>
                <w:szCs w:val="13"/>
              </w:rPr>
              <w:t>缓冲期 1</w:t>
            </w:r>
          </w:p>
        </w:tc>
        <w:tc>
          <w:tcPr>
            <w:tcW w:w="1511" w:type="dxa"/>
            <w:tcBorders>
              <w:top w:val="nil"/>
              <w:left w:val="nil"/>
              <w:bottom w:val="nil"/>
              <w:right w:val="nil"/>
            </w:tcBorders>
            <w:vAlign w:val="center"/>
          </w:tcPr>
          <w:p w14:paraId="797E47AF">
            <w:pPr>
              <w:spacing w:after="62" w:line="264" w:lineRule="auto"/>
              <w:ind w:firstLine="0" w:firstLineChars="0"/>
              <w:jc w:val="center"/>
              <w:rPr>
                <w:sz w:val="13"/>
                <w:szCs w:val="13"/>
              </w:rPr>
            </w:pPr>
            <w:r>
              <w:rPr>
                <w:rFonts w:ascii="宋体" w:hAnsi="宋体"/>
                <w:sz w:val="13"/>
                <w:szCs w:val="13"/>
              </w:rPr>
              <w:t>2021Q1-2021Q4</w:t>
            </w:r>
          </w:p>
        </w:tc>
        <w:tc>
          <w:tcPr>
            <w:tcW w:w="1511" w:type="dxa"/>
            <w:tcBorders>
              <w:top w:val="nil"/>
              <w:left w:val="nil"/>
              <w:bottom w:val="nil"/>
              <w:right w:val="nil"/>
            </w:tcBorders>
            <w:vAlign w:val="center"/>
          </w:tcPr>
          <w:p w14:paraId="564CD4C7">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06C594C5">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0E00F421">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580FCFE7">
            <w:pPr>
              <w:spacing w:after="62" w:line="264" w:lineRule="auto"/>
              <w:ind w:firstLine="0" w:firstLineChars="0"/>
              <w:jc w:val="center"/>
              <w:rPr>
                <w:sz w:val="13"/>
                <w:szCs w:val="13"/>
              </w:rPr>
            </w:pPr>
            <w:r>
              <w:rPr>
                <w:rFonts w:ascii="宋体" w:hAnsi="宋体"/>
                <w:sz w:val="13"/>
                <w:szCs w:val="13"/>
              </w:rPr>
              <w:t>时间隔离带，不参与训练、调参与性能评价</w:t>
            </w:r>
          </w:p>
        </w:tc>
      </w:tr>
      <w:tr w14:paraId="0773E470">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2207A7B6">
            <w:pPr>
              <w:spacing w:after="62" w:line="264" w:lineRule="auto"/>
              <w:ind w:firstLine="0" w:firstLineChars="0"/>
              <w:jc w:val="center"/>
              <w:rPr>
                <w:sz w:val="13"/>
                <w:szCs w:val="13"/>
              </w:rPr>
            </w:pPr>
            <w:r>
              <w:rPr>
                <w:rFonts w:ascii="宋体" w:hAnsi="宋体"/>
                <w:sz w:val="13"/>
                <w:szCs w:val="13"/>
              </w:rPr>
              <w:t>验证集-调参</w:t>
            </w:r>
          </w:p>
        </w:tc>
        <w:tc>
          <w:tcPr>
            <w:tcW w:w="1511" w:type="dxa"/>
            <w:tcBorders>
              <w:top w:val="nil"/>
              <w:left w:val="nil"/>
              <w:bottom w:val="nil"/>
              <w:right w:val="nil"/>
            </w:tcBorders>
            <w:vAlign w:val="center"/>
          </w:tcPr>
          <w:p w14:paraId="5085B86E">
            <w:pPr>
              <w:spacing w:after="62" w:line="264" w:lineRule="auto"/>
              <w:ind w:firstLine="0" w:firstLineChars="0"/>
              <w:jc w:val="center"/>
              <w:rPr>
                <w:sz w:val="13"/>
                <w:szCs w:val="13"/>
              </w:rPr>
            </w:pPr>
            <w:r>
              <w:rPr>
                <w:rFonts w:ascii="宋体" w:hAnsi="宋体"/>
                <w:sz w:val="13"/>
                <w:szCs w:val="13"/>
              </w:rPr>
              <w:t>2022Q1-2022Q2</w:t>
            </w:r>
          </w:p>
        </w:tc>
        <w:tc>
          <w:tcPr>
            <w:tcW w:w="1511" w:type="dxa"/>
            <w:tcBorders>
              <w:top w:val="nil"/>
              <w:left w:val="nil"/>
              <w:bottom w:val="nil"/>
              <w:right w:val="nil"/>
            </w:tcBorders>
            <w:vAlign w:val="center"/>
          </w:tcPr>
          <w:p w14:paraId="4EAB30CE">
            <w:pPr>
              <w:spacing w:after="62" w:line="264" w:lineRule="auto"/>
              <w:ind w:firstLine="0" w:firstLineChars="0"/>
              <w:jc w:val="center"/>
              <w:rPr>
                <w:sz w:val="13"/>
                <w:szCs w:val="13"/>
              </w:rPr>
            </w:pPr>
            <w:r>
              <w:rPr>
                <w:rFonts w:ascii="宋体" w:hAnsi="宋体"/>
                <w:sz w:val="13"/>
                <w:szCs w:val="13"/>
              </w:rPr>
              <w:t>9,811</w:t>
            </w:r>
          </w:p>
        </w:tc>
        <w:tc>
          <w:tcPr>
            <w:tcW w:w="1511" w:type="dxa"/>
            <w:tcBorders>
              <w:top w:val="nil"/>
              <w:left w:val="nil"/>
              <w:bottom w:val="nil"/>
              <w:right w:val="nil"/>
            </w:tcBorders>
            <w:vAlign w:val="center"/>
          </w:tcPr>
          <w:p w14:paraId="5817C033">
            <w:pPr>
              <w:spacing w:after="62" w:line="264" w:lineRule="auto"/>
              <w:ind w:firstLine="0" w:firstLineChars="0"/>
              <w:jc w:val="center"/>
              <w:rPr>
                <w:sz w:val="13"/>
                <w:szCs w:val="13"/>
              </w:rPr>
            </w:pPr>
            <w:r>
              <w:rPr>
                <w:rFonts w:ascii="宋体" w:hAnsi="宋体"/>
                <w:sz w:val="13"/>
                <w:szCs w:val="13"/>
              </w:rPr>
              <w:t>346</w:t>
            </w:r>
          </w:p>
        </w:tc>
        <w:tc>
          <w:tcPr>
            <w:tcW w:w="1511" w:type="dxa"/>
            <w:tcBorders>
              <w:top w:val="nil"/>
              <w:left w:val="nil"/>
              <w:bottom w:val="nil"/>
              <w:right w:val="nil"/>
            </w:tcBorders>
            <w:vAlign w:val="center"/>
          </w:tcPr>
          <w:p w14:paraId="71ACD979">
            <w:pPr>
              <w:spacing w:after="62" w:line="264" w:lineRule="auto"/>
              <w:ind w:firstLine="0" w:firstLineChars="0"/>
              <w:jc w:val="center"/>
              <w:rPr>
                <w:sz w:val="13"/>
                <w:szCs w:val="13"/>
              </w:rPr>
            </w:pPr>
            <w:r>
              <w:rPr>
                <w:rFonts w:ascii="宋体" w:hAnsi="宋体"/>
                <w:sz w:val="13"/>
                <w:szCs w:val="13"/>
              </w:rPr>
              <w:t>3.53%</w:t>
            </w:r>
          </w:p>
        </w:tc>
        <w:tc>
          <w:tcPr>
            <w:tcW w:w="1511" w:type="dxa"/>
            <w:tcBorders>
              <w:top w:val="nil"/>
              <w:left w:val="nil"/>
              <w:bottom w:val="nil"/>
              <w:right w:val="nil"/>
            </w:tcBorders>
            <w:vAlign w:val="center"/>
          </w:tcPr>
          <w:p w14:paraId="12B84BBE">
            <w:pPr>
              <w:spacing w:after="62" w:line="264" w:lineRule="auto"/>
              <w:ind w:firstLine="0" w:firstLineChars="0"/>
              <w:jc w:val="center"/>
              <w:rPr>
                <w:sz w:val="13"/>
                <w:szCs w:val="13"/>
              </w:rPr>
            </w:pPr>
            <w:r>
              <w:rPr>
                <w:rFonts w:ascii="宋体" w:hAnsi="宋体"/>
                <w:sz w:val="13"/>
                <w:szCs w:val="13"/>
              </w:rPr>
              <w:t>早停机制与基础超参数选择</w:t>
            </w:r>
          </w:p>
        </w:tc>
      </w:tr>
      <w:tr w14:paraId="309B2DDC">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636F3E3D">
            <w:pPr>
              <w:spacing w:after="62" w:line="264" w:lineRule="auto"/>
              <w:ind w:firstLine="0" w:firstLineChars="0"/>
              <w:jc w:val="center"/>
              <w:rPr>
                <w:sz w:val="13"/>
                <w:szCs w:val="13"/>
              </w:rPr>
            </w:pPr>
            <w:r>
              <w:rPr>
                <w:rFonts w:ascii="宋体" w:hAnsi="宋体"/>
                <w:sz w:val="13"/>
                <w:szCs w:val="13"/>
              </w:rPr>
              <w:t>验证集-校准</w:t>
            </w:r>
          </w:p>
        </w:tc>
        <w:tc>
          <w:tcPr>
            <w:tcW w:w="1511" w:type="dxa"/>
            <w:tcBorders>
              <w:top w:val="nil"/>
              <w:left w:val="nil"/>
              <w:bottom w:val="nil"/>
              <w:right w:val="nil"/>
            </w:tcBorders>
            <w:vAlign w:val="center"/>
          </w:tcPr>
          <w:p w14:paraId="6B8D4181">
            <w:pPr>
              <w:spacing w:after="62" w:line="264" w:lineRule="auto"/>
              <w:ind w:firstLine="0" w:firstLineChars="0"/>
              <w:jc w:val="center"/>
              <w:rPr>
                <w:sz w:val="13"/>
                <w:szCs w:val="13"/>
              </w:rPr>
            </w:pPr>
            <w:r>
              <w:rPr>
                <w:rFonts w:ascii="宋体" w:hAnsi="宋体"/>
                <w:sz w:val="13"/>
                <w:szCs w:val="13"/>
              </w:rPr>
              <w:t>2022Q3-2022Q4</w:t>
            </w:r>
          </w:p>
        </w:tc>
        <w:tc>
          <w:tcPr>
            <w:tcW w:w="1511" w:type="dxa"/>
            <w:tcBorders>
              <w:top w:val="nil"/>
              <w:left w:val="nil"/>
              <w:bottom w:val="nil"/>
              <w:right w:val="nil"/>
            </w:tcBorders>
            <w:vAlign w:val="center"/>
          </w:tcPr>
          <w:p w14:paraId="54FC9ECE">
            <w:pPr>
              <w:spacing w:after="62" w:line="264" w:lineRule="auto"/>
              <w:ind w:firstLine="0" w:firstLineChars="0"/>
              <w:jc w:val="center"/>
              <w:rPr>
                <w:sz w:val="13"/>
                <w:szCs w:val="13"/>
              </w:rPr>
            </w:pPr>
            <w:r>
              <w:rPr>
                <w:rFonts w:ascii="宋体" w:hAnsi="宋体"/>
                <w:sz w:val="13"/>
                <w:szCs w:val="13"/>
              </w:rPr>
              <w:t>5,167</w:t>
            </w:r>
          </w:p>
        </w:tc>
        <w:tc>
          <w:tcPr>
            <w:tcW w:w="1511" w:type="dxa"/>
            <w:tcBorders>
              <w:top w:val="nil"/>
              <w:left w:val="nil"/>
              <w:bottom w:val="nil"/>
              <w:right w:val="nil"/>
            </w:tcBorders>
            <w:vAlign w:val="center"/>
          </w:tcPr>
          <w:p w14:paraId="316025BB">
            <w:pPr>
              <w:spacing w:after="62" w:line="264" w:lineRule="auto"/>
              <w:ind w:firstLine="0" w:firstLineChars="0"/>
              <w:jc w:val="center"/>
              <w:rPr>
                <w:sz w:val="13"/>
                <w:szCs w:val="13"/>
              </w:rPr>
            </w:pPr>
            <w:r>
              <w:rPr>
                <w:rFonts w:ascii="宋体" w:hAnsi="宋体"/>
                <w:sz w:val="13"/>
                <w:szCs w:val="13"/>
              </w:rPr>
              <w:t>305</w:t>
            </w:r>
          </w:p>
        </w:tc>
        <w:tc>
          <w:tcPr>
            <w:tcW w:w="1511" w:type="dxa"/>
            <w:tcBorders>
              <w:top w:val="nil"/>
              <w:left w:val="nil"/>
              <w:bottom w:val="nil"/>
              <w:right w:val="nil"/>
            </w:tcBorders>
            <w:vAlign w:val="center"/>
          </w:tcPr>
          <w:p w14:paraId="6E714128">
            <w:pPr>
              <w:spacing w:after="62" w:line="264" w:lineRule="auto"/>
              <w:ind w:firstLine="0" w:firstLineChars="0"/>
              <w:jc w:val="center"/>
              <w:rPr>
                <w:sz w:val="13"/>
                <w:szCs w:val="13"/>
              </w:rPr>
            </w:pPr>
            <w:r>
              <w:rPr>
                <w:rFonts w:ascii="宋体" w:hAnsi="宋体"/>
                <w:sz w:val="13"/>
                <w:szCs w:val="13"/>
              </w:rPr>
              <w:t>5.90%</w:t>
            </w:r>
          </w:p>
        </w:tc>
        <w:tc>
          <w:tcPr>
            <w:tcW w:w="1511" w:type="dxa"/>
            <w:tcBorders>
              <w:top w:val="nil"/>
              <w:left w:val="nil"/>
              <w:bottom w:val="nil"/>
              <w:right w:val="nil"/>
            </w:tcBorders>
            <w:vAlign w:val="center"/>
          </w:tcPr>
          <w:p w14:paraId="21936345">
            <w:pPr>
              <w:spacing w:after="62" w:line="264" w:lineRule="auto"/>
              <w:ind w:firstLine="0" w:firstLineChars="0"/>
              <w:jc w:val="center"/>
              <w:rPr>
                <w:sz w:val="13"/>
                <w:szCs w:val="13"/>
              </w:rPr>
            </w:pPr>
            <w:r>
              <w:rPr>
                <w:rFonts w:ascii="宋体" w:hAnsi="宋体"/>
                <w:sz w:val="13"/>
                <w:szCs w:val="13"/>
              </w:rPr>
              <w:t>阈值选择、重排序区间与融合参数校准</w:t>
            </w:r>
          </w:p>
        </w:tc>
      </w:tr>
      <w:tr w14:paraId="03D408F2">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7EA09005">
            <w:pPr>
              <w:spacing w:after="62" w:line="264" w:lineRule="auto"/>
              <w:ind w:firstLine="0" w:firstLineChars="0"/>
              <w:jc w:val="center"/>
              <w:rPr>
                <w:sz w:val="13"/>
                <w:szCs w:val="13"/>
              </w:rPr>
            </w:pPr>
            <w:r>
              <w:rPr>
                <w:rFonts w:ascii="宋体" w:hAnsi="宋体"/>
                <w:sz w:val="13"/>
                <w:szCs w:val="13"/>
              </w:rPr>
              <w:t>缓冲期 2</w:t>
            </w:r>
          </w:p>
        </w:tc>
        <w:tc>
          <w:tcPr>
            <w:tcW w:w="1511" w:type="dxa"/>
            <w:tcBorders>
              <w:top w:val="nil"/>
              <w:left w:val="nil"/>
              <w:bottom w:val="nil"/>
              <w:right w:val="nil"/>
            </w:tcBorders>
            <w:vAlign w:val="center"/>
          </w:tcPr>
          <w:p w14:paraId="6B01043B">
            <w:pPr>
              <w:spacing w:after="62" w:line="264" w:lineRule="auto"/>
              <w:ind w:firstLine="0" w:firstLineChars="0"/>
              <w:jc w:val="center"/>
              <w:rPr>
                <w:sz w:val="13"/>
                <w:szCs w:val="13"/>
              </w:rPr>
            </w:pPr>
            <w:r>
              <w:rPr>
                <w:rFonts w:ascii="宋体" w:hAnsi="宋体"/>
                <w:sz w:val="13"/>
                <w:szCs w:val="13"/>
              </w:rPr>
              <w:t>2023Q1-2023Q4</w:t>
            </w:r>
          </w:p>
        </w:tc>
        <w:tc>
          <w:tcPr>
            <w:tcW w:w="1511" w:type="dxa"/>
            <w:tcBorders>
              <w:top w:val="nil"/>
              <w:left w:val="nil"/>
              <w:bottom w:val="nil"/>
              <w:right w:val="nil"/>
            </w:tcBorders>
            <w:vAlign w:val="center"/>
          </w:tcPr>
          <w:p w14:paraId="4C06A622">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242A532A">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7E3028CA">
            <w:pPr>
              <w:spacing w:after="62" w:line="264" w:lineRule="auto"/>
              <w:ind w:firstLine="0" w:firstLineChars="0"/>
              <w:jc w:val="center"/>
              <w:rPr>
                <w:sz w:val="13"/>
                <w:szCs w:val="13"/>
              </w:rPr>
            </w:pPr>
            <w:r>
              <w:rPr>
                <w:rFonts w:ascii="宋体" w:hAnsi="宋体"/>
                <w:sz w:val="13"/>
                <w:szCs w:val="13"/>
              </w:rPr>
              <w:t>—</w:t>
            </w:r>
          </w:p>
        </w:tc>
        <w:tc>
          <w:tcPr>
            <w:tcW w:w="1511" w:type="dxa"/>
            <w:tcBorders>
              <w:top w:val="nil"/>
              <w:left w:val="nil"/>
              <w:bottom w:val="nil"/>
              <w:right w:val="nil"/>
            </w:tcBorders>
            <w:vAlign w:val="center"/>
          </w:tcPr>
          <w:p w14:paraId="1B9F70DF">
            <w:pPr>
              <w:spacing w:after="62" w:line="264" w:lineRule="auto"/>
              <w:ind w:firstLine="0" w:firstLineChars="0"/>
              <w:jc w:val="center"/>
              <w:rPr>
                <w:sz w:val="13"/>
                <w:szCs w:val="13"/>
              </w:rPr>
            </w:pPr>
            <w:r>
              <w:rPr>
                <w:rFonts w:ascii="宋体" w:hAnsi="宋体"/>
                <w:sz w:val="13"/>
                <w:szCs w:val="13"/>
              </w:rPr>
              <w:t>时间隔离带，不参与训练、调参与性能评价</w:t>
            </w:r>
          </w:p>
        </w:tc>
      </w:tr>
      <w:tr w14:paraId="49CBEB45">
        <w:tblPrEx>
          <w:tblCellMar>
            <w:top w:w="0" w:type="dxa"/>
            <w:left w:w="108" w:type="dxa"/>
            <w:bottom w:w="0" w:type="dxa"/>
            <w:right w:w="108" w:type="dxa"/>
          </w:tblCellMar>
        </w:tblPrEx>
        <w:trPr>
          <w:jc w:val="center"/>
        </w:trPr>
        <w:tc>
          <w:tcPr>
            <w:tcW w:w="1511" w:type="dxa"/>
            <w:tcBorders>
              <w:top w:val="nil"/>
              <w:left w:val="nil"/>
              <w:bottom w:val="nil"/>
              <w:right w:val="nil"/>
            </w:tcBorders>
            <w:vAlign w:val="center"/>
          </w:tcPr>
          <w:p w14:paraId="6C901A92">
            <w:pPr>
              <w:spacing w:after="62" w:line="264" w:lineRule="auto"/>
              <w:ind w:firstLine="0" w:firstLineChars="0"/>
              <w:jc w:val="center"/>
              <w:rPr>
                <w:sz w:val="13"/>
                <w:szCs w:val="13"/>
              </w:rPr>
            </w:pPr>
            <w:r>
              <w:rPr>
                <w:rFonts w:ascii="宋体" w:hAnsi="宋体"/>
                <w:sz w:val="13"/>
                <w:szCs w:val="13"/>
              </w:rPr>
              <w:t>测试集</w:t>
            </w:r>
          </w:p>
        </w:tc>
        <w:tc>
          <w:tcPr>
            <w:tcW w:w="1511" w:type="dxa"/>
            <w:tcBorders>
              <w:top w:val="nil"/>
              <w:left w:val="nil"/>
              <w:bottom w:val="nil"/>
              <w:right w:val="nil"/>
            </w:tcBorders>
            <w:vAlign w:val="center"/>
          </w:tcPr>
          <w:p w14:paraId="3A65F2FB">
            <w:pPr>
              <w:spacing w:after="62" w:line="264" w:lineRule="auto"/>
              <w:ind w:firstLine="0" w:firstLineChars="0"/>
              <w:jc w:val="center"/>
              <w:rPr>
                <w:sz w:val="13"/>
                <w:szCs w:val="13"/>
              </w:rPr>
            </w:pPr>
            <w:r>
              <w:rPr>
                <w:rFonts w:ascii="宋体" w:hAnsi="宋体"/>
                <w:sz w:val="13"/>
                <w:szCs w:val="13"/>
              </w:rPr>
              <w:t>2024Q1-2024Q4</w:t>
            </w:r>
          </w:p>
        </w:tc>
        <w:tc>
          <w:tcPr>
            <w:tcW w:w="1511" w:type="dxa"/>
            <w:tcBorders>
              <w:top w:val="nil"/>
              <w:left w:val="nil"/>
              <w:bottom w:val="nil"/>
              <w:right w:val="nil"/>
            </w:tcBorders>
            <w:vAlign w:val="center"/>
          </w:tcPr>
          <w:p w14:paraId="3D6261DF">
            <w:pPr>
              <w:spacing w:after="62" w:line="264" w:lineRule="auto"/>
              <w:ind w:firstLine="0" w:firstLineChars="0"/>
              <w:jc w:val="center"/>
              <w:rPr>
                <w:sz w:val="13"/>
                <w:szCs w:val="13"/>
              </w:rPr>
            </w:pPr>
            <w:r>
              <w:rPr>
                <w:rFonts w:ascii="宋体" w:hAnsi="宋体"/>
                <w:sz w:val="13"/>
                <w:szCs w:val="13"/>
              </w:rPr>
              <w:t>16,175</w:t>
            </w:r>
          </w:p>
        </w:tc>
        <w:tc>
          <w:tcPr>
            <w:tcW w:w="1511" w:type="dxa"/>
            <w:tcBorders>
              <w:top w:val="nil"/>
              <w:left w:val="nil"/>
              <w:bottom w:val="nil"/>
              <w:right w:val="nil"/>
            </w:tcBorders>
            <w:vAlign w:val="center"/>
          </w:tcPr>
          <w:p w14:paraId="10729AE6">
            <w:pPr>
              <w:spacing w:after="62" w:line="264" w:lineRule="auto"/>
              <w:ind w:firstLine="0" w:firstLineChars="0"/>
              <w:jc w:val="center"/>
              <w:rPr>
                <w:sz w:val="13"/>
                <w:szCs w:val="13"/>
              </w:rPr>
            </w:pPr>
            <w:r>
              <w:rPr>
                <w:rFonts w:ascii="宋体" w:hAnsi="宋体"/>
                <w:sz w:val="13"/>
                <w:szCs w:val="13"/>
              </w:rPr>
              <w:t>800</w:t>
            </w:r>
          </w:p>
        </w:tc>
        <w:tc>
          <w:tcPr>
            <w:tcW w:w="1511" w:type="dxa"/>
            <w:tcBorders>
              <w:top w:val="nil"/>
              <w:left w:val="nil"/>
              <w:bottom w:val="nil"/>
              <w:right w:val="nil"/>
            </w:tcBorders>
            <w:vAlign w:val="center"/>
          </w:tcPr>
          <w:p w14:paraId="67B65774">
            <w:pPr>
              <w:spacing w:after="62" w:line="264" w:lineRule="auto"/>
              <w:ind w:firstLine="0" w:firstLineChars="0"/>
              <w:jc w:val="center"/>
              <w:rPr>
                <w:sz w:val="13"/>
                <w:szCs w:val="13"/>
              </w:rPr>
            </w:pPr>
            <w:r>
              <w:rPr>
                <w:rFonts w:ascii="宋体" w:hAnsi="宋体"/>
                <w:sz w:val="13"/>
                <w:szCs w:val="13"/>
              </w:rPr>
              <w:t>4.95%</w:t>
            </w:r>
          </w:p>
        </w:tc>
        <w:tc>
          <w:tcPr>
            <w:tcW w:w="1511" w:type="dxa"/>
            <w:tcBorders>
              <w:top w:val="nil"/>
              <w:left w:val="nil"/>
              <w:bottom w:val="nil"/>
              <w:right w:val="nil"/>
            </w:tcBorders>
            <w:vAlign w:val="center"/>
          </w:tcPr>
          <w:p w14:paraId="68AF4CC1">
            <w:pPr>
              <w:spacing w:after="62" w:line="264" w:lineRule="auto"/>
              <w:ind w:firstLine="0" w:firstLineChars="0"/>
              <w:jc w:val="center"/>
              <w:rPr>
                <w:sz w:val="13"/>
                <w:szCs w:val="13"/>
              </w:rPr>
            </w:pPr>
            <w:r>
              <w:rPr>
                <w:rFonts w:ascii="宋体" w:hAnsi="宋体"/>
                <w:sz w:val="13"/>
                <w:szCs w:val="13"/>
              </w:rPr>
              <w:t>仅用于最终样本外泛化性能评价</w:t>
            </w:r>
          </w:p>
        </w:tc>
      </w:tr>
      <w:tr w14:paraId="1E99AB41">
        <w:tblPrEx>
          <w:tblCellMar>
            <w:top w:w="0" w:type="dxa"/>
            <w:left w:w="108" w:type="dxa"/>
            <w:bottom w:w="0" w:type="dxa"/>
            <w:right w:w="108" w:type="dxa"/>
          </w:tblCellMar>
        </w:tblPrEx>
        <w:trPr>
          <w:jc w:val="center"/>
        </w:trPr>
        <w:tc>
          <w:tcPr>
            <w:tcW w:w="1511" w:type="dxa"/>
            <w:tcBorders>
              <w:top w:val="nil"/>
              <w:left w:val="nil"/>
              <w:bottom w:val="single" w:color="000000" w:sz="12" w:space="0"/>
              <w:right w:val="nil"/>
            </w:tcBorders>
            <w:vAlign w:val="center"/>
          </w:tcPr>
          <w:p w14:paraId="17A85D09">
            <w:pPr>
              <w:spacing w:after="62" w:line="264" w:lineRule="auto"/>
              <w:ind w:firstLine="0" w:firstLineChars="0"/>
              <w:jc w:val="center"/>
              <w:rPr>
                <w:sz w:val="13"/>
                <w:szCs w:val="13"/>
              </w:rPr>
            </w:pPr>
            <w:r>
              <w:rPr>
                <w:rFonts w:ascii="宋体" w:hAnsi="宋体"/>
                <w:sz w:val="13"/>
                <w:szCs w:val="13"/>
              </w:rPr>
              <w:t>合计</w:t>
            </w:r>
          </w:p>
        </w:tc>
        <w:tc>
          <w:tcPr>
            <w:tcW w:w="1511" w:type="dxa"/>
            <w:tcBorders>
              <w:top w:val="nil"/>
              <w:left w:val="nil"/>
              <w:bottom w:val="single" w:color="000000" w:sz="12" w:space="0"/>
              <w:right w:val="nil"/>
            </w:tcBorders>
            <w:vAlign w:val="center"/>
          </w:tcPr>
          <w:p w14:paraId="4293981A">
            <w:pPr>
              <w:spacing w:after="62" w:line="264" w:lineRule="auto"/>
              <w:ind w:firstLine="0" w:firstLineChars="0"/>
              <w:jc w:val="center"/>
              <w:rPr>
                <w:sz w:val="13"/>
                <w:szCs w:val="13"/>
              </w:rPr>
            </w:pPr>
            <w:r>
              <w:rPr>
                <w:rFonts w:ascii="宋体" w:hAnsi="宋体"/>
                <w:sz w:val="13"/>
                <w:szCs w:val="13"/>
              </w:rPr>
              <w:t>训练/验证/测试</w:t>
            </w:r>
          </w:p>
        </w:tc>
        <w:tc>
          <w:tcPr>
            <w:tcW w:w="1511" w:type="dxa"/>
            <w:tcBorders>
              <w:top w:val="nil"/>
              <w:left w:val="nil"/>
              <w:bottom w:val="single" w:color="000000" w:sz="12" w:space="0"/>
              <w:right w:val="nil"/>
            </w:tcBorders>
            <w:vAlign w:val="center"/>
          </w:tcPr>
          <w:p w14:paraId="1226EC5A">
            <w:pPr>
              <w:spacing w:after="62" w:line="264" w:lineRule="auto"/>
              <w:ind w:firstLine="0" w:firstLineChars="0"/>
              <w:jc w:val="center"/>
              <w:rPr>
                <w:sz w:val="13"/>
                <w:szCs w:val="13"/>
              </w:rPr>
            </w:pPr>
            <w:r>
              <w:rPr>
                <w:rFonts w:ascii="宋体" w:hAnsi="宋体"/>
                <w:sz w:val="13"/>
                <w:szCs w:val="13"/>
              </w:rPr>
              <w:t>141,940</w:t>
            </w:r>
          </w:p>
        </w:tc>
        <w:tc>
          <w:tcPr>
            <w:tcW w:w="1511" w:type="dxa"/>
            <w:tcBorders>
              <w:top w:val="nil"/>
              <w:left w:val="nil"/>
              <w:bottom w:val="single" w:color="000000" w:sz="12" w:space="0"/>
              <w:right w:val="nil"/>
            </w:tcBorders>
            <w:vAlign w:val="center"/>
          </w:tcPr>
          <w:p w14:paraId="7C082F90">
            <w:pPr>
              <w:spacing w:after="62" w:line="264" w:lineRule="auto"/>
              <w:ind w:firstLine="0" w:firstLineChars="0"/>
              <w:jc w:val="center"/>
              <w:rPr>
                <w:sz w:val="13"/>
                <w:szCs w:val="13"/>
              </w:rPr>
            </w:pPr>
            <w:r>
              <w:rPr>
                <w:rFonts w:ascii="宋体" w:hAnsi="宋体"/>
                <w:sz w:val="13"/>
                <w:szCs w:val="13"/>
              </w:rPr>
              <w:t>9,942</w:t>
            </w:r>
          </w:p>
        </w:tc>
        <w:tc>
          <w:tcPr>
            <w:tcW w:w="1511" w:type="dxa"/>
            <w:tcBorders>
              <w:top w:val="nil"/>
              <w:left w:val="nil"/>
              <w:bottom w:val="single" w:color="000000" w:sz="12" w:space="0"/>
              <w:right w:val="nil"/>
            </w:tcBorders>
            <w:vAlign w:val="center"/>
          </w:tcPr>
          <w:p w14:paraId="0F0D14EF">
            <w:pPr>
              <w:spacing w:after="62" w:line="264" w:lineRule="auto"/>
              <w:ind w:firstLine="0" w:firstLineChars="0"/>
              <w:jc w:val="center"/>
              <w:rPr>
                <w:sz w:val="13"/>
                <w:szCs w:val="13"/>
              </w:rPr>
            </w:pPr>
            <w:r>
              <w:rPr>
                <w:rFonts w:ascii="宋体" w:hAnsi="宋体"/>
                <w:sz w:val="13"/>
                <w:szCs w:val="13"/>
              </w:rPr>
              <w:t>7.00%</w:t>
            </w:r>
          </w:p>
        </w:tc>
        <w:tc>
          <w:tcPr>
            <w:tcW w:w="1511" w:type="dxa"/>
            <w:tcBorders>
              <w:top w:val="nil"/>
              <w:left w:val="nil"/>
              <w:bottom w:val="single" w:color="000000" w:sz="12" w:space="0"/>
              <w:right w:val="nil"/>
            </w:tcBorders>
            <w:vAlign w:val="center"/>
          </w:tcPr>
          <w:p w14:paraId="242DF9B4">
            <w:pPr>
              <w:spacing w:after="62" w:line="264" w:lineRule="auto"/>
              <w:ind w:firstLine="0" w:firstLineChars="0"/>
              <w:jc w:val="center"/>
              <w:rPr>
                <w:sz w:val="13"/>
                <w:szCs w:val="13"/>
              </w:rPr>
            </w:pPr>
            <w:r>
              <w:rPr>
                <w:rFonts w:ascii="宋体" w:hAnsi="宋体"/>
                <w:sz w:val="13"/>
                <w:szCs w:val="13"/>
              </w:rPr>
              <w:t>建模与性能评估总样本</w:t>
            </w:r>
          </w:p>
        </w:tc>
      </w:tr>
    </w:tbl>
    <w:p w14:paraId="3B23AA7C">
      <w:pPr>
        <w:pStyle w:val="3"/>
        <w:bidi w:val="0"/>
        <w:rPr>
          <w:rFonts w:hint="eastAsia"/>
        </w:rPr>
      </w:pPr>
      <w:r>
        <w:rPr>
          <w:rFonts w:hint="eastAsia"/>
        </w:rPr>
        <w:t>3.3 级联边界重排序模型的设计与训练</w:t>
      </w:r>
    </w:p>
    <w:p w14:paraId="172AB6D8">
      <w:pPr>
        <w:spacing w:after="62"/>
      </w:pPr>
      <w:r>
        <w:t>财务困境预警的核心目标并非局限于静态二元分类，而是在有限审查资源约束下，对潜在高风险企业进行前置排序与优先识别。中国资本市场中财务困境事件（ST/*ST）发生比例较低，属于典型类别不平衡学习场景，且风险暴露具有隐蔽性与滞后性。传统单阶段分类模型虽能学习全局判别规律，但在高风险样本内部排序及临界样本识别方面仍存在显著不足。尤其在构建 Top-K 预警名单的场景中，模型不仅需要较高的整体区分能力，更需在关键审查区间内具备更强的局部排序精度。基于此，本文提出一种基于 CatBoost 的级联边界重排序模型（Cascaded Boundary Reranking Model, CBRM），通过全局排序—局部修正的双阶段机制，提升有限审查资源约束下的风险捕获效率。</w:t>
      </w:r>
    </w:p>
    <w:p w14:paraId="0C31F853">
      <w:pPr>
        <w:keepNext w:val="0"/>
        <w:keepLines w:val="0"/>
        <w:pageBreakBefore w:val="0"/>
        <w:widowControl w:val="0"/>
        <w:kinsoku/>
        <w:wordWrap/>
        <w:overflowPunct/>
        <w:topLinePunct w:val="0"/>
        <w:autoSpaceDE/>
        <w:autoSpaceDN/>
        <w:bidi w:val="0"/>
        <w:adjustRightInd w:val="0"/>
        <w:snapToGrid w:val="0"/>
        <w:spacing w:after="62"/>
        <w:ind w:firstLine="0" w:firstLineChars="0"/>
        <w:jc w:val="center"/>
        <w:textAlignment w:val="auto"/>
        <w:rPr>
          <w:rFonts w:hint="eastAsia"/>
        </w:rPr>
      </w:pPr>
      <w:r>
        <w:rPr>
          <w:rFonts w:hint="eastAsia"/>
        </w:rPr>
        <w:drawing>
          <wp:inline distT="0" distB="0" distL="114300" distR="114300">
            <wp:extent cx="4547870" cy="2075180"/>
            <wp:effectExtent l="0" t="0" r="8890" b="12700"/>
            <wp:docPr id="2" name="图片 2" descr="图1_基于CatBoost的级联边界重排序模型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_基于CatBoost的级联边界重排序模型框架"/>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547870" cy="2075180"/>
                    </a:xfrm>
                    <a:prstGeom prst="rect">
                      <a:avLst/>
                    </a:prstGeom>
                  </pic:spPr>
                </pic:pic>
              </a:graphicData>
            </a:graphic>
          </wp:inline>
        </w:drawing>
      </w:r>
    </w:p>
    <w:p w14:paraId="77D0E647">
      <w:pPr>
        <w:pStyle w:val="7"/>
        <w:bidi w:val="0"/>
        <w:rPr>
          <w:rFonts w:hint="eastAsia"/>
          <w:lang w:val="en-US" w:eastAsia="zh-CN"/>
        </w:rPr>
      </w:pPr>
      <w:r>
        <w:rPr>
          <w:rFonts w:hint="eastAsia"/>
          <w:lang w:val="en-US" w:eastAsia="zh-CN"/>
        </w:rPr>
        <w:t>图3-1 基于CatBoost的级联边界重排序财务困境预警模型框架</w:t>
      </w:r>
    </w:p>
    <w:p w14:paraId="253873B5">
      <w:pPr>
        <w:spacing w:after="62"/>
      </w:pPr>
      <w:r>
        <w:t>CatBoost 作为级联框架的基石，用于处理结构化表格数据中的数值特征及非线性关系。针对 ST/*ST 事件正样本占比较低的问题，模型训练采用 SqrtBalanced 自动类别权重策略，并以对数损失（Logloss）为优化目标。经验证集调优，最终确定的主要超参数组合为：迭代次数 1200，学习率 0.02，最大树深 8，</w:t>
      </w:r>
      <m:oMath>
        <m:r>
          <m:rPr/>
          <w:rPr>
            <w:rFonts w:hint="default" w:ascii="Cambria Math"/>
          </w:rPr>
          <m:t>L2</m:t>
        </m:r>
      </m:oMath>
      <w:r>
        <w:t xml:space="preserve"> 正则系数 20，边界分箱数 128，随机强度 2，装袋温度 0.5。主排序器输出的一阶段风险得分</w:t>
      </w:r>
      <m:oMath>
        <m:sSubSup>
          <m:sSubSupPr>
            <m:ctrlPr>
              <w:rPr>
                <w:rFonts w:hint="default" w:ascii="Cambria Math" w:hAnsi="Cambria Math"/>
              </w:rPr>
            </m:ctrlPr>
          </m:sSubSupPr>
          <m:e>
            <m:r>
              <m:rPr/>
              <w:rPr>
                <w:rFonts w:hint="default" w:ascii="Cambria Math" w:hAnsi="Cambria Math"/>
              </w:rPr>
              <m:t>s</m:t>
            </m:r>
            <m:ctrlPr>
              <w:rPr>
                <w:rFonts w:ascii="Cambria Math" w:hAnsi="Cambria Math"/>
              </w:rPr>
            </m:ctrlPr>
          </m:e>
          <m:sub>
            <m:r>
              <m:rPr/>
              <w:rPr>
                <w:rFonts w:hint="default" w:ascii="Cambria Math" w:hAnsi="Cambria Math"/>
              </w:rPr>
              <m:t>i,t</m:t>
            </m:r>
            <m:ctrlPr>
              <w:rPr>
                <w:rFonts w:ascii="Cambria Math" w:hAnsi="Cambria Math"/>
              </w:rPr>
            </m:ctrlPr>
          </m:sub>
          <m:sup>
            <m:r>
              <m:rPr/>
              <w:rPr>
                <w:rFonts w:hint="default" w:ascii="Cambria Math" w:hAnsi="Cambria Math"/>
              </w:rPr>
              <m:t>(1)</m:t>
            </m:r>
            <m:ctrlPr>
              <w:rPr>
                <w:rFonts w:ascii="Cambria Math" w:hAnsi="Cambria Math"/>
              </w:rPr>
            </m:ctrlPr>
          </m:sup>
        </m:sSubSup>
      </m:oMath>
      <w:r>
        <w:t>可视为样本在未来 4 个季度内发生财务困境的相对排序度量，构成级联重排序的初始序列。为降低二阶段训练中的教师模型泄露风险，本文采用扩展窗口样本外预测（Expanding-window OOF）机制生成训练样本的一阶段得分，避免二阶段模型直接使用由同一样本标签参与拟合得到的分数。上述模型参数均基于训练集与验证集确定，测试集仅用于最终样本外性能评价。</w:t>
      </w:r>
    </w:p>
    <w:p w14:paraId="3AFC713E">
      <w:r>
        <w:t>一阶段风险得分由以下映射函数生成：</w:t>
      </w:r>
    </w:p>
    <w:tbl>
      <w:tblPr>
        <w:tblStyle w:val="27"/>
        <w:tblW w:w="4998" w:type="pct"/>
        <w:jc w:val="center"/>
        <w:tblLayout w:type="autofit"/>
        <w:tblCellMar>
          <w:top w:w="0" w:type="dxa"/>
          <w:left w:w="108" w:type="dxa"/>
          <w:bottom w:w="0" w:type="dxa"/>
          <w:right w:w="108" w:type="dxa"/>
        </w:tblCellMar>
      </w:tblPr>
      <w:tblGrid>
        <w:gridCol w:w="2839"/>
        <w:gridCol w:w="2839"/>
        <w:gridCol w:w="2841"/>
      </w:tblGrid>
      <w:tr w14:paraId="35A8CD4D">
        <w:tblPrEx>
          <w:tblCellMar>
            <w:top w:w="0" w:type="dxa"/>
            <w:left w:w="108" w:type="dxa"/>
            <w:bottom w:w="0" w:type="dxa"/>
            <w:right w:w="108" w:type="dxa"/>
          </w:tblCellMar>
        </w:tblPrEx>
        <w:trPr>
          <w:jc w:val="center"/>
        </w:trPr>
        <w:tc>
          <w:tcPr>
            <w:tcW w:w="1666" w:type="pct"/>
            <w:vAlign w:val="center"/>
          </w:tcPr>
          <w:p w14:paraId="7F5AC5BF">
            <w:pPr>
              <w:spacing w:after="62"/>
            </w:pPr>
          </w:p>
        </w:tc>
        <w:tc>
          <w:tcPr>
            <w:tcW w:w="1666" w:type="pct"/>
            <w:vAlign w:val="center"/>
          </w:tcPr>
          <w:p w14:paraId="77219EED">
            <w:pPr>
              <w:spacing w:after="62"/>
              <w:rPr>
                <w:rFonts w:hint="eastAsia" w:hAnsi="Cambria Math"/>
                <w:i w:val="0"/>
              </w:rPr>
            </w:pPr>
            <m:oMathPara>
              <m:oMath>
                <m:sSubSup>
                  <m:sSubSupPr>
                    <m:ctrlPr>
                      <w:rPr>
                        <w:rFonts w:hint="default" w:ascii="Cambria Math" w:hAnsi="Cambria Math"/>
                      </w:rPr>
                    </m:ctrlPr>
                  </m:sSubSupPr>
                  <m:e>
                    <m:r>
                      <m:rPr/>
                      <w:rPr>
                        <w:rFonts w:hint="default" w:ascii="Cambria Math" w:hAnsi="Cambria Math"/>
                      </w:rPr>
                      <m:t>s</m:t>
                    </m:r>
                    <m:ctrlPr>
                      <w:rPr>
                        <w:rFonts w:ascii="Cambria Math" w:hAnsi="Cambria Math"/>
                      </w:rPr>
                    </m:ctrlPr>
                  </m:e>
                  <m:sub>
                    <m:r>
                      <m:rPr/>
                      <w:rPr>
                        <w:rFonts w:hint="default" w:ascii="Cambria Math" w:hAnsi="Cambria Math"/>
                      </w:rPr>
                      <m:t>i,t</m:t>
                    </m:r>
                    <m:ctrlPr>
                      <w:rPr>
                        <w:rFonts w:ascii="Cambria Math" w:hAnsi="Cambria Math"/>
                      </w:rPr>
                    </m:ctrlPr>
                  </m:sub>
                  <m:sup>
                    <m:r>
                      <m:rPr/>
                      <w:rPr>
                        <w:rFonts w:hint="default" w:ascii="Cambria Math" w:hAnsi="Cambria Math"/>
                      </w:rPr>
                      <m:t>(1)</m:t>
                    </m:r>
                    <m:ctrlPr>
                      <w:rPr>
                        <w:rFonts w:ascii="Cambria Math" w:hAnsi="Cambria Math"/>
                      </w:rPr>
                    </m:ctrlPr>
                  </m:sup>
                </m:sSubSup>
                <m:r>
                  <m:rPr/>
                  <w:rPr>
                    <w:rFonts w:hint="default" w:ascii="Cambria Math" w:hAnsi="Cambria Math"/>
                  </w:rPr>
                  <m:t>=</m:t>
                </m:r>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x</m:t>
                    </m:r>
                    <m:ctrlPr>
                      <w:rPr>
                        <w:rFonts w:ascii="Cambria Math" w:hAnsi="Cambria Math"/>
                      </w:rPr>
                    </m:ctrlPr>
                  </m:e>
                  <m:sub>
                    <m:r>
                      <m:rPr/>
                      <w:rPr>
                        <w:rFonts w:hint="default" w:ascii="Cambria Math" w:hAnsi="Cambria Math"/>
                      </w:rPr>
                      <m:t>i,t</m:t>
                    </m:r>
                    <m:ctrlPr>
                      <w:rPr>
                        <w:rFonts w:ascii="Cambria Math" w:hAnsi="Cambria Math"/>
                      </w:rPr>
                    </m:ctrlPr>
                  </m:sub>
                </m:sSub>
                <m:r>
                  <m:rPr/>
                  <w:rPr>
                    <w:rFonts w:hint="default" w:ascii="Cambria Math" w:hAnsi="Cambria Math"/>
                  </w:rPr>
                  <m:t>)</m:t>
                </m:r>
              </m:oMath>
            </m:oMathPara>
          </w:p>
        </w:tc>
        <w:tc>
          <w:tcPr>
            <w:tcW w:w="1667" w:type="pct"/>
            <w:vAlign w:val="center"/>
          </w:tcPr>
          <w:p w14:paraId="47EB5BC2">
            <w:pPr>
              <w:spacing w:after="62"/>
              <w:jc w:val="right"/>
            </w:pPr>
            <w:r>
              <w:t>(</w:t>
            </w:r>
            <w:r>
              <w:fldChar w:fldCharType="begin"/>
            </w:r>
            <w:r>
              <w:instrText xml:space="preserve"> SEQ Eq </w:instrText>
            </w:r>
            <w:r>
              <w:fldChar w:fldCharType="separate"/>
            </w:r>
            <w:r>
              <w:t>1</w:t>
            </w:r>
            <w:r>
              <w:fldChar w:fldCharType="end"/>
            </w:r>
            <w:r>
              <w:t>)</w:t>
            </w:r>
          </w:p>
        </w:tc>
      </w:tr>
    </w:tbl>
    <w:p w14:paraId="4C537518">
      <w:pPr>
        <w:spacing w:after="62"/>
      </w:pPr>
      <w:r>
        <w:t>其中，</w:t>
      </w:r>
      <m:oMath>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x</m:t>
            </m:r>
            <m:ctrlPr>
              <w:rPr>
                <w:rFonts w:ascii="Cambria Math" w:hAnsi="Cambria Math"/>
              </w:rPr>
            </m:ctrlPr>
          </m:e>
          <m:sub>
            <m:r>
              <m:rPr/>
              <w:rPr>
                <w:rFonts w:hint="default" w:ascii="Cambria Math" w:hAnsi="Cambria Math"/>
              </w:rPr>
              <m:t>i,t</m:t>
            </m:r>
            <m:ctrlPr>
              <w:rPr>
                <w:rFonts w:ascii="Cambria Math" w:hAnsi="Cambria Math"/>
              </w:rPr>
            </m:ctrlPr>
          </m:sub>
        </m:sSub>
        <m:r>
          <m:rPr/>
          <w:rPr>
            <w:rFonts w:hint="default" w:ascii="Cambria Math" w:hAnsi="Cambria Math"/>
          </w:rPr>
          <m:t>)</m:t>
        </m:r>
      </m:oMath>
      <w:r>
        <w:t>表示一阶段 CatBoost 主排序器，</w:t>
      </w:r>
      <m:oMath>
        <m:sSub>
          <m:sSubPr>
            <m:ctrlPr>
              <w:rPr>
                <w:rFonts w:hint="default" w:ascii="Cambria Math" w:hAnsi="Cambria Math"/>
              </w:rPr>
            </m:ctrlPr>
          </m:sSubPr>
          <m:e>
            <m:r>
              <m:rPr>
                <m:sty m:val="b"/>
              </m:rPr>
              <w:rPr>
                <w:rFonts w:hint="default" w:ascii="Cambria Math" w:hAnsi="Cambria Math"/>
              </w:rPr>
              <m:t>x</m:t>
            </m:r>
            <m:ctrlPr>
              <w:rPr>
                <w:rFonts w:ascii="Cambria Math" w:hAnsi="Cambria Math"/>
              </w:rPr>
            </m:ctrlPr>
          </m:e>
          <m:sub>
            <m:r>
              <m:rPr/>
              <w:rPr>
                <w:rFonts w:hint="default" w:ascii="Cambria Math" w:hAnsi="Cambria Math"/>
              </w:rPr>
              <m:t>i,t</m:t>
            </m:r>
            <m:ctrlPr>
              <w:rPr>
                <w:rFonts w:ascii="Cambria Math" w:hAnsi="Cambria Math"/>
              </w:rPr>
            </m:ctrlPr>
          </m:sub>
        </m:sSub>
      </m:oMath>
      <w:r>
        <w:t xml:space="preserve">为公司 </w:t>
      </w:r>
      <m:oMath>
        <m:r>
          <m:rPr/>
          <w:rPr>
            <w:rFonts w:hint="default" w:ascii="Cambria Math"/>
          </w:rPr>
          <m:t>i</m:t>
        </m:r>
      </m:oMath>
      <w:r>
        <w:t xml:space="preserve">在季度 </w:t>
      </w:r>
      <m:oMath>
        <m:r>
          <m:rPr/>
          <w:rPr>
            <w:rFonts w:hint="default" w:ascii="Cambria Math"/>
          </w:rPr>
          <m:t>t</m:t>
        </m:r>
      </m:oMath>
      <w:r>
        <w:t>的特征向量。</w:t>
      </w:r>
    </w:p>
    <w:p w14:paraId="0BE319F6">
      <w:pPr>
        <w:spacing w:after="62"/>
      </w:pPr>
      <w:r>
        <w:t xml:space="preserve">在获得一阶段排序结果后，模型进一步划分高置信保护区与边界候选区。记预测时点 </w:t>
      </w:r>
      <m:oMath>
        <m:r>
          <m:rPr/>
          <w:rPr>
            <w:rFonts w:hint="default" w:ascii="Cambria Math"/>
          </w:rPr>
          <m:t>t</m:t>
        </m:r>
      </m:oMath>
      <w:r>
        <w:t>下公司 i的一阶段排序名次为</w:t>
      </w:r>
      <w:r>
        <w:rPr>
          <w:rFonts w:hint="eastAsia"/>
          <w:lang w:val="en-US" w:eastAsia="zh-CN"/>
        </w:rPr>
        <w:t xml:space="preserve"> </w:t>
      </w:r>
      <m:oMath>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t>，</w:t>
      </w:r>
      <m:oMath>
        <m:sSub>
          <m:sSubPr>
            <m:ctrlPr>
              <w:rPr>
                <w:rFonts w:hint="default" w:ascii="Cambria Math" w:hAnsi="Cambria Math" w:eastAsia="宋体"/>
                <w:sz w:val="21"/>
              </w:rPr>
            </m:ctrlPr>
          </m:sSubPr>
          <m:e>
            <m:r>
              <m:rPr/>
              <w:rPr>
                <w:rFonts w:hint="default" w:ascii="Cambria Math" w:hAnsi="Cambria Math" w:eastAsia="宋体"/>
                <w:sz w:val="21"/>
              </w:rPr>
              <m:t>I</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t>表示预测时点</w:t>
      </w:r>
      <m:oMath>
        <m:r>
          <m:rPr/>
          <w:rPr>
            <w:rFonts w:hint="default" w:ascii="Cambria Math"/>
          </w:rPr>
          <m:t>t</m:t>
        </m:r>
      </m:oMath>
      <w:r>
        <w:t xml:space="preserve">的公司—季度样本集合。高置信保护区 </w:t>
      </w:r>
      <m:oMath>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t>与边界候选区</w:t>
      </w:r>
      <m:oMath>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t>的定义如下：</w:t>
      </w:r>
    </w:p>
    <w:tbl>
      <w:tblPr>
        <w:tblStyle w:val="27"/>
        <w:tblW w:w="4998" w:type="pct"/>
        <w:jc w:val="center"/>
        <w:tblLayout w:type="autofit"/>
        <w:tblCellMar>
          <w:top w:w="0" w:type="dxa"/>
          <w:left w:w="108" w:type="dxa"/>
          <w:bottom w:w="0" w:type="dxa"/>
          <w:right w:w="108" w:type="dxa"/>
        </w:tblCellMar>
      </w:tblPr>
      <w:tblGrid>
        <w:gridCol w:w="1832"/>
        <w:gridCol w:w="5610"/>
        <w:gridCol w:w="1077"/>
      </w:tblGrid>
      <w:tr w14:paraId="3D2C81C1">
        <w:tblPrEx>
          <w:tblCellMar>
            <w:top w:w="0" w:type="dxa"/>
            <w:left w:w="108" w:type="dxa"/>
            <w:bottom w:w="0" w:type="dxa"/>
            <w:right w:w="108" w:type="dxa"/>
          </w:tblCellMar>
        </w:tblPrEx>
        <w:trPr>
          <w:jc w:val="center"/>
        </w:trPr>
        <w:tc>
          <w:tcPr>
            <w:tcW w:w="1075" w:type="pct"/>
            <w:vAlign w:val="center"/>
          </w:tcPr>
          <w:p w14:paraId="741D3631">
            <w:pPr>
              <w:spacing w:after="62"/>
            </w:pPr>
          </w:p>
        </w:tc>
        <w:tc>
          <w:tcPr>
            <w:tcW w:w="3292" w:type="pct"/>
            <w:vAlign w:val="center"/>
          </w:tcPr>
          <w:p w14:paraId="0C66FB7D">
            <w:pPr>
              <w:spacing w:after="62"/>
              <w:ind w:firstLine="1260" w:firstLineChars="600"/>
              <w:rPr>
                <w:rFonts w:hint="eastAsia" w:hAnsi="Cambria Math" w:eastAsia="宋体" w:cstheme="minorBidi"/>
                <w:i w:val="0"/>
                <w:kern w:val="2"/>
                <w:sz w:val="21"/>
                <w:szCs w:val="24"/>
                <w:lang w:val="en-US" w:eastAsia="zh-CN" w:bidi="ar-SA"/>
              </w:rPr>
            </w:pPr>
            <m:oMathPara>
              <m:oMathParaPr>
                <m:jc m:val="left"/>
              </m:oMathParaPr>
              <m:oMath>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I</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I</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&lt;</m:t>
                </m:r>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m:t>
                </m:r>
              </m:oMath>
            </m:oMathPara>
          </w:p>
        </w:tc>
        <w:tc>
          <w:tcPr>
            <w:tcW w:w="632" w:type="pct"/>
            <w:vAlign w:val="center"/>
          </w:tcPr>
          <w:p w14:paraId="29D4B218">
            <w:pPr>
              <w:spacing w:after="62"/>
              <w:ind w:left="0" w:leftChars="0" w:firstLine="0" w:firstLineChars="0"/>
              <w:jc w:val="right"/>
            </w:pPr>
            <w:r>
              <w:t>(</w:t>
            </w:r>
            <w:r>
              <w:rPr>
                <w:rFonts w:hint="eastAsia"/>
                <w:lang w:val="en-US" w:eastAsia="zh-CN"/>
              </w:rPr>
              <w:t>2</w:t>
            </w:r>
            <w:r>
              <w:t>)</w:t>
            </w:r>
          </w:p>
        </w:tc>
      </w:tr>
    </w:tbl>
    <w:p w14:paraId="6F83E355">
      <w:pPr>
        <w:spacing w:after="62"/>
        <w:ind w:left="0" w:leftChars="0" w:firstLine="420" w:firstLineChars="200"/>
      </w:pPr>
      <w:r>
        <w:t>基于验证集调优与实验配置，本文设定</w:t>
      </w:r>
      <w:r>
        <w:rPr>
          <w:rFonts w:hint="eastAsia"/>
          <w:lang w:val="en-US" w:eastAsia="zh-CN"/>
        </w:rPr>
        <w:t xml:space="preserve"> </w:t>
      </w:r>
      <m:oMath>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oMath>
      <w:r>
        <w:t>=100，</w:t>
      </w:r>
      <m:oMath>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oMath>
      <w:r>
        <w:t>=1500，即每个季度预测截面内，前 100 名作为高置信保护区，第 101 至 1500 名作为边界候选区。上述候选区间同样基于验证集表现确定，未使用测试集信息。高置信保护区锁定主排序器已识别出的头部高风险企业，避免二阶段重排序对其产生过度扰动；边界候选区则聚焦于关键预警名单附近、排序不确定性较高的临界样本，是模型优化的重点区域。</w:t>
      </w:r>
    </w:p>
    <w:p w14:paraId="0C29F9BB">
      <w:pPr>
        <w:spacing w:after="62"/>
      </w:pPr>
      <w:r>
        <w:t xml:space="preserve">对于边界候选区内的样本，模型训练二阶段 CatBoost 重排序器进行局部风险再估计，二阶段迭代次数设置为300。二阶段模型的输入特征由两部分构成：一是原始数值型结构化特征 </w:t>
      </w:r>
      <m:oMath>
        <m:sSub>
          <m:sSubPr>
            <m:ctrlPr>
              <w:rPr>
                <w:rFonts w:hint="default" w:ascii="Cambria Math" w:hAnsi="Cambria Math" w:eastAsia="宋体"/>
                <w:sz w:val="21"/>
              </w:rPr>
            </m:ctrlPr>
          </m:sSubPr>
          <m:e>
            <m:r>
              <m:rPr>
                <m:sty m:val="b"/>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Sub>
      </m:oMath>
      <w:r>
        <w:t xml:space="preserve">；二是一阶段模型生成的排序相关特征，包括一阶段风险得分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t xml:space="preserve">、排序名次 </w:t>
      </w:r>
      <m:oMath>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t xml:space="preserve">及排序百分位 </w:t>
      </w:r>
      <m:oMath>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t xml:space="preserve">等。通过引入一阶段排序信息，二阶段模型能够在原始特征基础上进一步学习边界区域内的局部排序差异。二阶段风险得分 </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t>的生成函数为：</w:t>
      </w:r>
    </w:p>
    <w:tbl>
      <w:tblPr>
        <w:tblStyle w:val="27"/>
        <w:tblW w:w="4998" w:type="pct"/>
        <w:jc w:val="center"/>
        <w:tblLayout w:type="autofit"/>
        <w:tblCellMar>
          <w:top w:w="0" w:type="dxa"/>
          <w:left w:w="108" w:type="dxa"/>
          <w:bottom w:w="0" w:type="dxa"/>
          <w:right w:w="108" w:type="dxa"/>
        </w:tblCellMar>
      </w:tblPr>
      <w:tblGrid>
        <w:gridCol w:w="1832"/>
        <w:gridCol w:w="5610"/>
        <w:gridCol w:w="1077"/>
      </w:tblGrid>
      <w:tr w14:paraId="7CCC679B">
        <w:tblPrEx>
          <w:tblCellMar>
            <w:top w:w="0" w:type="dxa"/>
            <w:left w:w="108" w:type="dxa"/>
            <w:bottom w:w="0" w:type="dxa"/>
            <w:right w:w="108" w:type="dxa"/>
          </w:tblCellMar>
        </w:tblPrEx>
        <w:trPr>
          <w:jc w:val="center"/>
        </w:trPr>
        <w:tc>
          <w:tcPr>
            <w:tcW w:w="1075" w:type="pct"/>
            <w:vAlign w:val="center"/>
          </w:tcPr>
          <w:p w14:paraId="2D8CA421">
            <w:pPr>
              <w:spacing w:after="62"/>
            </w:pPr>
          </w:p>
        </w:tc>
        <w:tc>
          <w:tcPr>
            <w:tcW w:w="3292" w:type="pct"/>
            <w:vAlign w:val="center"/>
          </w:tcPr>
          <w:p w14:paraId="5C575773">
            <w:pPr>
              <w:spacing w:after="62"/>
              <w:ind w:firstLine="1260" w:firstLineChars="600"/>
              <w:rPr>
                <w:rFonts w:hint="eastAsia" w:hAnsi="Cambria Math" w:eastAsia="宋体" w:cstheme="minorBidi"/>
                <w:i w:val="0"/>
                <w:kern w:val="2"/>
                <w:sz w:val="21"/>
                <w:szCs w:val="24"/>
                <w:lang w:val="en-US" w:eastAsia="zh-CN" w:bidi="ar-SA"/>
              </w:rPr>
            </w:pPr>
            <m:oMathPara>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(2)</m:t>
                    </m:r>
                    <m:ctrlPr>
                      <w:rPr>
                        <w:rFonts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ty m:val="b"/>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), i∈</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m:oMathPara>
          </w:p>
        </w:tc>
        <w:tc>
          <w:tcPr>
            <w:tcW w:w="632" w:type="pct"/>
            <w:vAlign w:val="center"/>
          </w:tcPr>
          <w:p w14:paraId="50E3E6CF">
            <w:pPr>
              <w:spacing w:after="62"/>
              <w:ind w:left="0" w:leftChars="0" w:firstLine="0" w:firstLineChars="0"/>
              <w:jc w:val="right"/>
            </w:pPr>
            <w:r>
              <w:t>(</w:t>
            </w:r>
            <w:r>
              <w:rPr>
                <w:rFonts w:hint="eastAsia"/>
                <w:lang w:val="en-US" w:eastAsia="zh-CN"/>
              </w:rPr>
              <w:t>3</w:t>
            </w:r>
            <w:r>
              <w:t>)</w:t>
            </w:r>
          </w:p>
        </w:tc>
      </w:tr>
    </w:tbl>
    <w:p w14:paraId="4E338A68">
      <w:pPr>
        <w:spacing w:after="62"/>
      </w:pPr>
      <w:r>
        <w:rPr>
          <w:lang w:val="en-US" w:eastAsia="zh-CN"/>
        </w:rPr>
        <w:t>其中，</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m:sty m:val="b"/>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m:t>
        </m:r>
      </m:oMath>
      <w:r>
        <w:rPr>
          <w:lang w:val="en-US" w:eastAsia="zh-CN"/>
        </w:rPr>
        <w:t>表示二阶段 CatBoost 重排序器，</w:t>
      </w:r>
      <m:oMath>
        <m:sSubSup>
          <m:sSubSupPr>
            <m:ctrlPr>
              <w:rPr>
                <w:rFonts w:hint="default" w:ascii="Cambria Math" w:hAnsi="Cambria Math" w:eastAsia="宋体"/>
                <w:sz w:val="21"/>
              </w:rPr>
            </m:ctrlPr>
          </m:sSubSup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oMath>
      <w:r>
        <w:rPr>
          <w:lang w:val="en-US" w:eastAsia="zh-CN"/>
        </w:rPr>
        <w:t>表示样本在一阶段排序中的百分位位置。</w:t>
      </w:r>
    </w:p>
    <w:p w14:paraId="6153D7C4">
      <w:pPr>
        <w:spacing w:after="62"/>
        <w:ind w:left="0" w:leftChars="0" w:firstLine="420" w:firstLineChars="200"/>
        <w:rPr>
          <w:lang w:val="en-US" w:eastAsia="zh-CN"/>
        </w:rPr>
      </w:pPr>
      <w:r>
        <w:rPr>
          <w:lang w:val="en-US" w:eastAsia="zh-CN"/>
        </w:rPr>
        <w:t xml:space="preserve">最终风险得分 </w:t>
      </w:r>
      <m:oMath>
        <m:sSub>
          <m:sSubPr>
            <m:ctrlPr>
              <w:rPr>
                <w:rFonts w:hint="default" w:ascii="Cambria Math" w:hAnsi="Cambria Math" w:eastAsia="宋体"/>
                <w:sz w:val="21"/>
              </w:rPr>
            </m:ctrlPr>
          </m:sSubPr>
          <m:e>
            <m:acc>
              <m:accPr>
                <m:ctrlPr>
                  <w:rPr>
                    <w:rFonts w:hint="default" w:ascii="Cambria Math" w:hAnsi="Cambria Math" w:eastAsia="宋体"/>
                    <w:sz w:val="21"/>
                  </w:rPr>
                </m:ctrlPr>
              </m:accPr>
              <m:e>
                <m:r>
                  <m:rPr/>
                  <w:rPr>
                    <w:rFonts w:hint="default" w:ascii="Cambria Math" w:hAnsi="Cambria Math" w:eastAsia="宋体"/>
                    <w:sz w:val="21"/>
                  </w:rPr>
                  <m:t>s</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i,t</m:t>
            </m:r>
            <m:ctrlPr>
              <w:rPr>
                <w:rFonts w:hint="default" w:ascii="Cambria Math" w:hAnsi="Cambria Math" w:eastAsia="宋体"/>
                <w:sz w:val="21"/>
              </w:rPr>
            </m:ctrlPr>
          </m:sub>
        </m:sSub>
      </m:oMath>
      <w:r>
        <w:rPr>
          <w:lang w:val="en-US" w:eastAsia="zh-CN"/>
        </w:rPr>
        <w:t>由以下分段函数确定：</w:t>
      </w:r>
    </w:p>
    <w:tbl>
      <w:tblPr>
        <w:tblStyle w:val="27"/>
        <w:tblW w:w="4998" w:type="pct"/>
        <w:jc w:val="center"/>
        <w:tblLayout w:type="autofit"/>
        <w:tblCellMar>
          <w:top w:w="0" w:type="dxa"/>
          <w:left w:w="108" w:type="dxa"/>
          <w:bottom w:w="0" w:type="dxa"/>
          <w:right w:w="108" w:type="dxa"/>
        </w:tblCellMar>
      </w:tblPr>
      <w:tblGrid>
        <w:gridCol w:w="1832"/>
        <w:gridCol w:w="5610"/>
        <w:gridCol w:w="1077"/>
      </w:tblGrid>
      <w:tr w14:paraId="7BEE44A6">
        <w:tblPrEx>
          <w:tblCellMar>
            <w:top w:w="0" w:type="dxa"/>
            <w:left w:w="108" w:type="dxa"/>
            <w:bottom w:w="0" w:type="dxa"/>
            <w:right w:w="108" w:type="dxa"/>
          </w:tblCellMar>
        </w:tblPrEx>
        <w:trPr>
          <w:jc w:val="center"/>
        </w:trPr>
        <w:tc>
          <w:tcPr>
            <w:tcW w:w="1075" w:type="pct"/>
            <w:vAlign w:val="center"/>
          </w:tcPr>
          <w:p w14:paraId="614BAC9A">
            <w:pPr>
              <w:spacing w:after="62"/>
            </w:pPr>
          </w:p>
        </w:tc>
        <w:tc>
          <w:tcPr>
            <w:tcW w:w="3292" w:type="pct"/>
            <w:vAlign w:val="center"/>
          </w:tcPr>
          <w:p w14:paraId="2F893E09">
            <w:pPr>
              <w:spacing w:after="62"/>
              <w:ind w:firstLine="1260" w:firstLineChars="600"/>
              <w:rPr>
                <w:rFonts w:hint="eastAsia" w:hAnsi="Cambria Math" w:eastAsia="宋体" w:cstheme="minorBidi"/>
                <w:i w:val="0"/>
                <w:kern w:val="2"/>
                <w:sz w:val="21"/>
                <w:szCs w:val="24"/>
                <w:lang w:val="en-US" w:eastAsia="zh-CN" w:bidi="ar-SA"/>
              </w:rPr>
            </w:pPr>
            <m:oMathPara>
              <m:oMath>
                <m:sSub>
                  <m:sSubPr>
                    <m:ctrlPr>
                      <w:rPr>
                        <w:rFonts w:hint="default" w:ascii="Cambria Math" w:hAnsi="Cambria Math" w:eastAsia="宋体"/>
                        <w:sz w:val="21"/>
                      </w:rPr>
                    </m:ctrlPr>
                  </m:sSubPr>
                  <m:e>
                    <m:acc>
                      <m:accPr>
                        <m:ctrlPr>
                          <w:rPr>
                            <w:rFonts w:hint="default" w:ascii="Cambria Math" w:hAnsi="Cambria Math" w:eastAsia="宋体"/>
                            <w:sz w:val="21"/>
                          </w:rPr>
                        </m:ctrlPr>
                      </m:accPr>
                      <m:e>
                        <m:r>
                          <m:rPr/>
                          <w:rPr>
                            <w:rFonts w:hint="default" w:ascii="Cambria Math" w:hAnsi="Cambria Math" w:eastAsia="宋体"/>
                            <w:sz w:val="21"/>
                          </w:rPr>
                          <m:t>s</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i,t</m:t>
                    </m:r>
                    <m:ctrlPr>
                      <w:rPr>
                        <w:rFonts w:hint="default" w:ascii="Cambria Math" w:hAnsi="Cambria Math" w:eastAsia="宋体"/>
                        <w:sz w:val="21"/>
                      </w:rPr>
                    </m:ctrlPr>
                  </m:sub>
                </m:sSub>
                <m:r>
                  <m:rPr/>
                  <w:rPr>
                    <w:rFonts w:hint="default" w:ascii="Cambria Math" w:hAnsi="Cambria Math" w:eastAsia="宋体"/>
                    <w:sz w:val="21"/>
                  </w:rPr>
                  <m:t>=</m:t>
                </m:r>
                <m:d>
                  <m:dPr>
                    <m:begChr m:val="{"/>
                    <m:endChr m:val=""/>
                    <m:ctrlPr>
                      <w:rPr>
                        <w:rFonts w:hint="default" w:ascii="Cambria Math" w:hAnsi="Cambria Math" w:eastAsia="宋体"/>
                        <w:sz w:val="21"/>
                      </w:rPr>
                    </m:ctrlPr>
                  </m:dPr>
                  <m:e>
                    <m:eqArr>
                      <m:eqArrPr>
                        <m:ctrlPr>
                          <w:rPr>
                            <w:rFonts w:hint="default" w:ascii="Cambria Math" w:hAnsi="Cambria Math" w:eastAsia="宋体"/>
                            <w:sz w:val="21"/>
                          </w:rPr>
                        </m:ctrlPr>
                      </m:eqArrPr>
                      <m:e>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e>
                      <m:e>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(2)</m:t>
                            </m:r>
                            <m:ctrlPr>
                              <w:rPr>
                                <w:rFonts w:ascii="Cambria Math" w:hAnsi="Cambria Math" w:eastAsia="宋体"/>
                                <w:sz w:val="21"/>
                              </w:rPr>
                            </m:ctrlPr>
                          </m:sup>
                        </m:sSubSup>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e>
                      <m:e>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i,t</m:t>
                            </m:r>
                            <m:ctrlPr>
                              <w:rPr>
                                <w:rFonts w:ascii="Cambria Math" w:hAnsi="Cambria Math" w:eastAsia="宋体"/>
                                <w:sz w:val="21"/>
                              </w:rPr>
                            </m:ctrlPr>
                          </m:sub>
                          <m:sup>
                            <m:r>
                              <m:rPr/>
                              <w:rPr>
                                <w:rFonts w:hint="default" w:ascii="Cambria Math" w:hAnsi="Cambria Math" w:eastAsia="宋体"/>
                                <w:sz w:val="21"/>
                              </w:rPr>
                              <m:t>(1)</m:t>
                            </m:r>
                            <m:ctrlPr>
                              <w:rPr>
                                <w:rFonts w:ascii="Cambria Math" w:hAnsi="Cambria Math" w:eastAsia="宋体"/>
                                <w:sz w:val="21"/>
                              </w:rPr>
                            </m:ctrlPr>
                          </m:sup>
                        </m:sSubSup>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e>
                    </m:eqArr>
                    <m:ctrlPr>
                      <w:rPr>
                        <w:rFonts w:hint="default" w:ascii="Cambria Math" w:hAnsi="Cambria Math" w:eastAsia="宋体"/>
                        <w:sz w:val="21"/>
                      </w:rPr>
                    </m:ctrlPr>
                  </m:e>
                </m:d>
              </m:oMath>
            </m:oMathPara>
          </w:p>
        </w:tc>
        <w:tc>
          <w:tcPr>
            <w:tcW w:w="632" w:type="pct"/>
            <w:vAlign w:val="center"/>
          </w:tcPr>
          <w:p w14:paraId="55494E20">
            <w:pPr>
              <w:spacing w:after="62"/>
              <w:ind w:left="0" w:leftChars="0" w:firstLine="0" w:firstLineChars="0"/>
              <w:jc w:val="right"/>
            </w:pPr>
            <w:r>
              <w:t>(</w:t>
            </w:r>
            <w:r>
              <w:rPr>
                <w:rFonts w:hint="eastAsia"/>
                <w:lang w:val="en-US" w:eastAsia="zh-CN"/>
              </w:rPr>
              <w:t>4</w:t>
            </w:r>
            <w:r>
              <w:t>)</w:t>
            </w:r>
          </w:p>
        </w:tc>
      </w:tr>
    </w:tbl>
    <w:p w14:paraId="5C2ED008">
      <w:pPr>
        <w:spacing w:after="62"/>
        <w:ind w:left="0" w:leftChars="0" w:firstLine="420" w:firstLineChars="200"/>
      </w:pPr>
      <w:r>
        <w:t>该机制并非对一阶段与二阶段得分进行全样本加权融合，而是仅在边界候选区内进行局部重排序修正，在候选区外保持一阶段排序结果不变。这种设计使二阶段模型仅作用于排序不确定性较高的局部区域，避免全量重排序对高置信头部样本造成扰动，同时确保低风险尾部样本不参与二阶段修正，从而将模型学习能力集中于最可能影响 Top-K 预警名单质量的临界样本。</w:t>
      </w:r>
    </w:p>
    <w:p w14:paraId="51CA9CCE">
      <w:pPr>
        <w:spacing w:after="62"/>
        <w:rPr>
          <w:rFonts w:ascii="宋体" w:hAnsi="宋体"/>
        </w:rPr>
      </w:pPr>
      <w:r>
        <w:t xml:space="preserve">从机制上看，CBRM 可概括为头部保护、边界细分、尾部降噪。高置信保护区 </w:t>
      </w:r>
      <m:oMath>
        <m:sSub>
          <m:sSubPr>
            <m:ctrlPr>
              <w:rPr>
                <w:rFonts w:hint="default" w:ascii="Cambria Math" w:hAnsi="Cambria Math" w:eastAsia="宋体"/>
              </w:rPr>
            </m:ctrlPr>
          </m:sSubPr>
          <m:e>
            <m:r>
              <m:rPr/>
              <w:rPr>
                <w:rFonts w:hint="default" w:ascii="Cambria Math" w:hAnsi="Cambria Math" w:eastAsia="宋体"/>
              </w:rPr>
              <m:t>H</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oMath>
      <w:r>
        <w:t xml:space="preserve">对应风险管理中的优先级逻辑，保障主排序器已识别出的头部高风险企业不被二阶段模型过度扰动；边界候选区 </w:t>
      </w:r>
      <m:oMath>
        <m:sSub>
          <m:sSubPr>
            <m:ctrlPr>
              <w:rPr>
                <w:rFonts w:hint="default" w:ascii="Cambria Math" w:hAnsi="Cambria Math" w:eastAsia="宋体"/>
              </w:rPr>
            </m:ctrlPr>
          </m:sSubPr>
          <m:e>
            <m:r>
              <m:rPr/>
              <w:rPr>
                <w:rFonts w:hint="default" w:ascii="Cambria Math" w:hAnsi="Cambria Math" w:eastAsia="宋体"/>
              </w:rPr>
              <m:t>B</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oMath>
      <w:r>
        <w:t>对应临界风险挖掘逻辑，将二阶段模型的学习能力集中于排名第 101 至第 1500 位的临界样本；尾部保留机制则体现有限审查资源下的效率原则，避免低风险样本噪声稀释模型对关键边界样本的学习能力。因此，本文的级联机制将模型优化重点从全样本分类表现转向有限审查资源约束下的风险排序质量，有助于提升财务困境风险识别和高风险企业筛查的实用价值。</w:t>
      </w:r>
    </w:p>
    <w:p w14:paraId="7128B039">
      <w:pPr>
        <w:pStyle w:val="2"/>
        <w:bidi w:val="0"/>
        <w:rPr>
          <w:rFonts w:hint="eastAsia"/>
        </w:rPr>
      </w:pPr>
      <w:r>
        <w:t>实证分析与结果</w:t>
      </w:r>
    </w:p>
    <w:p w14:paraId="627A7ECC">
      <w:pPr>
        <w:pStyle w:val="3"/>
        <w:bidi w:val="0"/>
        <w:rPr>
          <w:rFonts w:hint="eastAsia"/>
        </w:rPr>
      </w:pPr>
      <w:r>
        <w:t>4.1</w:t>
      </w:r>
      <w:r>
        <w:rPr>
          <w:rFonts w:hint="eastAsia"/>
        </w:rPr>
        <w:t xml:space="preserve"> 样本分布与实验设置</w:t>
      </w:r>
    </w:p>
    <w:p w14:paraId="24D2204E">
      <w:pPr>
        <w:spacing w:after="62"/>
        <w:rPr>
          <w:lang w:val="en-US" w:eastAsia="zh-CN"/>
        </w:rPr>
      </w:pPr>
      <w:r>
        <w:rPr>
          <w:lang w:val="en-US" w:eastAsia="zh-CN"/>
        </w:rPr>
        <w:t>鉴于中国资本市场中财务困境事件（</w:t>
      </w:r>
      <w:r>
        <w:rPr>
          <w:rFonts w:hint="eastAsia"/>
          <w:lang w:val="en-US" w:eastAsia="zh-CN"/>
        </w:rPr>
        <w:t>ST/*ST</w:t>
      </w:r>
      <w:r>
        <w:rPr>
          <w:lang w:val="en-US" w:eastAsia="zh-CN"/>
        </w:rPr>
        <w:t xml:space="preserve">）具有显著的稀有性与类别不平衡特征，传统分类准确率（Accuracy）在此场景下存在明显的评估偏误。因此，本文构建以 PR-AUC​ 与 Top-K 指标为核心、ROC-AUC、F1-score 与 </w:t>
      </w:r>
      <w:r>
        <w:rPr>
          <w:rFonts w:hint="eastAsia"/>
          <w:lang w:val="en-US" w:eastAsia="zh-CN"/>
        </w:rPr>
        <w:t>MCC</w:t>
      </w:r>
      <w:r>
        <w:rPr>
          <w:lang w:val="en-US" w:eastAsia="zh-CN"/>
        </w:rPr>
        <w:t xml:space="preserve"> 为辅助的分层评价体系（见表 4-1），重点衡量模型在有限审查资源下的高风险识别能力。</w:t>
      </w:r>
    </w:p>
    <w:p w14:paraId="75180CD2">
      <w:pPr>
        <w:pStyle w:val="7"/>
        <w:bidi w:val="0"/>
        <w:rPr>
          <w:rFonts w:hint="eastAsia"/>
        </w:rPr>
      </w:pPr>
      <w:r>
        <w:rPr>
          <w:rFonts w:hint="eastAsia"/>
          <w:lang w:val="en-US" w:eastAsia="zh-CN"/>
        </w:rPr>
        <w:t>表 4-1 分层评价体系表</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9"/>
        <w:gridCol w:w="2840"/>
        <w:gridCol w:w="2840"/>
      </w:tblGrid>
      <w:tr w14:paraId="2298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tcBorders>
              <w:top w:val="single" w:color="000000" w:themeColor="text1" w:sz="12" w:space="0"/>
              <w:left w:val="nil"/>
              <w:bottom w:val="single" w:color="000000" w:themeColor="text1" w:sz="4" w:space="0"/>
              <w:right w:val="nil"/>
            </w:tcBorders>
            <w:vAlign w:val="center"/>
          </w:tcPr>
          <w:p w14:paraId="4D202994">
            <w:pPr>
              <w:keepNext w:val="0"/>
              <w:keepLines w:val="0"/>
              <w:widowControl/>
              <w:suppressLineNumbers w:val="0"/>
              <w:ind w:left="0" w:leftChars="0" w:firstLine="301" w:firstLineChars="200"/>
              <w:jc w:val="center"/>
              <w:textAlignment w:val="center"/>
              <w:rPr>
                <w:rFonts w:hint="eastAsia"/>
                <w:sz w:val="15"/>
                <w:szCs w:val="15"/>
                <w:vertAlign w:val="baseline"/>
              </w:rPr>
            </w:pPr>
            <w:r>
              <w:rPr>
                <w:rFonts w:hint="eastAsia" w:ascii="宋体" w:hAnsi="宋体" w:eastAsia="宋体" w:cs="宋体"/>
                <w:b/>
                <w:bCs/>
                <w:i w:val="0"/>
                <w:iCs w:val="0"/>
                <w:color w:val="000000"/>
                <w:kern w:val="0"/>
                <w:sz w:val="15"/>
                <w:szCs w:val="15"/>
                <w:u w:val="none"/>
                <w:lang w:val="en-US" w:eastAsia="zh-CN" w:bidi="ar"/>
              </w:rPr>
              <w:t>指标维度</w:t>
            </w:r>
          </w:p>
        </w:tc>
        <w:tc>
          <w:tcPr>
            <w:tcW w:w="2840" w:type="dxa"/>
            <w:tcBorders>
              <w:top w:val="single" w:color="000000" w:themeColor="text1" w:sz="12" w:space="0"/>
              <w:left w:val="nil"/>
              <w:bottom w:val="single" w:color="000000" w:themeColor="text1" w:sz="4" w:space="0"/>
              <w:right w:val="nil"/>
            </w:tcBorders>
            <w:vAlign w:val="center"/>
          </w:tcPr>
          <w:p w14:paraId="22FD3C2E">
            <w:pPr>
              <w:keepNext w:val="0"/>
              <w:keepLines w:val="0"/>
              <w:widowControl/>
              <w:suppressLineNumbers w:val="0"/>
              <w:ind w:left="0" w:leftChars="0" w:firstLine="301" w:firstLineChars="200"/>
              <w:jc w:val="center"/>
              <w:textAlignment w:val="center"/>
              <w:rPr>
                <w:rFonts w:hint="eastAsia"/>
                <w:sz w:val="15"/>
                <w:szCs w:val="15"/>
                <w:vertAlign w:val="baseline"/>
              </w:rPr>
            </w:pPr>
            <w:r>
              <w:rPr>
                <w:rFonts w:hint="eastAsia" w:ascii="宋体" w:hAnsi="宋体" w:eastAsia="宋体" w:cs="宋体"/>
                <w:b/>
                <w:bCs/>
                <w:i w:val="0"/>
                <w:iCs w:val="0"/>
                <w:color w:val="000000"/>
                <w:kern w:val="0"/>
                <w:sz w:val="15"/>
                <w:szCs w:val="15"/>
                <w:u w:val="none"/>
                <w:lang w:val="en-US" w:eastAsia="zh-CN" w:bidi="ar"/>
              </w:rPr>
              <w:t>本文采用指标</w:t>
            </w:r>
          </w:p>
        </w:tc>
        <w:tc>
          <w:tcPr>
            <w:tcW w:w="2840" w:type="dxa"/>
            <w:tcBorders>
              <w:top w:val="single" w:color="000000" w:themeColor="text1" w:sz="12" w:space="0"/>
              <w:left w:val="nil"/>
              <w:bottom w:val="single" w:color="000000" w:themeColor="text1" w:sz="4" w:space="0"/>
              <w:right w:val="nil"/>
            </w:tcBorders>
            <w:vAlign w:val="center"/>
          </w:tcPr>
          <w:p w14:paraId="4FFF7EAC">
            <w:pPr>
              <w:keepNext w:val="0"/>
              <w:keepLines w:val="0"/>
              <w:widowControl/>
              <w:suppressLineNumbers w:val="0"/>
              <w:ind w:left="0" w:leftChars="0" w:firstLine="301" w:firstLineChars="200"/>
              <w:jc w:val="center"/>
              <w:textAlignment w:val="center"/>
              <w:rPr>
                <w:rFonts w:hint="eastAsia"/>
                <w:sz w:val="15"/>
                <w:szCs w:val="15"/>
                <w:vertAlign w:val="baseline"/>
              </w:rPr>
            </w:pPr>
            <w:r>
              <w:rPr>
                <w:rFonts w:hint="eastAsia" w:ascii="宋体" w:hAnsi="宋体" w:eastAsia="宋体" w:cs="宋体"/>
                <w:b/>
                <w:bCs/>
                <w:i w:val="0"/>
                <w:iCs w:val="0"/>
                <w:color w:val="000000"/>
                <w:kern w:val="0"/>
                <w:sz w:val="15"/>
                <w:szCs w:val="15"/>
                <w:u w:val="none"/>
                <w:lang w:val="en-US" w:eastAsia="zh-CN" w:bidi="ar"/>
              </w:rPr>
              <w:t>使用目的</w:t>
            </w:r>
          </w:p>
        </w:tc>
      </w:tr>
      <w:tr w14:paraId="149D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tcBorders>
              <w:top w:val="single" w:color="000000" w:themeColor="text1" w:sz="4" w:space="0"/>
              <w:left w:val="nil"/>
              <w:bottom w:val="nil"/>
              <w:right w:val="nil"/>
            </w:tcBorders>
            <w:vAlign w:val="top"/>
          </w:tcPr>
          <w:p w14:paraId="4E26181D">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少数类识别能力</w:t>
            </w:r>
          </w:p>
        </w:tc>
        <w:tc>
          <w:tcPr>
            <w:tcW w:w="2840" w:type="dxa"/>
            <w:tcBorders>
              <w:top w:val="single" w:color="000000" w:themeColor="text1" w:sz="4" w:space="0"/>
              <w:left w:val="nil"/>
              <w:bottom w:val="nil"/>
              <w:right w:val="nil"/>
            </w:tcBorders>
            <w:vAlign w:val="top"/>
          </w:tcPr>
          <w:p w14:paraId="7E64FEBF">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PR-AUC</w:t>
            </w:r>
          </w:p>
        </w:tc>
        <w:tc>
          <w:tcPr>
            <w:tcW w:w="2840" w:type="dxa"/>
            <w:tcBorders>
              <w:top w:val="single" w:color="000000" w:themeColor="text1" w:sz="4" w:space="0"/>
              <w:left w:val="nil"/>
              <w:bottom w:val="nil"/>
              <w:right w:val="nil"/>
            </w:tcBorders>
            <w:vAlign w:val="top"/>
          </w:tcPr>
          <w:p w14:paraId="174C34A1">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核心指标，衡量模型对稀有困境样本的综合判别能力。</w:t>
            </w:r>
          </w:p>
        </w:tc>
      </w:tr>
      <w:tr w14:paraId="27B0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tcBorders>
              <w:top w:val="nil"/>
              <w:left w:val="nil"/>
              <w:bottom w:val="nil"/>
              <w:right w:val="nil"/>
            </w:tcBorders>
            <w:vAlign w:val="top"/>
          </w:tcPr>
          <w:p w14:paraId="412FD0E9">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高风险排序能力</w:t>
            </w:r>
          </w:p>
        </w:tc>
        <w:tc>
          <w:tcPr>
            <w:tcW w:w="2840" w:type="dxa"/>
            <w:tcBorders>
              <w:top w:val="nil"/>
              <w:left w:val="nil"/>
              <w:bottom w:val="nil"/>
              <w:right w:val="nil"/>
            </w:tcBorders>
            <w:vAlign w:val="top"/>
          </w:tcPr>
          <w:p w14:paraId="5B7E40C0">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Precision@K, Recall@K</w:t>
            </w:r>
          </w:p>
        </w:tc>
        <w:tc>
          <w:tcPr>
            <w:tcW w:w="2840" w:type="dxa"/>
            <w:tcBorders>
              <w:top w:val="nil"/>
              <w:left w:val="nil"/>
              <w:bottom w:val="nil"/>
              <w:right w:val="nil"/>
            </w:tcBorders>
            <w:vAlign w:val="top"/>
          </w:tcPr>
          <w:p w14:paraId="69BBCA23">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核心指标，模拟有限审查资源下的 Top-K 预警场景。</w:t>
            </w:r>
          </w:p>
        </w:tc>
      </w:tr>
      <w:tr w14:paraId="48C0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tcBorders>
              <w:top w:val="nil"/>
              <w:left w:val="nil"/>
              <w:bottom w:val="nil"/>
              <w:right w:val="nil"/>
            </w:tcBorders>
            <w:vAlign w:val="top"/>
          </w:tcPr>
          <w:p w14:paraId="37DF0347">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整体排序能力</w:t>
            </w:r>
          </w:p>
        </w:tc>
        <w:tc>
          <w:tcPr>
            <w:tcW w:w="2840" w:type="dxa"/>
            <w:tcBorders>
              <w:top w:val="nil"/>
              <w:left w:val="nil"/>
              <w:bottom w:val="nil"/>
              <w:right w:val="nil"/>
            </w:tcBorders>
            <w:vAlign w:val="top"/>
          </w:tcPr>
          <w:p w14:paraId="5E757E10">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ROC-AUC</w:t>
            </w:r>
          </w:p>
        </w:tc>
        <w:tc>
          <w:tcPr>
            <w:tcW w:w="2840" w:type="dxa"/>
            <w:tcBorders>
              <w:top w:val="nil"/>
              <w:left w:val="nil"/>
              <w:bottom w:val="nil"/>
              <w:right w:val="nil"/>
            </w:tcBorders>
            <w:vAlign w:val="top"/>
          </w:tcPr>
          <w:p w14:paraId="54A0D4B3">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检验模型对正负样本全局排序力。</w:t>
            </w:r>
          </w:p>
        </w:tc>
      </w:tr>
      <w:tr w14:paraId="4D97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9" w:type="dxa"/>
            <w:tcBorders>
              <w:top w:val="nil"/>
              <w:left w:val="nil"/>
              <w:bottom w:val="single" w:color="000000" w:themeColor="text1" w:sz="12" w:space="0"/>
              <w:right w:val="nil"/>
            </w:tcBorders>
            <w:vAlign w:val="top"/>
          </w:tcPr>
          <w:p w14:paraId="4909E64D">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阈值分类表现</w:t>
            </w:r>
          </w:p>
        </w:tc>
        <w:tc>
          <w:tcPr>
            <w:tcW w:w="2840" w:type="dxa"/>
            <w:tcBorders>
              <w:top w:val="nil"/>
              <w:left w:val="nil"/>
              <w:bottom w:val="single" w:color="000000" w:themeColor="text1" w:sz="12" w:space="0"/>
              <w:right w:val="nil"/>
            </w:tcBorders>
            <w:vAlign w:val="top"/>
          </w:tcPr>
          <w:p w14:paraId="33C4B4B4">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F1-score, MCC</w:t>
            </w:r>
          </w:p>
        </w:tc>
        <w:tc>
          <w:tcPr>
            <w:tcW w:w="2840" w:type="dxa"/>
            <w:tcBorders>
              <w:top w:val="nil"/>
              <w:left w:val="nil"/>
              <w:bottom w:val="single" w:color="000000" w:themeColor="text1" w:sz="12" w:space="0"/>
              <w:right w:val="nil"/>
            </w:tcBorders>
            <w:vAlign w:val="top"/>
          </w:tcPr>
          <w:p w14:paraId="0FE85263">
            <w:pPr>
              <w:keepNext w:val="0"/>
              <w:keepLines w:val="0"/>
              <w:widowControl/>
              <w:suppressLineNumbers w:val="0"/>
              <w:ind w:left="0" w:leftChars="0" w:firstLine="300" w:firstLineChars="200"/>
              <w:jc w:val="center"/>
              <w:textAlignment w:val="top"/>
              <w:rPr>
                <w:rFonts w:hint="eastAsia"/>
                <w:sz w:val="15"/>
                <w:szCs w:val="15"/>
                <w:vertAlign w:val="baseline"/>
              </w:rPr>
            </w:pPr>
            <w:r>
              <w:rPr>
                <w:rFonts w:hint="eastAsia" w:ascii="宋体" w:hAnsi="宋体" w:eastAsia="宋体" w:cs="宋体"/>
                <w:i w:val="0"/>
                <w:iCs w:val="0"/>
                <w:color w:val="000000"/>
                <w:kern w:val="0"/>
                <w:sz w:val="15"/>
                <w:szCs w:val="15"/>
                <w:u w:val="none"/>
                <w:lang w:val="en-US" w:eastAsia="zh-CN" w:bidi="ar"/>
              </w:rPr>
              <w:t>评估特定阈值下的分类均衡性与一致性。</w:t>
            </w:r>
          </w:p>
        </w:tc>
      </w:tr>
    </w:tbl>
    <w:p w14:paraId="3E634B89">
      <w:pPr>
        <w:rPr>
          <w:rFonts w:hint="eastAsia"/>
        </w:rPr>
      </w:pPr>
    </w:p>
    <w:p w14:paraId="280C7F87">
      <w:pPr>
        <w:rPr>
          <w:rFonts w:hint="eastAsia"/>
        </w:rPr>
      </w:pPr>
      <w:r>
        <w:rPr>
          <w:rFonts w:hint="eastAsia"/>
        </w:rPr>
        <w:t>表 4-2 报告了实验样本的具体分布情况。训练集、验证集与测试集严格遵循时间序列划分原则，以避免未来信息泄露。由表可知，验证集与测试集的正样本比例仅为 4.35% 和 4.95%，呈现出严重的类别不平衡特征。在此背景下，Accuracy 指标将严重失效，这也印证了本文采用 PR-AUC 与 Top-K 指标体系的必要性。</w:t>
      </w:r>
    </w:p>
    <w:p w14:paraId="7C804E7A">
      <w:pPr>
        <w:pStyle w:val="7"/>
        <w:bidi w:val="0"/>
        <w:rPr>
          <w:rFonts w:hint="eastAsia"/>
          <w:lang w:val="en-US" w:eastAsia="zh-CN"/>
        </w:rPr>
      </w:pPr>
      <w:r>
        <w:rPr>
          <w:rFonts w:hint="eastAsia"/>
          <w:lang w:val="en-US" w:eastAsia="zh-CN"/>
        </w:rPr>
        <w:t>表 4-2 样本划分与类别分布</w:t>
      </w:r>
    </w:p>
    <w:tbl>
      <w:tblPr>
        <w:tblStyle w:val="27"/>
        <w:tblW w:w="0" w:type="auto"/>
        <w:jc w:val="center"/>
        <w:tblLayout w:type="autofit"/>
        <w:tblCellMar>
          <w:top w:w="0" w:type="dxa"/>
          <w:left w:w="108" w:type="dxa"/>
          <w:bottom w:w="0" w:type="dxa"/>
          <w:right w:w="108" w:type="dxa"/>
        </w:tblCellMar>
      </w:tblPr>
      <w:tblGrid>
        <w:gridCol w:w="1408"/>
        <w:gridCol w:w="1438"/>
        <w:gridCol w:w="1422"/>
        <w:gridCol w:w="1416"/>
        <w:gridCol w:w="1422"/>
        <w:gridCol w:w="1416"/>
      </w:tblGrid>
      <w:tr w14:paraId="21A2976A">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vAlign w:val="center"/>
          </w:tcPr>
          <w:p w14:paraId="614F9754">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数据集</w:t>
            </w:r>
          </w:p>
        </w:tc>
        <w:tc>
          <w:tcPr>
            <w:tcW w:w="1440" w:type="dxa"/>
            <w:tcBorders>
              <w:top w:val="single" w:color="000000" w:sz="12" w:space="0"/>
              <w:left w:val="nil"/>
              <w:bottom w:val="single" w:color="000000" w:sz="8" w:space="0"/>
              <w:right w:val="nil"/>
            </w:tcBorders>
            <w:vAlign w:val="center"/>
          </w:tcPr>
          <w:p w14:paraId="456D58D7">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时间范围</w:t>
            </w:r>
          </w:p>
        </w:tc>
        <w:tc>
          <w:tcPr>
            <w:tcW w:w="1440" w:type="dxa"/>
            <w:tcBorders>
              <w:top w:val="single" w:color="000000" w:sz="12" w:space="0"/>
              <w:left w:val="nil"/>
              <w:bottom w:val="single" w:color="000000" w:sz="8" w:space="0"/>
              <w:right w:val="nil"/>
            </w:tcBorders>
            <w:vAlign w:val="center"/>
          </w:tcPr>
          <w:p w14:paraId="0EF61C75">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样本数</w:t>
            </w:r>
          </w:p>
        </w:tc>
        <w:tc>
          <w:tcPr>
            <w:tcW w:w="1440" w:type="dxa"/>
            <w:tcBorders>
              <w:top w:val="single" w:color="000000" w:sz="12" w:space="0"/>
              <w:left w:val="nil"/>
              <w:bottom w:val="single" w:color="000000" w:sz="8" w:space="0"/>
              <w:right w:val="nil"/>
            </w:tcBorders>
            <w:vAlign w:val="center"/>
          </w:tcPr>
          <w:p w14:paraId="12AE5AA5">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正样本数</w:t>
            </w:r>
          </w:p>
        </w:tc>
        <w:tc>
          <w:tcPr>
            <w:tcW w:w="1440" w:type="dxa"/>
            <w:tcBorders>
              <w:top w:val="single" w:color="000000" w:sz="12" w:space="0"/>
              <w:left w:val="nil"/>
              <w:bottom w:val="single" w:color="000000" w:sz="8" w:space="0"/>
              <w:right w:val="nil"/>
            </w:tcBorders>
            <w:vAlign w:val="center"/>
          </w:tcPr>
          <w:p w14:paraId="45D830E0">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负样本数</w:t>
            </w:r>
          </w:p>
        </w:tc>
        <w:tc>
          <w:tcPr>
            <w:tcW w:w="1440" w:type="dxa"/>
            <w:tcBorders>
              <w:top w:val="single" w:color="000000" w:sz="12" w:space="0"/>
              <w:left w:val="nil"/>
              <w:bottom w:val="single" w:color="000000" w:sz="8" w:space="0"/>
              <w:right w:val="nil"/>
            </w:tcBorders>
            <w:vAlign w:val="center"/>
          </w:tcPr>
          <w:p w14:paraId="11D7DF6A">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正样本占比</w:t>
            </w:r>
          </w:p>
        </w:tc>
      </w:tr>
      <w:tr w14:paraId="7B334EB0">
        <w:tblPrEx>
          <w:tblCellMar>
            <w:top w:w="0" w:type="dxa"/>
            <w:left w:w="108" w:type="dxa"/>
            <w:bottom w:w="0" w:type="dxa"/>
            <w:right w:w="108" w:type="dxa"/>
          </w:tblCellMar>
        </w:tblPrEx>
        <w:trPr>
          <w:jc w:val="center"/>
        </w:trPr>
        <w:tc>
          <w:tcPr>
            <w:tcW w:w="1440" w:type="dxa"/>
            <w:tcBorders>
              <w:top w:val="nil"/>
              <w:left w:val="nil"/>
              <w:bottom w:val="nil"/>
              <w:right w:val="nil"/>
            </w:tcBorders>
            <w:vAlign w:val="center"/>
          </w:tcPr>
          <w:p w14:paraId="75976FEE">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训练集</w:t>
            </w:r>
          </w:p>
        </w:tc>
        <w:tc>
          <w:tcPr>
            <w:tcW w:w="1440" w:type="dxa"/>
            <w:tcBorders>
              <w:top w:val="nil"/>
              <w:left w:val="nil"/>
              <w:bottom w:val="nil"/>
              <w:right w:val="nil"/>
            </w:tcBorders>
            <w:vAlign w:val="center"/>
          </w:tcPr>
          <w:p w14:paraId="4DAE0707">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2007Q1-2020Q4</w:t>
            </w:r>
          </w:p>
        </w:tc>
        <w:tc>
          <w:tcPr>
            <w:tcW w:w="1440" w:type="dxa"/>
            <w:tcBorders>
              <w:top w:val="nil"/>
              <w:left w:val="nil"/>
              <w:bottom w:val="nil"/>
              <w:right w:val="nil"/>
            </w:tcBorders>
            <w:vAlign w:val="center"/>
          </w:tcPr>
          <w:p w14:paraId="28508444">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110,787</w:t>
            </w:r>
          </w:p>
        </w:tc>
        <w:tc>
          <w:tcPr>
            <w:tcW w:w="1440" w:type="dxa"/>
            <w:tcBorders>
              <w:top w:val="nil"/>
              <w:left w:val="nil"/>
              <w:bottom w:val="nil"/>
              <w:right w:val="nil"/>
            </w:tcBorders>
            <w:vAlign w:val="center"/>
          </w:tcPr>
          <w:p w14:paraId="33EEEDAF">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8,491</w:t>
            </w:r>
          </w:p>
        </w:tc>
        <w:tc>
          <w:tcPr>
            <w:tcW w:w="1440" w:type="dxa"/>
            <w:tcBorders>
              <w:top w:val="nil"/>
              <w:left w:val="nil"/>
              <w:bottom w:val="nil"/>
              <w:right w:val="nil"/>
            </w:tcBorders>
            <w:vAlign w:val="center"/>
          </w:tcPr>
          <w:p w14:paraId="70212943">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102,296</w:t>
            </w:r>
          </w:p>
        </w:tc>
        <w:tc>
          <w:tcPr>
            <w:tcW w:w="1440" w:type="dxa"/>
            <w:tcBorders>
              <w:top w:val="nil"/>
              <w:left w:val="nil"/>
              <w:bottom w:val="nil"/>
              <w:right w:val="nil"/>
            </w:tcBorders>
            <w:vAlign w:val="center"/>
          </w:tcPr>
          <w:p w14:paraId="4338F59D">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7.66%</w:t>
            </w:r>
          </w:p>
        </w:tc>
      </w:tr>
      <w:tr w14:paraId="281BC5A6">
        <w:tblPrEx>
          <w:tblCellMar>
            <w:top w:w="0" w:type="dxa"/>
            <w:left w:w="108" w:type="dxa"/>
            <w:bottom w:w="0" w:type="dxa"/>
            <w:right w:w="108" w:type="dxa"/>
          </w:tblCellMar>
        </w:tblPrEx>
        <w:trPr>
          <w:jc w:val="center"/>
        </w:trPr>
        <w:tc>
          <w:tcPr>
            <w:tcW w:w="1440" w:type="dxa"/>
            <w:tcBorders>
              <w:top w:val="nil"/>
              <w:left w:val="nil"/>
              <w:bottom w:val="nil"/>
              <w:right w:val="nil"/>
            </w:tcBorders>
            <w:vAlign w:val="center"/>
          </w:tcPr>
          <w:p w14:paraId="7A5EC127">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验证集</w:t>
            </w:r>
          </w:p>
        </w:tc>
        <w:tc>
          <w:tcPr>
            <w:tcW w:w="1440" w:type="dxa"/>
            <w:tcBorders>
              <w:top w:val="nil"/>
              <w:left w:val="nil"/>
              <w:bottom w:val="nil"/>
              <w:right w:val="nil"/>
            </w:tcBorders>
            <w:vAlign w:val="center"/>
          </w:tcPr>
          <w:p w14:paraId="2024E1E4">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2022Q1-2022Q4</w:t>
            </w:r>
          </w:p>
        </w:tc>
        <w:tc>
          <w:tcPr>
            <w:tcW w:w="1440" w:type="dxa"/>
            <w:tcBorders>
              <w:top w:val="nil"/>
              <w:left w:val="nil"/>
              <w:bottom w:val="nil"/>
              <w:right w:val="nil"/>
            </w:tcBorders>
            <w:vAlign w:val="center"/>
          </w:tcPr>
          <w:p w14:paraId="41FAB0E2">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14,978</w:t>
            </w:r>
          </w:p>
        </w:tc>
        <w:tc>
          <w:tcPr>
            <w:tcW w:w="1440" w:type="dxa"/>
            <w:tcBorders>
              <w:top w:val="nil"/>
              <w:left w:val="nil"/>
              <w:bottom w:val="nil"/>
              <w:right w:val="nil"/>
            </w:tcBorders>
            <w:vAlign w:val="center"/>
          </w:tcPr>
          <w:p w14:paraId="4960ABC3">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651</w:t>
            </w:r>
          </w:p>
        </w:tc>
        <w:tc>
          <w:tcPr>
            <w:tcW w:w="1440" w:type="dxa"/>
            <w:tcBorders>
              <w:top w:val="nil"/>
              <w:left w:val="nil"/>
              <w:bottom w:val="nil"/>
              <w:right w:val="nil"/>
            </w:tcBorders>
            <w:vAlign w:val="center"/>
          </w:tcPr>
          <w:p w14:paraId="1CAA33A1">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14,327</w:t>
            </w:r>
          </w:p>
        </w:tc>
        <w:tc>
          <w:tcPr>
            <w:tcW w:w="1440" w:type="dxa"/>
            <w:tcBorders>
              <w:top w:val="nil"/>
              <w:left w:val="nil"/>
              <w:bottom w:val="nil"/>
              <w:right w:val="nil"/>
            </w:tcBorders>
            <w:vAlign w:val="center"/>
          </w:tcPr>
          <w:p w14:paraId="488B6E85">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4.35%</w:t>
            </w:r>
          </w:p>
        </w:tc>
      </w:tr>
      <w:tr w14:paraId="0204AB00">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vAlign w:val="center"/>
          </w:tcPr>
          <w:p w14:paraId="4C7A4945">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测试集</w:t>
            </w:r>
          </w:p>
        </w:tc>
        <w:tc>
          <w:tcPr>
            <w:tcW w:w="1440" w:type="dxa"/>
            <w:tcBorders>
              <w:top w:val="nil"/>
              <w:left w:val="nil"/>
              <w:bottom w:val="single" w:color="000000" w:sz="12" w:space="0"/>
              <w:right w:val="nil"/>
            </w:tcBorders>
            <w:vAlign w:val="center"/>
          </w:tcPr>
          <w:p w14:paraId="0A59BF5A">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2024Q1-2024Q4</w:t>
            </w:r>
          </w:p>
        </w:tc>
        <w:tc>
          <w:tcPr>
            <w:tcW w:w="1440" w:type="dxa"/>
            <w:tcBorders>
              <w:top w:val="nil"/>
              <w:left w:val="nil"/>
              <w:bottom w:val="single" w:color="000000" w:sz="12" w:space="0"/>
              <w:right w:val="nil"/>
            </w:tcBorders>
            <w:vAlign w:val="center"/>
          </w:tcPr>
          <w:p w14:paraId="300E86A9">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16,175</w:t>
            </w:r>
          </w:p>
        </w:tc>
        <w:tc>
          <w:tcPr>
            <w:tcW w:w="1440" w:type="dxa"/>
            <w:tcBorders>
              <w:top w:val="nil"/>
              <w:left w:val="nil"/>
              <w:bottom w:val="single" w:color="000000" w:sz="12" w:space="0"/>
              <w:right w:val="nil"/>
            </w:tcBorders>
            <w:vAlign w:val="center"/>
          </w:tcPr>
          <w:p w14:paraId="3850C641">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800</w:t>
            </w:r>
          </w:p>
        </w:tc>
        <w:tc>
          <w:tcPr>
            <w:tcW w:w="1440" w:type="dxa"/>
            <w:tcBorders>
              <w:top w:val="nil"/>
              <w:left w:val="nil"/>
              <w:bottom w:val="single" w:color="000000" w:sz="12" w:space="0"/>
              <w:right w:val="nil"/>
            </w:tcBorders>
            <w:vAlign w:val="center"/>
          </w:tcPr>
          <w:p w14:paraId="0DD282AF">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15,375</w:t>
            </w:r>
          </w:p>
        </w:tc>
        <w:tc>
          <w:tcPr>
            <w:tcW w:w="1440" w:type="dxa"/>
            <w:tcBorders>
              <w:top w:val="nil"/>
              <w:left w:val="nil"/>
              <w:bottom w:val="single" w:color="000000" w:sz="12" w:space="0"/>
              <w:right w:val="nil"/>
            </w:tcBorders>
            <w:vAlign w:val="center"/>
          </w:tcPr>
          <w:p w14:paraId="5FEC2999">
            <w:pPr>
              <w:pStyle w:val="4"/>
              <w:keepNext w:val="0"/>
              <w:keepLines w:val="0"/>
              <w:pageBreakBefore w:val="0"/>
              <w:widowControl/>
              <w:suppressLineNumbers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sz w:val="18"/>
                <w:szCs w:val="18"/>
                <w:vertAlign w:val="baseline"/>
              </w:rPr>
            </w:pPr>
            <w:r>
              <w:rPr>
                <w:rFonts w:hint="eastAsia" w:ascii="宋体" w:hAnsi="宋体" w:eastAsia="宋体" w:cs="宋体"/>
                <w:sz w:val="18"/>
                <w:szCs w:val="18"/>
                <w:vertAlign w:val="baseline"/>
              </w:rPr>
              <w:t>4.95%</w:t>
            </w:r>
          </w:p>
        </w:tc>
      </w:tr>
    </w:tbl>
    <w:p w14:paraId="16B91444">
      <w:pPr>
        <w:pStyle w:val="9"/>
        <w:bidi w:val="0"/>
      </w:pPr>
      <w:r>
        <w:t>注：正样本指未来 4 个季度内发生 ST/*ST 的公司—季度观测</w:t>
      </w:r>
    </w:p>
    <w:p w14:paraId="2C891C0E">
      <w:pPr>
        <w:pStyle w:val="3"/>
        <w:bidi w:val="0"/>
      </w:pPr>
      <w:r>
        <w:rPr>
          <w:rFonts w:hint="eastAsia"/>
        </w:rPr>
        <w:t>4.2 主模型对比实验与核心结果分析</w:t>
      </w:r>
    </w:p>
    <w:p w14:paraId="663F23A0">
      <w:pPr>
        <w:bidi w:val="0"/>
      </w:pPr>
      <w:r>
        <w:t>为检验 CBRM 在解决高精度排序与资源约束矛盾上的效能，本文选取 Logistic_Lasso、Random Forest、XGBoost、HistGradientBoosting 及标准 CatBoost 作为基准模型进行对比。</w:t>
      </w:r>
    </w:p>
    <w:p w14:paraId="6D4095BC">
      <w:pPr>
        <w:bidi w:val="0"/>
      </w:pPr>
      <w:r>
        <w:t>表 4-3 汇报了各模型在测试集上的整体判别能力。结果显示，梯度提升类模型整体表现优于传统模型，其中 XGBoost、HistGradientBoosting 与 CatBoost 均取得较高 PR-AUC。在此基础上，本文 CBRM 模型取得了 0.8524的PR-AUC，在数值上优于各基准模型。同时，相较于单阶段 CatBoost，CBRM 的 F1 值由 0.6441 提升至 0.7339，BAcc 由 0.8920 提升至 0.8987，说明级联机制改善了 CatBoost 基准模型的分类均衡性。</w:t>
      </w:r>
    </w:p>
    <w:p w14:paraId="72C46847">
      <w:pPr>
        <w:pStyle w:val="7"/>
        <w:bidi w:val="0"/>
        <w:rPr>
          <w:rFonts w:hint="eastAsia"/>
          <w:lang w:val="en-US" w:eastAsia="zh-CN"/>
        </w:rPr>
      </w:pPr>
      <w:r>
        <w:rPr>
          <w:rFonts w:hint="eastAsia"/>
          <w:lang w:val="en-US" w:eastAsia="zh-CN"/>
        </w:rPr>
        <w:t>表 4-3 主模型性能对比</w:t>
      </w:r>
    </w:p>
    <w:tbl>
      <w:tblPr>
        <w:tblStyle w:val="27"/>
        <w:tblW w:w="0" w:type="auto"/>
        <w:jc w:val="center"/>
        <w:tblLayout w:type="autofit"/>
        <w:tblCellMar>
          <w:top w:w="0" w:type="dxa"/>
          <w:left w:w="108" w:type="dxa"/>
          <w:bottom w:w="0" w:type="dxa"/>
          <w:right w:w="108" w:type="dxa"/>
        </w:tblCellMar>
      </w:tblPr>
      <w:tblGrid>
        <w:gridCol w:w="2436"/>
        <w:gridCol w:w="1203"/>
        <w:gridCol w:w="1283"/>
        <w:gridCol w:w="1200"/>
        <w:gridCol w:w="1200"/>
        <w:gridCol w:w="1200"/>
      </w:tblGrid>
      <w:tr w14:paraId="07F83C23">
        <w:tblPrEx>
          <w:tblCellMar>
            <w:top w:w="0" w:type="dxa"/>
            <w:left w:w="108" w:type="dxa"/>
            <w:bottom w:w="0" w:type="dxa"/>
            <w:right w:w="108" w:type="dxa"/>
          </w:tblCellMar>
        </w:tblPrEx>
        <w:trPr>
          <w:trHeight w:val="90" w:hRule="atLeast"/>
          <w:jc w:val="center"/>
        </w:trPr>
        <w:tc>
          <w:tcPr>
            <w:tcW w:w="2236" w:type="dxa"/>
            <w:tcBorders>
              <w:top w:val="single" w:color="000000" w:sz="12" w:space="0"/>
              <w:left w:val="nil"/>
              <w:bottom w:val="single" w:color="000000" w:sz="8" w:space="0"/>
              <w:right w:val="nil"/>
            </w:tcBorders>
            <w:vAlign w:val="center"/>
          </w:tcPr>
          <w:p w14:paraId="73E16AF2">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模型</w:t>
            </w:r>
          </w:p>
        </w:tc>
        <w:tc>
          <w:tcPr>
            <w:tcW w:w="1246" w:type="dxa"/>
            <w:tcBorders>
              <w:top w:val="single" w:color="000000" w:sz="12" w:space="0"/>
              <w:left w:val="nil"/>
              <w:bottom w:val="single" w:color="000000" w:sz="8" w:space="0"/>
              <w:right w:val="nil"/>
            </w:tcBorders>
            <w:vAlign w:val="center"/>
          </w:tcPr>
          <w:p w14:paraId="29D0A932">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PR-AUC</w:t>
            </w:r>
          </w:p>
        </w:tc>
        <w:tc>
          <w:tcPr>
            <w:tcW w:w="1308" w:type="dxa"/>
            <w:tcBorders>
              <w:top w:val="single" w:color="000000" w:sz="12" w:space="0"/>
              <w:left w:val="nil"/>
              <w:bottom w:val="single" w:color="000000" w:sz="8" w:space="0"/>
              <w:right w:val="nil"/>
            </w:tcBorders>
            <w:vAlign w:val="center"/>
          </w:tcPr>
          <w:p w14:paraId="44F7B091">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ROC-AUC</w:t>
            </w:r>
          </w:p>
        </w:tc>
        <w:tc>
          <w:tcPr>
            <w:tcW w:w="1244" w:type="dxa"/>
            <w:tcBorders>
              <w:top w:val="single" w:color="000000" w:sz="12" w:space="0"/>
              <w:left w:val="nil"/>
              <w:bottom w:val="single" w:color="000000" w:sz="8" w:space="0"/>
              <w:right w:val="nil"/>
            </w:tcBorders>
            <w:vAlign w:val="center"/>
          </w:tcPr>
          <w:p w14:paraId="6D3D7680">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F1</w:t>
            </w:r>
          </w:p>
        </w:tc>
        <w:tc>
          <w:tcPr>
            <w:tcW w:w="1244" w:type="dxa"/>
            <w:tcBorders>
              <w:top w:val="single" w:color="000000" w:sz="12" w:space="0"/>
              <w:left w:val="nil"/>
              <w:bottom w:val="single" w:color="000000" w:sz="8" w:space="0"/>
              <w:right w:val="nil"/>
            </w:tcBorders>
            <w:vAlign w:val="center"/>
          </w:tcPr>
          <w:p w14:paraId="69F805CF">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MCC</w:t>
            </w:r>
          </w:p>
        </w:tc>
        <w:tc>
          <w:tcPr>
            <w:tcW w:w="1244" w:type="dxa"/>
            <w:tcBorders>
              <w:top w:val="single" w:color="000000" w:sz="12" w:space="0"/>
              <w:left w:val="nil"/>
              <w:bottom w:val="single" w:color="000000" w:sz="8" w:space="0"/>
              <w:right w:val="nil"/>
            </w:tcBorders>
            <w:vAlign w:val="center"/>
          </w:tcPr>
          <w:p w14:paraId="6B03B308">
            <w:pPr>
              <w:spacing w:after="62"/>
              <w:ind w:firstLine="361"/>
              <w:jc w:val="center"/>
              <w:rPr>
                <w:rFonts w:hint="eastAsia" w:ascii="宋体" w:hAnsi="宋体" w:eastAsia="宋体" w:cs="宋体"/>
                <w:sz w:val="18"/>
                <w:szCs w:val="18"/>
              </w:rPr>
            </w:pPr>
            <w:r>
              <w:rPr>
                <w:rFonts w:hint="eastAsia" w:ascii="宋体" w:hAnsi="宋体" w:eastAsia="宋体" w:cs="宋体"/>
                <w:b/>
                <w:sz w:val="18"/>
                <w:szCs w:val="18"/>
              </w:rPr>
              <w:t>BAcc</w:t>
            </w:r>
          </w:p>
        </w:tc>
      </w:tr>
      <w:tr w14:paraId="060C52F0">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5927B280">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Logistic_Lasso</w:t>
            </w:r>
          </w:p>
        </w:tc>
        <w:tc>
          <w:tcPr>
            <w:tcW w:w="1246" w:type="dxa"/>
            <w:tcBorders>
              <w:top w:val="nil"/>
              <w:left w:val="nil"/>
              <w:bottom w:val="nil"/>
              <w:right w:val="nil"/>
            </w:tcBorders>
            <w:vAlign w:val="center"/>
          </w:tcPr>
          <w:p w14:paraId="62F7C3A5">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0.7106</w:t>
            </w:r>
          </w:p>
        </w:tc>
        <w:tc>
          <w:tcPr>
            <w:tcW w:w="1308" w:type="dxa"/>
            <w:tcBorders>
              <w:top w:val="nil"/>
              <w:left w:val="nil"/>
              <w:bottom w:val="nil"/>
              <w:right w:val="nil"/>
            </w:tcBorders>
            <w:vAlign w:val="center"/>
          </w:tcPr>
          <w:p w14:paraId="56198767">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0.9392</w:t>
            </w:r>
          </w:p>
        </w:tc>
        <w:tc>
          <w:tcPr>
            <w:tcW w:w="1244" w:type="dxa"/>
            <w:tcBorders>
              <w:top w:val="nil"/>
              <w:left w:val="nil"/>
              <w:bottom w:val="nil"/>
              <w:right w:val="nil"/>
            </w:tcBorders>
            <w:vAlign w:val="center"/>
          </w:tcPr>
          <w:p w14:paraId="2C6C5AED">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0.6527</w:t>
            </w:r>
          </w:p>
        </w:tc>
        <w:tc>
          <w:tcPr>
            <w:tcW w:w="1244" w:type="dxa"/>
            <w:tcBorders>
              <w:top w:val="nil"/>
              <w:left w:val="nil"/>
              <w:bottom w:val="nil"/>
              <w:right w:val="nil"/>
            </w:tcBorders>
            <w:vAlign w:val="center"/>
          </w:tcPr>
          <w:p w14:paraId="53E90E23">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0.6606</w:t>
            </w:r>
          </w:p>
        </w:tc>
        <w:tc>
          <w:tcPr>
            <w:tcW w:w="1244" w:type="dxa"/>
            <w:tcBorders>
              <w:top w:val="nil"/>
              <w:left w:val="nil"/>
              <w:bottom w:val="nil"/>
              <w:right w:val="nil"/>
            </w:tcBorders>
            <w:vAlign w:val="center"/>
          </w:tcPr>
          <w:p w14:paraId="2ED03EF7">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0.7603</w:t>
            </w:r>
          </w:p>
        </w:tc>
      </w:tr>
      <w:tr w14:paraId="3F167174">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21D6866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RandomForest</w:t>
            </w:r>
          </w:p>
        </w:tc>
        <w:tc>
          <w:tcPr>
            <w:tcW w:w="1246" w:type="dxa"/>
            <w:tcBorders>
              <w:top w:val="nil"/>
              <w:left w:val="nil"/>
              <w:bottom w:val="nil"/>
              <w:right w:val="nil"/>
            </w:tcBorders>
            <w:vAlign w:val="center"/>
          </w:tcPr>
          <w:p w14:paraId="3DEFB0C8">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0.7672</w:t>
            </w:r>
          </w:p>
        </w:tc>
        <w:tc>
          <w:tcPr>
            <w:tcW w:w="1308" w:type="dxa"/>
            <w:tcBorders>
              <w:top w:val="nil"/>
              <w:left w:val="nil"/>
              <w:bottom w:val="nil"/>
              <w:right w:val="nil"/>
            </w:tcBorders>
            <w:vAlign w:val="center"/>
          </w:tcPr>
          <w:p w14:paraId="2F5DB070">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0.9596</w:t>
            </w:r>
          </w:p>
        </w:tc>
        <w:tc>
          <w:tcPr>
            <w:tcW w:w="1244" w:type="dxa"/>
            <w:tcBorders>
              <w:top w:val="nil"/>
              <w:left w:val="nil"/>
              <w:bottom w:val="nil"/>
              <w:right w:val="nil"/>
            </w:tcBorders>
            <w:vAlign w:val="center"/>
          </w:tcPr>
          <w:p w14:paraId="384692FA">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0.7046</w:t>
            </w:r>
          </w:p>
        </w:tc>
        <w:tc>
          <w:tcPr>
            <w:tcW w:w="1244" w:type="dxa"/>
            <w:tcBorders>
              <w:top w:val="nil"/>
              <w:left w:val="nil"/>
              <w:bottom w:val="nil"/>
              <w:right w:val="nil"/>
            </w:tcBorders>
            <w:vAlign w:val="center"/>
          </w:tcPr>
          <w:p w14:paraId="068155F1">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0.7138</w:t>
            </w:r>
          </w:p>
        </w:tc>
        <w:tc>
          <w:tcPr>
            <w:tcW w:w="1244" w:type="dxa"/>
            <w:tcBorders>
              <w:top w:val="nil"/>
              <w:left w:val="nil"/>
              <w:bottom w:val="nil"/>
              <w:right w:val="nil"/>
            </w:tcBorders>
            <w:vAlign w:val="center"/>
          </w:tcPr>
          <w:p w14:paraId="2ACABF37">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0.7849</w:t>
            </w:r>
          </w:p>
        </w:tc>
      </w:tr>
      <w:tr w14:paraId="5B079F3E">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5B0B4C20">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ExtraTrees</w:t>
            </w:r>
          </w:p>
        </w:tc>
        <w:tc>
          <w:tcPr>
            <w:tcW w:w="1246" w:type="dxa"/>
            <w:tcBorders>
              <w:top w:val="nil"/>
              <w:left w:val="nil"/>
              <w:bottom w:val="nil"/>
              <w:right w:val="nil"/>
            </w:tcBorders>
            <w:vAlign w:val="center"/>
          </w:tcPr>
          <w:p w14:paraId="5B74516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0.8023</w:t>
            </w:r>
          </w:p>
        </w:tc>
        <w:tc>
          <w:tcPr>
            <w:tcW w:w="1308" w:type="dxa"/>
            <w:tcBorders>
              <w:top w:val="nil"/>
              <w:left w:val="nil"/>
              <w:bottom w:val="nil"/>
              <w:right w:val="nil"/>
            </w:tcBorders>
            <w:vAlign w:val="center"/>
          </w:tcPr>
          <w:p w14:paraId="1864885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0.9663</w:t>
            </w:r>
          </w:p>
        </w:tc>
        <w:tc>
          <w:tcPr>
            <w:tcW w:w="1244" w:type="dxa"/>
            <w:tcBorders>
              <w:top w:val="nil"/>
              <w:left w:val="nil"/>
              <w:bottom w:val="nil"/>
              <w:right w:val="nil"/>
            </w:tcBorders>
            <w:vAlign w:val="center"/>
          </w:tcPr>
          <w:p w14:paraId="63CFE904">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0.7394</w:t>
            </w:r>
          </w:p>
        </w:tc>
        <w:tc>
          <w:tcPr>
            <w:tcW w:w="1244" w:type="dxa"/>
            <w:tcBorders>
              <w:top w:val="nil"/>
              <w:left w:val="nil"/>
              <w:bottom w:val="nil"/>
              <w:right w:val="nil"/>
            </w:tcBorders>
            <w:vAlign w:val="center"/>
          </w:tcPr>
          <w:p w14:paraId="3A2B361D">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0.7524</w:t>
            </w:r>
          </w:p>
        </w:tc>
        <w:tc>
          <w:tcPr>
            <w:tcW w:w="1244" w:type="dxa"/>
            <w:tcBorders>
              <w:top w:val="nil"/>
              <w:left w:val="nil"/>
              <w:bottom w:val="nil"/>
              <w:right w:val="nil"/>
            </w:tcBorders>
            <w:vAlign w:val="center"/>
          </w:tcPr>
          <w:p w14:paraId="26C7D373">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0.7983</w:t>
            </w:r>
          </w:p>
        </w:tc>
      </w:tr>
      <w:tr w14:paraId="500D0866">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4E74FDC4">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MLP</w:t>
            </w:r>
          </w:p>
        </w:tc>
        <w:tc>
          <w:tcPr>
            <w:tcW w:w="1246" w:type="dxa"/>
            <w:tcBorders>
              <w:top w:val="nil"/>
              <w:left w:val="nil"/>
              <w:bottom w:val="nil"/>
              <w:right w:val="nil"/>
            </w:tcBorders>
            <w:vAlign w:val="center"/>
          </w:tcPr>
          <w:p w14:paraId="793825C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0.7479</w:t>
            </w:r>
          </w:p>
        </w:tc>
        <w:tc>
          <w:tcPr>
            <w:tcW w:w="1308" w:type="dxa"/>
            <w:tcBorders>
              <w:top w:val="nil"/>
              <w:left w:val="nil"/>
              <w:bottom w:val="nil"/>
              <w:right w:val="nil"/>
            </w:tcBorders>
            <w:vAlign w:val="center"/>
          </w:tcPr>
          <w:p w14:paraId="7A0E8B33">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0.9375</w:t>
            </w:r>
          </w:p>
        </w:tc>
        <w:tc>
          <w:tcPr>
            <w:tcW w:w="1244" w:type="dxa"/>
            <w:tcBorders>
              <w:top w:val="nil"/>
              <w:left w:val="nil"/>
              <w:bottom w:val="nil"/>
              <w:right w:val="nil"/>
            </w:tcBorders>
            <w:vAlign w:val="center"/>
          </w:tcPr>
          <w:p w14:paraId="1AFF150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0.7000</w:t>
            </w:r>
          </w:p>
        </w:tc>
        <w:tc>
          <w:tcPr>
            <w:tcW w:w="1244" w:type="dxa"/>
            <w:tcBorders>
              <w:top w:val="nil"/>
              <w:left w:val="nil"/>
              <w:bottom w:val="nil"/>
              <w:right w:val="nil"/>
            </w:tcBorders>
            <w:vAlign w:val="center"/>
          </w:tcPr>
          <w:p w14:paraId="46D72807">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0.7174</w:t>
            </w:r>
          </w:p>
        </w:tc>
        <w:tc>
          <w:tcPr>
            <w:tcW w:w="1244" w:type="dxa"/>
            <w:tcBorders>
              <w:top w:val="nil"/>
              <w:left w:val="nil"/>
              <w:bottom w:val="nil"/>
              <w:right w:val="nil"/>
            </w:tcBorders>
            <w:vAlign w:val="center"/>
          </w:tcPr>
          <w:p w14:paraId="47277700">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0.7750</w:t>
            </w:r>
          </w:p>
        </w:tc>
      </w:tr>
      <w:tr w14:paraId="22C71ACF">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1F08233F">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XGBoost</w:t>
            </w:r>
          </w:p>
        </w:tc>
        <w:tc>
          <w:tcPr>
            <w:tcW w:w="1246" w:type="dxa"/>
            <w:tcBorders>
              <w:top w:val="nil"/>
              <w:left w:val="nil"/>
              <w:bottom w:val="nil"/>
              <w:right w:val="nil"/>
            </w:tcBorders>
            <w:vAlign w:val="center"/>
          </w:tcPr>
          <w:p w14:paraId="163CFAD6">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0.8344</w:t>
            </w:r>
          </w:p>
        </w:tc>
        <w:tc>
          <w:tcPr>
            <w:tcW w:w="1308" w:type="dxa"/>
            <w:tcBorders>
              <w:top w:val="nil"/>
              <w:left w:val="nil"/>
              <w:bottom w:val="nil"/>
              <w:right w:val="nil"/>
            </w:tcBorders>
            <w:vAlign w:val="center"/>
          </w:tcPr>
          <w:p w14:paraId="3C6F9A24">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0.9704</w:t>
            </w:r>
          </w:p>
        </w:tc>
        <w:tc>
          <w:tcPr>
            <w:tcW w:w="1244" w:type="dxa"/>
            <w:tcBorders>
              <w:top w:val="nil"/>
              <w:left w:val="nil"/>
              <w:bottom w:val="nil"/>
              <w:right w:val="nil"/>
            </w:tcBorders>
            <w:vAlign w:val="center"/>
          </w:tcPr>
          <w:p w14:paraId="20792BF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0.7670</w:t>
            </w:r>
          </w:p>
        </w:tc>
        <w:tc>
          <w:tcPr>
            <w:tcW w:w="1244" w:type="dxa"/>
            <w:tcBorders>
              <w:top w:val="nil"/>
              <w:left w:val="nil"/>
              <w:bottom w:val="nil"/>
              <w:right w:val="nil"/>
            </w:tcBorders>
            <w:vAlign w:val="center"/>
          </w:tcPr>
          <w:p w14:paraId="6398C194">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0.7690</w:t>
            </w:r>
          </w:p>
        </w:tc>
        <w:tc>
          <w:tcPr>
            <w:tcW w:w="1244" w:type="dxa"/>
            <w:tcBorders>
              <w:top w:val="nil"/>
              <w:left w:val="nil"/>
              <w:bottom w:val="nil"/>
              <w:right w:val="nil"/>
            </w:tcBorders>
            <w:vAlign w:val="center"/>
          </w:tcPr>
          <w:p w14:paraId="7647279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0.8267</w:t>
            </w:r>
          </w:p>
        </w:tc>
      </w:tr>
      <w:tr w14:paraId="1B3BFA21">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4B5C455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HistGradientBoosting</w:t>
            </w:r>
          </w:p>
        </w:tc>
        <w:tc>
          <w:tcPr>
            <w:tcW w:w="1246" w:type="dxa"/>
            <w:tcBorders>
              <w:top w:val="nil"/>
              <w:left w:val="nil"/>
              <w:bottom w:val="nil"/>
              <w:right w:val="nil"/>
            </w:tcBorders>
            <w:vAlign w:val="center"/>
          </w:tcPr>
          <w:p w14:paraId="2DDD527B">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0.8343</w:t>
            </w:r>
          </w:p>
        </w:tc>
        <w:tc>
          <w:tcPr>
            <w:tcW w:w="1308" w:type="dxa"/>
            <w:tcBorders>
              <w:top w:val="nil"/>
              <w:left w:val="nil"/>
              <w:bottom w:val="nil"/>
              <w:right w:val="nil"/>
            </w:tcBorders>
            <w:vAlign w:val="center"/>
          </w:tcPr>
          <w:p w14:paraId="1EB208C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0.9722</w:t>
            </w:r>
          </w:p>
        </w:tc>
        <w:tc>
          <w:tcPr>
            <w:tcW w:w="1244" w:type="dxa"/>
            <w:tcBorders>
              <w:top w:val="nil"/>
              <w:left w:val="nil"/>
              <w:bottom w:val="nil"/>
              <w:right w:val="nil"/>
            </w:tcBorders>
            <w:vAlign w:val="center"/>
          </w:tcPr>
          <w:p w14:paraId="2F07C12A">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0.7654</w:t>
            </w:r>
          </w:p>
        </w:tc>
        <w:tc>
          <w:tcPr>
            <w:tcW w:w="1244" w:type="dxa"/>
            <w:tcBorders>
              <w:top w:val="nil"/>
              <w:left w:val="nil"/>
              <w:bottom w:val="nil"/>
              <w:right w:val="nil"/>
            </w:tcBorders>
            <w:vAlign w:val="center"/>
          </w:tcPr>
          <w:p w14:paraId="578A404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0.7698</w:t>
            </w:r>
          </w:p>
        </w:tc>
        <w:tc>
          <w:tcPr>
            <w:tcW w:w="1244" w:type="dxa"/>
            <w:tcBorders>
              <w:top w:val="nil"/>
              <w:left w:val="nil"/>
              <w:bottom w:val="nil"/>
              <w:right w:val="nil"/>
            </w:tcBorders>
            <w:vAlign w:val="center"/>
          </w:tcPr>
          <w:p w14:paraId="6DD18DDB">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0.8220</w:t>
            </w:r>
          </w:p>
        </w:tc>
      </w:tr>
      <w:tr w14:paraId="1D2C07A1">
        <w:tblPrEx>
          <w:tblCellMar>
            <w:top w:w="0" w:type="dxa"/>
            <w:left w:w="108" w:type="dxa"/>
            <w:bottom w:w="0" w:type="dxa"/>
            <w:right w:w="108" w:type="dxa"/>
          </w:tblCellMar>
        </w:tblPrEx>
        <w:trPr>
          <w:jc w:val="center"/>
        </w:trPr>
        <w:tc>
          <w:tcPr>
            <w:tcW w:w="2236" w:type="dxa"/>
            <w:tcBorders>
              <w:top w:val="nil"/>
              <w:left w:val="nil"/>
              <w:bottom w:val="nil"/>
              <w:right w:val="nil"/>
            </w:tcBorders>
            <w:vAlign w:val="center"/>
          </w:tcPr>
          <w:p w14:paraId="66F7894B">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CatBoost</w:t>
            </w:r>
          </w:p>
        </w:tc>
        <w:tc>
          <w:tcPr>
            <w:tcW w:w="1246" w:type="dxa"/>
            <w:tcBorders>
              <w:top w:val="nil"/>
              <w:left w:val="nil"/>
              <w:bottom w:val="nil"/>
              <w:right w:val="nil"/>
            </w:tcBorders>
            <w:vAlign w:val="center"/>
          </w:tcPr>
          <w:p w14:paraId="415B031F">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0.8315</w:t>
            </w:r>
          </w:p>
        </w:tc>
        <w:tc>
          <w:tcPr>
            <w:tcW w:w="1308" w:type="dxa"/>
            <w:tcBorders>
              <w:top w:val="nil"/>
              <w:left w:val="nil"/>
              <w:bottom w:val="nil"/>
              <w:right w:val="nil"/>
            </w:tcBorders>
            <w:vAlign w:val="center"/>
          </w:tcPr>
          <w:p w14:paraId="5B93A649">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0.9726</w:t>
            </w:r>
          </w:p>
        </w:tc>
        <w:tc>
          <w:tcPr>
            <w:tcW w:w="1244" w:type="dxa"/>
            <w:tcBorders>
              <w:top w:val="nil"/>
              <w:left w:val="nil"/>
              <w:bottom w:val="nil"/>
              <w:right w:val="nil"/>
            </w:tcBorders>
            <w:vAlign w:val="center"/>
          </w:tcPr>
          <w:p w14:paraId="4A5F192F">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0.6441</w:t>
            </w:r>
          </w:p>
        </w:tc>
        <w:tc>
          <w:tcPr>
            <w:tcW w:w="1244" w:type="dxa"/>
            <w:tcBorders>
              <w:top w:val="nil"/>
              <w:left w:val="nil"/>
              <w:bottom w:val="nil"/>
              <w:right w:val="nil"/>
            </w:tcBorders>
            <w:vAlign w:val="center"/>
          </w:tcPr>
          <w:p w14:paraId="3D55F1AC">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0.6384</w:t>
            </w:r>
          </w:p>
        </w:tc>
        <w:tc>
          <w:tcPr>
            <w:tcW w:w="1244" w:type="dxa"/>
            <w:tcBorders>
              <w:top w:val="nil"/>
              <w:left w:val="nil"/>
              <w:bottom w:val="nil"/>
              <w:right w:val="nil"/>
            </w:tcBorders>
            <w:vAlign w:val="center"/>
          </w:tcPr>
          <w:p w14:paraId="252525E8">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0.8920</w:t>
            </w:r>
          </w:p>
        </w:tc>
      </w:tr>
      <w:tr w14:paraId="79E1B966">
        <w:tblPrEx>
          <w:tblCellMar>
            <w:top w:w="0" w:type="dxa"/>
            <w:left w:w="108" w:type="dxa"/>
            <w:bottom w:w="0" w:type="dxa"/>
            <w:right w:w="108" w:type="dxa"/>
          </w:tblCellMar>
        </w:tblPrEx>
        <w:trPr>
          <w:jc w:val="center"/>
        </w:trPr>
        <w:tc>
          <w:tcPr>
            <w:tcW w:w="2236" w:type="dxa"/>
            <w:tcBorders>
              <w:top w:val="nil"/>
              <w:left w:val="nil"/>
              <w:bottom w:val="single" w:color="000000" w:sz="12" w:space="0"/>
              <w:right w:val="nil"/>
            </w:tcBorders>
            <w:vAlign w:val="center"/>
          </w:tcPr>
          <w:p w14:paraId="3D2D76DE">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CBRM（本文）</w:t>
            </w:r>
          </w:p>
        </w:tc>
        <w:tc>
          <w:tcPr>
            <w:tcW w:w="1246" w:type="dxa"/>
            <w:tcBorders>
              <w:top w:val="nil"/>
              <w:left w:val="nil"/>
              <w:bottom w:val="single" w:color="000000" w:sz="12" w:space="0"/>
              <w:right w:val="nil"/>
            </w:tcBorders>
            <w:vAlign w:val="center"/>
          </w:tcPr>
          <w:p w14:paraId="1435F226">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0.8524</w:t>
            </w:r>
          </w:p>
        </w:tc>
        <w:tc>
          <w:tcPr>
            <w:tcW w:w="1308" w:type="dxa"/>
            <w:tcBorders>
              <w:top w:val="nil"/>
              <w:left w:val="nil"/>
              <w:bottom w:val="single" w:color="000000" w:sz="12" w:space="0"/>
              <w:right w:val="nil"/>
            </w:tcBorders>
            <w:vAlign w:val="center"/>
          </w:tcPr>
          <w:p w14:paraId="74976AED">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0.9759</w:t>
            </w:r>
          </w:p>
        </w:tc>
        <w:tc>
          <w:tcPr>
            <w:tcW w:w="1244" w:type="dxa"/>
            <w:tcBorders>
              <w:top w:val="nil"/>
              <w:left w:val="nil"/>
              <w:bottom w:val="single" w:color="000000" w:sz="12" w:space="0"/>
              <w:right w:val="nil"/>
            </w:tcBorders>
            <w:vAlign w:val="center"/>
          </w:tcPr>
          <w:p w14:paraId="6FEDFF1B">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0.7339</w:t>
            </w:r>
          </w:p>
        </w:tc>
        <w:tc>
          <w:tcPr>
            <w:tcW w:w="1244" w:type="dxa"/>
            <w:tcBorders>
              <w:top w:val="nil"/>
              <w:left w:val="nil"/>
              <w:bottom w:val="single" w:color="000000" w:sz="12" w:space="0"/>
              <w:right w:val="nil"/>
            </w:tcBorders>
            <w:vAlign w:val="center"/>
          </w:tcPr>
          <w:p w14:paraId="18609623">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0.7226</w:t>
            </w:r>
          </w:p>
        </w:tc>
        <w:tc>
          <w:tcPr>
            <w:tcW w:w="1244" w:type="dxa"/>
            <w:tcBorders>
              <w:top w:val="nil"/>
              <w:left w:val="nil"/>
              <w:bottom w:val="single" w:color="000000" w:sz="12" w:space="0"/>
              <w:right w:val="nil"/>
            </w:tcBorders>
            <w:vAlign w:val="center"/>
          </w:tcPr>
          <w:p w14:paraId="4C6C82C6">
            <w:pPr>
              <w:spacing w:after="62"/>
              <w:ind w:firstLine="360"/>
              <w:jc w:val="center"/>
              <w:rPr>
                <w:rFonts w:hint="eastAsia" w:ascii="宋体" w:hAnsi="宋体" w:eastAsia="宋体" w:cs="宋体"/>
                <w:sz w:val="18"/>
                <w:szCs w:val="18"/>
              </w:rPr>
            </w:pPr>
            <w:r>
              <w:rPr>
                <w:rFonts w:hint="eastAsia" w:ascii="宋体" w:hAnsi="宋体" w:eastAsia="宋体" w:cs="宋体"/>
                <w:sz w:val="18"/>
                <w:szCs w:val="18"/>
              </w:rPr>
              <w:t>0.8987</w:t>
            </w:r>
          </w:p>
        </w:tc>
      </w:tr>
    </w:tbl>
    <w:p w14:paraId="60522EC4">
      <w:pPr>
        <w:pStyle w:val="9"/>
        <w:bidi w:val="0"/>
        <w:rPr>
          <w:lang w:val="en-US" w:eastAsia="zh-CN"/>
        </w:rPr>
      </w:pPr>
      <w:r>
        <w:rPr>
          <w:rFonts w:hint="eastAsia"/>
          <w:lang w:val="en-US" w:eastAsia="zh-CN"/>
        </w:rPr>
        <w:t>注：表4-3为测试集（2024Q1–Q4）结果，表4-5为验证集（2022Q1–Q4）结果。两者时间窗口不同（验证集早于测试集2年），且测试集包含2024年注册制改革后的新风险特征，故PR-AUC存在差异。</w:t>
      </w:r>
    </w:p>
    <w:p w14:paraId="1332F443">
      <w:pPr>
        <w:bidi w:val="0"/>
      </w:pPr>
      <w:r>
        <w:rPr>
          <w:lang w:val="en-US" w:eastAsia="zh-CN"/>
        </w:rPr>
        <w:t>在监管实践中，审查资源往往仅能覆盖风险排名前 K的企业。表 4-4 的 Top-K 预警性能进一步印证了 CBRM 的优势。虽然基准模型在 P@100 上已达到 1.0000，但在涉及更广泛筛查范围的 P@200 和 P@500 指标上，CBRM 表现更优（P@200 为 0.9950，P@500 为 0.9820），且 Recall@500 达到最高的 0.6138。这证实了 CBRM 通过头部保护、边界细分的架构，在高风险名单的稳定性与综合判别能力之间取得了最佳平衡。</w:t>
      </w:r>
    </w:p>
    <w:p w14:paraId="024266EC">
      <w:pPr>
        <w:pStyle w:val="7"/>
        <w:bidi w:val="0"/>
        <w:rPr>
          <w:rFonts w:hint="eastAsia"/>
          <w:lang w:val="en-US" w:eastAsia="zh-CN"/>
        </w:rPr>
      </w:pPr>
      <w:r>
        <w:rPr>
          <w:rFonts w:hint="eastAsia"/>
          <w:lang w:val="en-US" w:eastAsia="zh-CN"/>
        </w:rPr>
        <w:t>表 4-4 主模型 Top-K 预警性能对比</w:t>
      </w:r>
    </w:p>
    <w:tbl>
      <w:tblPr>
        <w:tblStyle w:val="27"/>
        <w:tblW w:w="0" w:type="auto"/>
        <w:jc w:val="center"/>
        <w:tblLayout w:type="autofit"/>
        <w:tblCellMar>
          <w:top w:w="0" w:type="dxa"/>
          <w:left w:w="108" w:type="dxa"/>
          <w:bottom w:w="0" w:type="dxa"/>
          <w:right w:w="108" w:type="dxa"/>
        </w:tblCellMar>
      </w:tblPr>
      <w:tblGrid>
        <w:gridCol w:w="2436"/>
        <w:gridCol w:w="1521"/>
        <w:gridCol w:w="1521"/>
        <w:gridCol w:w="1522"/>
        <w:gridCol w:w="1522"/>
      </w:tblGrid>
      <w:tr w14:paraId="6E1038E8">
        <w:tblPrEx>
          <w:tblCellMar>
            <w:top w:w="0" w:type="dxa"/>
            <w:left w:w="108" w:type="dxa"/>
            <w:bottom w:w="0" w:type="dxa"/>
            <w:right w:w="108" w:type="dxa"/>
          </w:tblCellMar>
        </w:tblPrEx>
        <w:trPr>
          <w:jc w:val="center"/>
        </w:trPr>
        <w:tc>
          <w:tcPr>
            <w:tcW w:w="2436" w:type="dxa"/>
            <w:tcBorders>
              <w:top w:val="single" w:color="000000" w:sz="12" w:space="0"/>
              <w:left w:val="nil"/>
              <w:bottom w:val="single" w:color="000000" w:sz="8" w:space="0"/>
              <w:right w:val="nil"/>
            </w:tcBorders>
            <w:vAlign w:val="center"/>
          </w:tcPr>
          <w:p w14:paraId="48732115">
            <w:pPr>
              <w:spacing w:after="62"/>
              <w:ind w:firstLine="361"/>
              <w:jc w:val="center"/>
              <w:rPr>
                <w:sz w:val="15"/>
                <w:szCs w:val="15"/>
              </w:rPr>
            </w:pPr>
            <w:r>
              <w:rPr>
                <w:rFonts w:ascii="宋体" w:hAnsi="宋体"/>
                <w:b/>
                <w:sz w:val="15"/>
                <w:szCs w:val="15"/>
              </w:rPr>
              <w:t>模型</w:t>
            </w:r>
          </w:p>
        </w:tc>
        <w:tc>
          <w:tcPr>
            <w:tcW w:w="1521" w:type="dxa"/>
            <w:tcBorders>
              <w:top w:val="single" w:color="000000" w:sz="12" w:space="0"/>
              <w:left w:val="nil"/>
              <w:bottom w:val="single" w:color="000000" w:sz="8" w:space="0"/>
              <w:right w:val="nil"/>
            </w:tcBorders>
            <w:vAlign w:val="center"/>
          </w:tcPr>
          <w:p w14:paraId="03C90910">
            <w:pPr>
              <w:spacing w:after="62"/>
              <w:ind w:firstLine="361"/>
              <w:jc w:val="center"/>
              <w:rPr>
                <w:sz w:val="15"/>
                <w:szCs w:val="15"/>
              </w:rPr>
            </w:pPr>
            <w:r>
              <w:rPr>
                <w:rFonts w:ascii="宋体" w:hAnsi="宋体"/>
                <w:b/>
                <w:sz w:val="15"/>
                <w:szCs w:val="15"/>
              </w:rPr>
              <w:t>P@100</w:t>
            </w:r>
          </w:p>
        </w:tc>
        <w:tc>
          <w:tcPr>
            <w:tcW w:w="1521" w:type="dxa"/>
            <w:tcBorders>
              <w:top w:val="single" w:color="000000" w:sz="12" w:space="0"/>
              <w:left w:val="nil"/>
              <w:bottom w:val="single" w:color="000000" w:sz="8" w:space="0"/>
              <w:right w:val="nil"/>
            </w:tcBorders>
            <w:vAlign w:val="center"/>
          </w:tcPr>
          <w:p w14:paraId="526D5A8B">
            <w:pPr>
              <w:spacing w:after="62"/>
              <w:ind w:firstLine="361"/>
              <w:jc w:val="center"/>
              <w:rPr>
                <w:sz w:val="15"/>
                <w:szCs w:val="15"/>
              </w:rPr>
            </w:pPr>
            <w:r>
              <w:rPr>
                <w:rFonts w:ascii="宋体" w:hAnsi="宋体"/>
                <w:b/>
                <w:sz w:val="15"/>
                <w:szCs w:val="15"/>
              </w:rPr>
              <w:t>P@200</w:t>
            </w:r>
          </w:p>
        </w:tc>
        <w:tc>
          <w:tcPr>
            <w:tcW w:w="1522" w:type="dxa"/>
            <w:tcBorders>
              <w:top w:val="single" w:color="000000" w:sz="12" w:space="0"/>
              <w:left w:val="nil"/>
              <w:bottom w:val="single" w:color="000000" w:sz="8" w:space="0"/>
              <w:right w:val="nil"/>
            </w:tcBorders>
            <w:vAlign w:val="center"/>
          </w:tcPr>
          <w:p w14:paraId="48375505">
            <w:pPr>
              <w:spacing w:after="62"/>
              <w:ind w:firstLine="361"/>
              <w:jc w:val="center"/>
              <w:rPr>
                <w:sz w:val="15"/>
                <w:szCs w:val="15"/>
              </w:rPr>
            </w:pPr>
            <w:r>
              <w:rPr>
                <w:rFonts w:ascii="宋体" w:hAnsi="宋体"/>
                <w:b/>
                <w:sz w:val="15"/>
                <w:szCs w:val="15"/>
              </w:rPr>
              <w:t>P@500</w:t>
            </w:r>
          </w:p>
        </w:tc>
        <w:tc>
          <w:tcPr>
            <w:tcW w:w="1522" w:type="dxa"/>
            <w:tcBorders>
              <w:top w:val="single" w:color="000000" w:sz="12" w:space="0"/>
              <w:left w:val="nil"/>
              <w:bottom w:val="single" w:color="000000" w:sz="8" w:space="0"/>
              <w:right w:val="nil"/>
            </w:tcBorders>
            <w:vAlign w:val="center"/>
          </w:tcPr>
          <w:p w14:paraId="0DC58872">
            <w:pPr>
              <w:spacing w:after="62"/>
              <w:ind w:firstLine="361"/>
              <w:jc w:val="center"/>
              <w:rPr>
                <w:sz w:val="15"/>
                <w:szCs w:val="15"/>
              </w:rPr>
            </w:pPr>
            <w:r>
              <w:rPr>
                <w:rFonts w:ascii="宋体" w:hAnsi="宋体"/>
                <w:b/>
                <w:sz w:val="15"/>
                <w:szCs w:val="15"/>
              </w:rPr>
              <w:t>R@500</w:t>
            </w:r>
          </w:p>
        </w:tc>
      </w:tr>
      <w:tr w14:paraId="252E869D">
        <w:tblPrEx>
          <w:tblCellMar>
            <w:top w:w="0" w:type="dxa"/>
            <w:left w:w="108" w:type="dxa"/>
            <w:bottom w:w="0" w:type="dxa"/>
            <w:right w:w="108" w:type="dxa"/>
          </w:tblCellMar>
        </w:tblPrEx>
        <w:trPr>
          <w:trHeight w:val="90" w:hRule="atLeast"/>
          <w:jc w:val="center"/>
        </w:trPr>
        <w:tc>
          <w:tcPr>
            <w:tcW w:w="2436" w:type="dxa"/>
            <w:tcBorders>
              <w:top w:val="nil"/>
              <w:left w:val="nil"/>
              <w:bottom w:val="nil"/>
              <w:right w:val="nil"/>
            </w:tcBorders>
            <w:vAlign w:val="center"/>
          </w:tcPr>
          <w:p w14:paraId="7F63FEA9">
            <w:pPr>
              <w:spacing w:after="62"/>
              <w:ind w:firstLine="360"/>
              <w:jc w:val="center"/>
              <w:rPr>
                <w:sz w:val="15"/>
                <w:szCs w:val="15"/>
              </w:rPr>
            </w:pPr>
            <w:r>
              <w:rPr>
                <w:rFonts w:ascii="宋体" w:hAnsi="宋体"/>
                <w:sz w:val="15"/>
                <w:szCs w:val="15"/>
              </w:rPr>
              <w:t>Logistic_Lasso</w:t>
            </w:r>
          </w:p>
        </w:tc>
        <w:tc>
          <w:tcPr>
            <w:tcW w:w="1521" w:type="dxa"/>
            <w:tcBorders>
              <w:top w:val="nil"/>
              <w:left w:val="nil"/>
              <w:bottom w:val="nil"/>
              <w:right w:val="nil"/>
            </w:tcBorders>
            <w:vAlign w:val="center"/>
          </w:tcPr>
          <w:p w14:paraId="3A2D8644">
            <w:pPr>
              <w:spacing w:after="62"/>
              <w:ind w:firstLine="360"/>
              <w:jc w:val="center"/>
              <w:rPr>
                <w:sz w:val="15"/>
                <w:szCs w:val="15"/>
              </w:rPr>
            </w:pPr>
            <w:r>
              <w:rPr>
                <w:rFonts w:ascii="宋体" w:hAnsi="宋体"/>
                <w:sz w:val="15"/>
                <w:szCs w:val="15"/>
              </w:rPr>
              <w:t>0.9400</w:t>
            </w:r>
          </w:p>
        </w:tc>
        <w:tc>
          <w:tcPr>
            <w:tcW w:w="1521" w:type="dxa"/>
            <w:tcBorders>
              <w:top w:val="nil"/>
              <w:left w:val="nil"/>
              <w:bottom w:val="nil"/>
              <w:right w:val="nil"/>
            </w:tcBorders>
            <w:vAlign w:val="center"/>
          </w:tcPr>
          <w:p w14:paraId="7F84B5B1">
            <w:pPr>
              <w:spacing w:after="62"/>
              <w:ind w:firstLine="360"/>
              <w:jc w:val="center"/>
              <w:rPr>
                <w:sz w:val="15"/>
                <w:szCs w:val="15"/>
              </w:rPr>
            </w:pPr>
            <w:r>
              <w:rPr>
                <w:rFonts w:ascii="宋体" w:hAnsi="宋体"/>
                <w:sz w:val="15"/>
                <w:szCs w:val="15"/>
              </w:rPr>
              <w:t>0.9650</w:t>
            </w:r>
          </w:p>
        </w:tc>
        <w:tc>
          <w:tcPr>
            <w:tcW w:w="1522" w:type="dxa"/>
            <w:tcBorders>
              <w:top w:val="nil"/>
              <w:left w:val="nil"/>
              <w:bottom w:val="nil"/>
              <w:right w:val="nil"/>
            </w:tcBorders>
            <w:vAlign w:val="center"/>
          </w:tcPr>
          <w:p w14:paraId="213B4316">
            <w:pPr>
              <w:spacing w:after="62"/>
              <w:ind w:firstLine="360"/>
              <w:jc w:val="center"/>
              <w:rPr>
                <w:sz w:val="15"/>
                <w:szCs w:val="15"/>
              </w:rPr>
            </w:pPr>
            <w:r>
              <w:rPr>
                <w:rFonts w:ascii="宋体" w:hAnsi="宋体"/>
                <w:sz w:val="15"/>
                <w:szCs w:val="15"/>
              </w:rPr>
              <w:t>0.8500</w:t>
            </w:r>
          </w:p>
        </w:tc>
        <w:tc>
          <w:tcPr>
            <w:tcW w:w="1522" w:type="dxa"/>
            <w:tcBorders>
              <w:top w:val="nil"/>
              <w:left w:val="nil"/>
              <w:bottom w:val="nil"/>
              <w:right w:val="nil"/>
            </w:tcBorders>
            <w:vAlign w:val="center"/>
          </w:tcPr>
          <w:p w14:paraId="7989592A">
            <w:pPr>
              <w:spacing w:after="62"/>
              <w:ind w:firstLine="360"/>
              <w:jc w:val="center"/>
              <w:rPr>
                <w:sz w:val="15"/>
                <w:szCs w:val="15"/>
              </w:rPr>
            </w:pPr>
            <w:r>
              <w:rPr>
                <w:rFonts w:ascii="宋体" w:hAnsi="宋体"/>
                <w:sz w:val="15"/>
                <w:szCs w:val="15"/>
              </w:rPr>
              <w:t>0.5313</w:t>
            </w:r>
          </w:p>
        </w:tc>
      </w:tr>
      <w:tr w14:paraId="46E4244B">
        <w:tblPrEx>
          <w:tblCellMar>
            <w:top w:w="0" w:type="dxa"/>
            <w:left w:w="108" w:type="dxa"/>
            <w:bottom w:w="0" w:type="dxa"/>
            <w:right w:w="108" w:type="dxa"/>
          </w:tblCellMar>
        </w:tblPrEx>
        <w:trPr>
          <w:jc w:val="center"/>
        </w:trPr>
        <w:tc>
          <w:tcPr>
            <w:tcW w:w="2436" w:type="dxa"/>
            <w:tcBorders>
              <w:top w:val="nil"/>
              <w:left w:val="nil"/>
              <w:bottom w:val="nil"/>
              <w:right w:val="nil"/>
            </w:tcBorders>
            <w:vAlign w:val="center"/>
          </w:tcPr>
          <w:p w14:paraId="04EEED4F">
            <w:pPr>
              <w:spacing w:after="62"/>
              <w:ind w:firstLine="360"/>
              <w:jc w:val="center"/>
              <w:rPr>
                <w:sz w:val="15"/>
                <w:szCs w:val="15"/>
              </w:rPr>
            </w:pPr>
            <w:r>
              <w:rPr>
                <w:rFonts w:ascii="宋体" w:hAnsi="宋体"/>
                <w:sz w:val="15"/>
                <w:szCs w:val="15"/>
              </w:rPr>
              <w:t>RandomForest</w:t>
            </w:r>
          </w:p>
        </w:tc>
        <w:tc>
          <w:tcPr>
            <w:tcW w:w="1521" w:type="dxa"/>
            <w:tcBorders>
              <w:top w:val="nil"/>
              <w:left w:val="nil"/>
              <w:bottom w:val="nil"/>
              <w:right w:val="nil"/>
            </w:tcBorders>
            <w:vAlign w:val="center"/>
          </w:tcPr>
          <w:p w14:paraId="5D12B2FC">
            <w:pPr>
              <w:spacing w:after="62"/>
              <w:ind w:firstLine="360"/>
              <w:jc w:val="center"/>
              <w:rPr>
                <w:sz w:val="15"/>
                <w:szCs w:val="15"/>
              </w:rPr>
            </w:pPr>
            <w:r>
              <w:rPr>
                <w:rFonts w:ascii="宋体" w:hAnsi="宋体"/>
                <w:sz w:val="15"/>
                <w:szCs w:val="15"/>
              </w:rPr>
              <w:t>0.9900</w:t>
            </w:r>
          </w:p>
        </w:tc>
        <w:tc>
          <w:tcPr>
            <w:tcW w:w="1521" w:type="dxa"/>
            <w:tcBorders>
              <w:top w:val="nil"/>
              <w:left w:val="nil"/>
              <w:bottom w:val="nil"/>
              <w:right w:val="nil"/>
            </w:tcBorders>
            <w:vAlign w:val="center"/>
          </w:tcPr>
          <w:p w14:paraId="31694BBC">
            <w:pPr>
              <w:spacing w:after="62"/>
              <w:ind w:firstLine="360"/>
              <w:jc w:val="center"/>
              <w:rPr>
                <w:sz w:val="15"/>
                <w:szCs w:val="15"/>
              </w:rPr>
            </w:pPr>
            <w:r>
              <w:rPr>
                <w:rFonts w:ascii="宋体" w:hAnsi="宋体"/>
                <w:sz w:val="15"/>
                <w:szCs w:val="15"/>
              </w:rPr>
              <w:t>0.9850</w:t>
            </w:r>
          </w:p>
        </w:tc>
        <w:tc>
          <w:tcPr>
            <w:tcW w:w="1522" w:type="dxa"/>
            <w:tcBorders>
              <w:top w:val="nil"/>
              <w:left w:val="nil"/>
              <w:bottom w:val="nil"/>
              <w:right w:val="nil"/>
            </w:tcBorders>
            <w:vAlign w:val="center"/>
          </w:tcPr>
          <w:p w14:paraId="2F8B2B23">
            <w:pPr>
              <w:spacing w:after="62"/>
              <w:ind w:firstLine="360"/>
              <w:jc w:val="center"/>
              <w:rPr>
                <w:sz w:val="15"/>
                <w:szCs w:val="15"/>
              </w:rPr>
            </w:pPr>
            <w:r>
              <w:rPr>
                <w:rFonts w:ascii="宋体" w:hAnsi="宋体"/>
                <w:sz w:val="15"/>
                <w:szCs w:val="15"/>
              </w:rPr>
              <w:t>0.9160</w:t>
            </w:r>
          </w:p>
        </w:tc>
        <w:tc>
          <w:tcPr>
            <w:tcW w:w="1522" w:type="dxa"/>
            <w:tcBorders>
              <w:top w:val="nil"/>
              <w:left w:val="nil"/>
              <w:bottom w:val="nil"/>
              <w:right w:val="nil"/>
            </w:tcBorders>
            <w:vAlign w:val="center"/>
          </w:tcPr>
          <w:p w14:paraId="0902AE44">
            <w:pPr>
              <w:spacing w:after="62"/>
              <w:ind w:firstLine="360"/>
              <w:jc w:val="center"/>
              <w:rPr>
                <w:sz w:val="15"/>
                <w:szCs w:val="15"/>
              </w:rPr>
            </w:pPr>
            <w:r>
              <w:rPr>
                <w:rFonts w:ascii="宋体" w:hAnsi="宋体"/>
                <w:sz w:val="15"/>
                <w:szCs w:val="15"/>
              </w:rPr>
              <w:t>0.5725</w:t>
            </w:r>
          </w:p>
        </w:tc>
      </w:tr>
      <w:tr w14:paraId="057CB5A2">
        <w:tblPrEx>
          <w:tblCellMar>
            <w:top w:w="0" w:type="dxa"/>
            <w:left w:w="108" w:type="dxa"/>
            <w:bottom w:w="0" w:type="dxa"/>
            <w:right w:w="108" w:type="dxa"/>
          </w:tblCellMar>
        </w:tblPrEx>
        <w:trPr>
          <w:jc w:val="center"/>
        </w:trPr>
        <w:tc>
          <w:tcPr>
            <w:tcW w:w="2436" w:type="dxa"/>
            <w:tcBorders>
              <w:top w:val="nil"/>
              <w:left w:val="nil"/>
              <w:bottom w:val="nil"/>
              <w:right w:val="nil"/>
            </w:tcBorders>
            <w:vAlign w:val="center"/>
          </w:tcPr>
          <w:p w14:paraId="395136ED">
            <w:pPr>
              <w:spacing w:after="62"/>
              <w:ind w:firstLine="360"/>
              <w:jc w:val="center"/>
              <w:rPr>
                <w:sz w:val="15"/>
                <w:szCs w:val="15"/>
              </w:rPr>
            </w:pPr>
            <w:r>
              <w:rPr>
                <w:rFonts w:ascii="宋体" w:hAnsi="宋体"/>
                <w:sz w:val="15"/>
                <w:szCs w:val="15"/>
              </w:rPr>
              <w:t>ExtraTrees</w:t>
            </w:r>
          </w:p>
        </w:tc>
        <w:tc>
          <w:tcPr>
            <w:tcW w:w="1521" w:type="dxa"/>
            <w:tcBorders>
              <w:top w:val="nil"/>
              <w:left w:val="nil"/>
              <w:bottom w:val="nil"/>
              <w:right w:val="nil"/>
            </w:tcBorders>
            <w:vAlign w:val="center"/>
          </w:tcPr>
          <w:p w14:paraId="7BB4E83A">
            <w:pPr>
              <w:spacing w:after="62"/>
              <w:ind w:firstLine="360"/>
              <w:jc w:val="center"/>
              <w:rPr>
                <w:sz w:val="15"/>
                <w:szCs w:val="15"/>
              </w:rPr>
            </w:pPr>
            <w:r>
              <w:rPr>
                <w:rFonts w:ascii="宋体" w:hAnsi="宋体"/>
                <w:sz w:val="15"/>
                <w:szCs w:val="15"/>
              </w:rPr>
              <w:t>0.9900</w:t>
            </w:r>
          </w:p>
        </w:tc>
        <w:tc>
          <w:tcPr>
            <w:tcW w:w="1521" w:type="dxa"/>
            <w:tcBorders>
              <w:top w:val="nil"/>
              <w:left w:val="nil"/>
              <w:bottom w:val="nil"/>
              <w:right w:val="nil"/>
            </w:tcBorders>
            <w:vAlign w:val="center"/>
          </w:tcPr>
          <w:p w14:paraId="663DF9DF">
            <w:pPr>
              <w:spacing w:after="62"/>
              <w:ind w:firstLine="360"/>
              <w:jc w:val="center"/>
              <w:rPr>
                <w:sz w:val="15"/>
                <w:szCs w:val="15"/>
              </w:rPr>
            </w:pPr>
            <w:r>
              <w:rPr>
                <w:rFonts w:ascii="宋体" w:hAnsi="宋体"/>
                <w:sz w:val="15"/>
                <w:szCs w:val="15"/>
              </w:rPr>
              <w:t>0.9900</w:t>
            </w:r>
          </w:p>
        </w:tc>
        <w:tc>
          <w:tcPr>
            <w:tcW w:w="1522" w:type="dxa"/>
            <w:tcBorders>
              <w:top w:val="nil"/>
              <w:left w:val="nil"/>
              <w:bottom w:val="nil"/>
              <w:right w:val="nil"/>
            </w:tcBorders>
            <w:vAlign w:val="center"/>
          </w:tcPr>
          <w:p w14:paraId="72A7C324">
            <w:pPr>
              <w:spacing w:after="62"/>
              <w:ind w:firstLine="360"/>
              <w:jc w:val="center"/>
              <w:rPr>
                <w:sz w:val="15"/>
                <w:szCs w:val="15"/>
              </w:rPr>
            </w:pPr>
            <w:r>
              <w:rPr>
                <w:rFonts w:ascii="宋体" w:hAnsi="宋体"/>
                <w:sz w:val="15"/>
                <w:szCs w:val="15"/>
              </w:rPr>
              <w:t>0.9640</w:t>
            </w:r>
          </w:p>
        </w:tc>
        <w:tc>
          <w:tcPr>
            <w:tcW w:w="1522" w:type="dxa"/>
            <w:tcBorders>
              <w:top w:val="nil"/>
              <w:left w:val="nil"/>
              <w:bottom w:val="nil"/>
              <w:right w:val="nil"/>
            </w:tcBorders>
            <w:vAlign w:val="center"/>
          </w:tcPr>
          <w:p w14:paraId="28F621D5">
            <w:pPr>
              <w:spacing w:after="62"/>
              <w:ind w:firstLine="360"/>
              <w:jc w:val="center"/>
              <w:rPr>
                <w:sz w:val="15"/>
                <w:szCs w:val="15"/>
              </w:rPr>
            </w:pPr>
            <w:r>
              <w:rPr>
                <w:rFonts w:ascii="宋体" w:hAnsi="宋体"/>
                <w:sz w:val="15"/>
                <w:szCs w:val="15"/>
              </w:rPr>
              <w:t>0.6025</w:t>
            </w:r>
          </w:p>
        </w:tc>
      </w:tr>
      <w:tr w14:paraId="544C45A3">
        <w:tblPrEx>
          <w:tblCellMar>
            <w:top w:w="0" w:type="dxa"/>
            <w:left w:w="108" w:type="dxa"/>
            <w:bottom w:w="0" w:type="dxa"/>
            <w:right w:w="108" w:type="dxa"/>
          </w:tblCellMar>
        </w:tblPrEx>
        <w:trPr>
          <w:jc w:val="center"/>
        </w:trPr>
        <w:tc>
          <w:tcPr>
            <w:tcW w:w="2436" w:type="dxa"/>
            <w:tcBorders>
              <w:top w:val="nil"/>
              <w:left w:val="nil"/>
              <w:bottom w:val="nil"/>
              <w:right w:val="nil"/>
            </w:tcBorders>
            <w:vAlign w:val="center"/>
          </w:tcPr>
          <w:p w14:paraId="1C50C5BF">
            <w:pPr>
              <w:spacing w:after="62"/>
              <w:ind w:firstLine="360"/>
              <w:jc w:val="center"/>
              <w:rPr>
                <w:sz w:val="15"/>
                <w:szCs w:val="15"/>
              </w:rPr>
            </w:pPr>
            <w:r>
              <w:rPr>
                <w:rFonts w:ascii="宋体" w:hAnsi="宋体"/>
                <w:sz w:val="15"/>
                <w:szCs w:val="15"/>
              </w:rPr>
              <w:t>MLP</w:t>
            </w:r>
          </w:p>
        </w:tc>
        <w:tc>
          <w:tcPr>
            <w:tcW w:w="1521" w:type="dxa"/>
            <w:tcBorders>
              <w:top w:val="nil"/>
              <w:left w:val="nil"/>
              <w:bottom w:val="nil"/>
              <w:right w:val="nil"/>
            </w:tcBorders>
            <w:vAlign w:val="center"/>
          </w:tcPr>
          <w:p w14:paraId="61BEE536">
            <w:pPr>
              <w:spacing w:after="62"/>
              <w:ind w:firstLine="360"/>
              <w:jc w:val="center"/>
              <w:rPr>
                <w:sz w:val="15"/>
                <w:szCs w:val="15"/>
              </w:rPr>
            </w:pPr>
            <w:r>
              <w:rPr>
                <w:rFonts w:ascii="宋体" w:hAnsi="宋体"/>
                <w:sz w:val="15"/>
                <w:szCs w:val="15"/>
              </w:rPr>
              <w:t>0.9800</w:t>
            </w:r>
          </w:p>
        </w:tc>
        <w:tc>
          <w:tcPr>
            <w:tcW w:w="1521" w:type="dxa"/>
            <w:tcBorders>
              <w:top w:val="nil"/>
              <w:left w:val="nil"/>
              <w:bottom w:val="nil"/>
              <w:right w:val="nil"/>
            </w:tcBorders>
            <w:vAlign w:val="center"/>
          </w:tcPr>
          <w:p w14:paraId="736C24A0">
            <w:pPr>
              <w:spacing w:after="62"/>
              <w:ind w:firstLine="360"/>
              <w:jc w:val="center"/>
              <w:rPr>
                <w:sz w:val="15"/>
                <w:szCs w:val="15"/>
              </w:rPr>
            </w:pPr>
            <w:r>
              <w:rPr>
                <w:rFonts w:ascii="宋体" w:hAnsi="宋体"/>
                <w:sz w:val="15"/>
                <w:szCs w:val="15"/>
              </w:rPr>
              <w:t>0.9800</w:t>
            </w:r>
          </w:p>
        </w:tc>
        <w:tc>
          <w:tcPr>
            <w:tcW w:w="1522" w:type="dxa"/>
            <w:tcBorders>
              <w:top w:val="nil"/>
              <w:left w:val="nil"/>
              <w:bottom w:val="nil"/>
              <w:right w:val="nil"/>
            </w:tcBorders>
            <w:vAlign w:val="center"/>
          </w:tcPr>
          <w:p w14:paraId="16C6106E">
            <w:pPr>
              <w:spacing w:after="62"/>
              <w:ind w:firstLine="360"/>
              <w:jc w:val="center"/>
              <w:rPr>
                <w:sz w:val="15"/>
                <w:szCs w:val="15"/>
              </w:rPr>
            </w:pPr>
            <w:r>
              <w:rPr>
                <w:rFonts w:ascii="宋体" w:hAnsi="宋体"/>
                <w:sz w:val="15"/>
                <w:szCs w:val="15"/>
              </w:rPr>
              <w:t>0.9080</w:t>
            </w:r>
          </w:p>
        </w:tc>
        <w:tc>
          <w:tcPr>
            <w:tcW w:w="1522" w:type="dxa"/>
            <w:tcBorders>
              <w:top w:val="nil"/>
              <w:left w:val="nil"/>
              <w:bottom w:val="nil"/>
              <w:right w:val="nil"/>
            </w:tcBorders>
            <w:vAlign w:val="center"/>
          </w:tcPr>
          <w:p w14:paraId="4770FAA4">
            <w:pPr>
              <w:spacing w:after="62"/>
              <w:ind w:firstLine="360"/>
              <w:jc w:val="center"/>
              <w:rPr>
                <w:sz w:val="15"/>
                <w:szCs w:val="15"/>
              </w:rPr>
            </w:pPr>
            <w:r>
              <w:rPr>
                <w:rFonts w:ascii="宋体" w:hAnsi="宋体"/>
                <w:sz w:val="15"/>
                <w:szCs w:val="15"/>
              </w:rPr>
              <w:t>0.5675</w:t>
            </w:r>
          </w:p>
        </w:tc>
      </w:tr>
      <w:tr w14:paraId="6763E08E">
        <w:tblPrEx>
          <w:tblCellMar>
            <w:top w:w="0" w:type="dxa"/>
            <w:left w:w="108" w:type="dxa"/>
            <w:bottom w:w="0" w:type="dxa"/>
            <w:right w:w="108" w:type="dxa"/>
          </w:tblCellMar>
        </w:tblPrEx>
        <w:trPr>
          <w:jc w:val="center"/>
        </w:trPr>
        <w:tc>
          <w:tcPr>
            <w:tcW w:w="2436" w:type="dxa"/>
            <w:tcBorders>
              <w:top w:val="nil"/>
              <w:left w:val="nil"/>
              <w:bottom w:val="nil"/>
              <w:right w:val="nil"/>
            </w:tcBorders>
            <w:vAlign w:val="center"/>
          </w:tcPr>
          <w:p w14:paraId="0D1852D0">
            <w:pPr>
              <w:spacing w:after="62"/>
              <w:ind w:firstLine="360"/>
              <w:jc w:val="center"/>
              <w:rPr>
                <w:sz w:val="15"/>
                <w:szCs w:val="15"/>
              </w:rPr>
            </w:pPr>
            <w:r>
              <w:rPr>
                <w:rFonts w:ascii="宋体" w:hAnsi="宋体"/>
                <w:sz w:val="15"/>
                <w:szCs w:val="15"/>
              </w:rPr>
              <w:t>XGBoost</w:t>
            </w:r>
          </w:p>
        </w:tc>
        <w:tc>
          <w:tcPr>
            <w:tcW w:w="1521" w:type="dxa"/>
            <w:tcBorders>
              <w:top w:val="nil"/>
              <w:left w:val="nil"/>
              <w:bottom w:val="nil"/>
              <w:right w:val="nil"/>
            </w:tcBorders>
            <w:vAlign w:val="center"/>
          </w:tcPr>
          <w:p w14:paraId="792DABCF">
            <w:pPr>
              <w:spacing w:after="62"/>
              <w:ind w:firstLine="360"/>
              <w:jc w:val="center"/>
              <w:rPr>
                <w:sz w:val="15"/>
                <w:szCs w:val="15"/>
              </w:rPr>
            </w:pPr>
            <w:r>
              <w:rPr>
                <w:rFonts w:ascii="宋体" w:hAnsi="宋体"/>
                <w:sz w:val="15"/>
                <w:szCs w:val="15"/>
              </w:rPr>
              <w:t>1.0000</w:t>
            </w:r>
          </w:p>
        </w:tc>
        <w:tc>
          <w:tcPr>
            <w:tcW w:w="1521" w:type="dxa"/>
            <w:tcBorders>
              <w:top w:val="nil"/>
              <w:left w:val="nil"/>
              <w:bottom w:val="nil"/>
              <w:right w:val="nil"/>
            </w:tcBorders>
            <w:vAlign w:val="center"/>
          </w:tcPr>
          <w:p w14:paraId="68251184">
            <w:pPr>
              <w:spacing w:after="62"/>
              <w:ind w:firstLine="360"/>
              <w:jc w:val="center"/>
              <w:rPr>
                <w:sz w:val="15"/>
                <w:szCs w:val="15"/>
              </w:rPr>
            </w:pPr>
            <w:r>
              <w:rPr>
                <w:rFonts w:ascii="宋体" w:hAnsi="宋体"/>
                <w:sz w:val="15"/>
                <w:szCs w:val="15"/>
              </w:rPr>
              <w:t>1.0000</w:t>
            </w:r>
          </w:p>
        </w:tc>
        <w:tc>
          <w:tcPr>
            <w:tcW w:w="1522" w:type="dxa"/>
            <w:tcBorders>
              <w:top w:val="nil"/>
              <w:left w:val="nil"/>
              <w:bottom w:val="nil"/>
              <w:right w:val="nil"/>
            </w:tcBorders>
            <w:vAlign w:val="center"/>
          </w:tcPr>
          <w:p w14:paraId="711DF5C1">
            <w:pPr>
              <w:spacing w:after="62"/>
              <w:ind w:firstLine="360"/>
              <w:jc w:val="center"/>
              <w:rPr>
                <w:sz w:val="15"/>
                <w:szCs w:val="15"/>
              </w:rPr>
            </w:pPr>
            <w:r>
              <w:rPr>
                <w:rFonts w:ascii="宋体" w:hAnsi="宋体"/>
                <w:sz w:val="15"/>
                <w:szCs w:val="15"/>
              </w:rPr>
              <w:t>0.9720</w:t>
            </w:r>
          </w:p>
        </w:tc>
        <w:tc>
          <w:tcPr>
            <w:tcW w:w="1522" w:type="dxa"/>
            <w:tcBorders>
              <w:top w:val="nil"/>
              <w:left w:val="nil"/>
              <w:bottom w:val="nil"/>
              <w:right w:val="nil"/>
            </w:tcBorders>
            <w:vAlign w:val="center"/>
          </w:tcPr>
          <w:p w14:paraId="2569D02C">
            <w:pPr>
              <w:spacing w:after="62"/>
              <w:ind w:firstLine="360"/>
              <w:jc w:val="center"/>
              <w:rPr>
                <w:sz w:val="15"/>
                <w:szCs w:val="15"/>
              </w:rPr>
            </w:pPr>
            <w:r>
              <w:rPr>
                <w:rFonts w:ascii="宋体" w:hAnsi="宋体"/>
                <w:sz w:val="15"/>
                <w:szCs w:val="15"/>
              </w:rPr>
              <w:t>0.6075</w:t>
            </w:r>
          </w:p>
        </w:tc>
      </w:tr>
      <w:tr w14:paraId="2800B17A">
        <w:tblPrEx>
          <w:tblCellMar>
            <w:top w:w="0" w:type="dxa"/>
            <w:left w:w="108" w:type="dxa"/>
            <w:bottom w:w="0" w:type="dxa"/>
            <w:right w:w="108" w:type="dxa"/>
          </w:tblCellMar>
        </w:tblPrEx>
        <w:trPr>
          <w:jc w:val="center"/>
        </w:trPr>
        <w:tc>
          <w:tcPr>
            <w:tcW w:w="2436" w:type="dxa"/>
            <w:tcBorders>
              <w:top w:val="nil"/>
              <w:left w:val="nil"/>
              <w:bottom w:val="nil"/>
              <w:right w:val="nil"/>
            </w:tcBorders>
            <w:vAlign w:val="center"/>
          </w:tcPr>
          <w:p w14:paraId="7DAA86BE">
            <w:pPr>
              <w:spacing w:after="62"/>
              <w:ind w:firstLine="360"/>
              <w:jc w:val="center"/>
              <w:rPr>
                <w:sz w:val="15"/>
                <w:szCs w:val="15"/>
              </w:rPr>
            </w:pPr>
            <w:r>
              <w:rPr>
                <w:rFonts w:ascii="宋体" w:hAnsi="宋体"/>
                <w:sz w:val="15"/>
                <w:szCs w:val="15"/>
              </w:rPr>
              <w:t>HistGradientBoosting</w:t>
            </w:r>
          </w:p>
        </w:tc>
        <w:tc>
          <w:tcPr>
            <w:tcW w:w="1521" w:type="dxa"/>
            <w:tcBorders>
              <w:top w:val="nil"/>
              <w:left w:val="nil"/>
              <w:bottom w:val="nil"/>
              <w:right w:val="nil"/>
            </w:tcBorders>
            <w:vAlign w:val="center"/>
          </w:tcPr>
          <w:p w14:paraId="12001B17">
            <w:pPr>
              <w:spacing w:after="62"/>
              <w:ind w:firstLine="360"/>
              <w:jc w:val="center"/>
              <w:rPr>
                <w:sz w:val="15"/>
                <w:szCs w:val="15"/>
              </w:rPr>
            </w:pPr>
            <w:r>
              <w:rPr>
                <w:rFonts w:ascii="宋体" w:hAnsi="宋体"/>
                <w:sz w:val="15"/>
                <w:szCs w:val="15"/>
              </w:rPr>
              <w:t>1.0000</w:t>
            </w:r>
          </w:p>
        </w:tc>
        <w:tc>
          <w:tcPr>
            <w:tcW w:w="1521" w:type="dxa"/>
            <w:tcBorders>
              <w:top w:val="nil"/>
              <w:left w:val="nil"/>
              <w:bottom w:val="nil"/>
              <w:right w:val="nil"/>
            </w:tcBorders>
            <w:vAlign w:val="center"/>
          </w:tcPr>
          <w:p w14:paraId="291C02C5">
            <w:pPr>
              <w:spacing w:after="62"/>
              <w:ind w:firstLine="360"/>
              <w:jc w:val="center"/>
              <w:rPr>
                <w:sz w:val="15"/>
                <w:szCs w:val="15"/>
              </w:rPr>
            </w:pPr>
            <w:r>
              <w:rPr>
                <w:rFonts w:ascii="宋体" w:hAnsi="宋体"/>
                <w:sz w:val="15"/>
                <w:szCs w:val="15"/>
              </w:rPr>
              <w:t>1.0000</w:t>
            </w:r>
          </w:p>
        </w:tc>
        <w:tc>
          <w:tcPr>
            <w:tcW w:w="1522" w:type="dxa"/>
            <w:tcBorders>
              <w:top w:val="nil"/>
              <w:left w:val="nil"/>
              <w:bottom w:val="nil"/>
              <w:right w:val="nil"/>
            </w:tcBorders>
            <w:vAlign w:val="center"/>
          </w:tcPr>
          <w:p w14:paraId="32A308FF">
            <w:pPr>
              <w:spacing w:after="62"/>
              <w:ind w:firstLine="360"/>
              <w:jc w:val="center"/>
              <w:rPr>
                <w:sz w:val="15"/>
                <w:szCs w:val="15"/>
              </w:rPr>
            </w:pPr>
            <w:r>
              <w:rPr>
                <w:rFonts w:ascii="宋体" w:hAnsi="宋体"/>
                <w:sz w:val="15"/>
                <w:szCs w:val="15"/>
              </w:rPr>
              <w:t>0.9760</w:t>
            </w:r>
          </w:p>
        </w:tc>
        <w:tc>
          <w:tcPr>
            <w:tcW w:w="1522" w:type="dxa"/>
            <w:tcBorders>
              <w:top w:val="nil"/>
              <w:left w:val="nil"/>
              <w:bottom w:val="nil"/>
              <w:right w:val="nil"/>
            </w:tcBorders>
            <w:vAlign w:val="center"/>
          </w:tcPr>
          <w:p w14:paraId="339CF8C7">
            <w:pPr>
              <w:spacing w:after="62"/>
              <w:ind w:firstLine="360"/>
              <w:jc w:val="center"/>
              <w:rPr>
                <w:sz w:val="15"/>
                <w:szCs w:val="15"/>
              </w:rPr>
            </w:pPr>
            <w:r>
              <w:rPr>
                <w:rFonts w:ascii="宋体" w:hAnsi="宋体"/>
                <w:sz w:val="15"/>
                <w:szCs w:val="15"/>
              </w:rPr>
              <w:t>0.6100</w:t>
            </w:r>
          </w:p>
        </w:tc>
      </w:tr>
      <w:tr w14:paraId="79BCE91A">
        <w:tblPrEx>
          <w:tblCellMar>
            <w:top w:w="0" w:type="dxa"/>
            <w:left w:w="108" w:type="dxa"/>
            <w:bottom w:w="0" w:type="dxa"/>
            <w:right w:w="108" w:type="dxa"/>
          </w:tblCellMar>
        </w:tblPrEx>
        <w:trPr>
          <w:trHeight w:val="90" w:hRule="atLeast"/>
          <w:jc w:val="center"/>
        </w:trPr>
        <w:tc>
          <w:tcPr>
            <w:tcW w:w="2436" w:type="dxa"/>
            <w:tcBorders>
              <w:top w:val="nil"/>
              <w:left w:val="nil"/>
              <w:bottom w:val="nil"/>
              <w:right w:val="nil"/>
            </w:tcBorders>
            <w:vAlign w:val="center"/>
          </w:tcPr>
          <w:p w14:paraId="3DA55E3A">
            <w:pPr>
              <w:spacing w:after="62"/>
              <w:ind w:firstLine="360"/>
              <w:jc w:val="center"/>
              <w:rPr>
                <w:sz w:val="15"/>
                <w:szCs w:val="15"/>
              </w:rPr>
            </w:pPr>
            <w:r>
              <w:rPr>
                <w:rFonts w:ascii="宋体" w:hAnsi="宋体"/>
                <w:sz w:val="15"/>
                <w:szCs w:val="15"/>
              </w:rPr>
              <w:t>CatBoost</w:t>
            </w:r>
          </w:p>
        </w:tc>
        <w:tc>
          <w:tcPr>
            <w:tcW w:w="1521" w:type="dxa"/>
            <w:tcBorders>
              <w:top w:val="nil"/>
              <w:left w:val="nil"/>
              <w:bottom w:val="nil"/>
              <w:right w:val="nil"/>
            </w:tcBorders>
            <w:vAlign w:val="center"/>
          </w:tcPr>
          <w:p w14:paraId="0C1CA6CC">
            <w:pPr>
              <w:spacing w:after="62"/>
              <w:ind w:firstLine="360"/>
              <w:jc w:val="center"/>
              <w:rPr>
                <w:sz w:val="15"/>
                <w:szCs w:val="15"/>
              </w:rPr>
            </w:pPr>
            <w:r>
              <w:rPr>
                <w:rFonts w:ascii="宋体" w:hAnsi="宋体"/>
                <w:sz w:val="15"/>
                <w:szCs w:val="15"/>
              </w:rPr>
              <w:t>1.0000</w:t>
            </w:r>
          </w:p>
        </w:tc>
        <w:tc>
          <w:tcPr>
            <w:tcW w:w="1521" w:type="dxa"/>
            <w:tcBorders>
              <w:top w:val="nil"/>
              <w:left w:val="nil"/>
              <w:bottom w:val="nil"/>
              <w:right w:val="nil"/>
            </w:tcBorders>
            <w:vAlign w:val="center"/>
          </w:tcPr>
          <w:p w14:paraId="42379DC7">
            <w:pPr>
              <w:spacing w:after="62"/>
              <w:ind w:firstLine="360"/>
              <w:jc w:val="center"/>
              <w:rPr>
                <w:sz w:val="15"/>
                <w:szCs w:val="15"/>
              </w:rPr>
            </w:pPr>
            <w:r>
              <w:rPr>
                <w:rFonts w:ascii="宋体" w:hAnsi="宋体"/>
                <w:sz w:val="15"/>
                <w:szCs w:val="15"/>
              </w:rPr>
              <w:t>0.9900</w:t>
            </w:r>
          </w:p>
        </w:tc>
        <w:tc>
          <w:tcPr>
            <w:tcW w:w="1522" w:type="dxa"/>
            <w:tcBorders>
              <w:top w:val="nil"/>
              <w:left w:val="nil"/>
              <w:bottom w:val="nil"/>
              <w:right w:val="nil"/>
            </w:tcBorders>
            <w:vAlign w:val="center"/>
          </w:tcPr>
          <w:p w14:paraId="6AACA193">
            <w:pPr>
              <w:spacing w:after="62"/>
              <w:ind w:firstLine="360"/>
              <w:jc w:val="center"/>
              <w:rPr>
                <w:sz w:val="15"/>
                <w:szCs w:val="15"/>
              </w:rPr>
            </w:pPr>
            <w:r>
              <w:rPr>
                <w:rFonts w:ascii="宋体" w:hAnsi="宋体"/>
                <w:sz w:val="15"/>
                <w:szCs w:val="15"/>
              </w:rPr>
              <w:t>0.9800</w:t>
            </w:r>
          </w:p>
        </w:tc>
        <w:tc>
          <w:tcPr>
            <w:tcW w:w="1522" w:type="dxa"/>
            <w:tcBorders>
              <w:top w:val="nil"/>
              <w:left w:val="nil"/>
              <w:bottom w:val="nil"/>
              <w:right w:val="nil"/>
            </w:tcBorders>
            <w:vAlign w:val="center"/>
          </w:tcPr>
          <w:p w14:paraId="7BBF6CC6">
            <w:pPr>
              <w:spacing w:after="62"/>
              <w:ind w:firstLine="360"/>
              <w:jc w:val="center"/>
              <w:rPr>
                <w:sz w:val="15"/>
                <w:szCs w:val="15"/>
              </w:rPr>
            </w:pPr>
            <w:r>
              <w:rPr>
                <w:rFonts w:ascii="宋体" w:hAnsi="宋体"/>
                <w:sz w:val="15"/>
                <w:szCs w:val="15"/>
              </w:rPr>
              <w:t>0.6125</w:t>
            </w:r>
          </w:p>
        </w:tc>
      </w:tr>
      <w:tr w14:paraId="0439ECF2">
        <w:tblPrEx>
          <w:tblCellMar>
            <w:top w:w="0" w:type="dxa"/>
            <w:left w:w="108" w:type="dxa"/>
            <w:bottom w:w="0" w:type="dxa"/>
            <w:right w:w="108" w:type="dxa"/>
          </w:tblCellMar>
        </w:tblPrEx>
        <w:trPr>
          <w:jc w:val="center"/>
        </w:trPr>
        <w:tc>
          <w:tcPr>
            <w:tcW w:w="2436" w:type="dxa"/>
            <w:tcBorders>
              <w:top w:val="nil"/>
              <w:left w:val="nil"/>
              <w:bottom w:val="single" w:color="000000" w:sz="12" w:space="0"/>
              <w:right w:val="nil"/>
            </w:tcBorders>
            <w:vAlign w:val="center"/>
          </w:tcPr>
          <w:p w14:paraId="5F479057">
            <w:pPr>
              <w:spacing w:after="62"/>
              <w:ind w:firstLine="360"/>
              <w:jc w:val="center"/>
              <w:rPr>
                <w:sz w:val="15"/>
                <w:szCs w:val="15"/>
              </w:rPr>
            </w:pPr>
            <w:r>
              <w:rPr>
                <w:rFonts w:ascii="宋体" w:hAnsi="宋体"/>
                <w:sz w:val="15"/>
                <w:szCs w:val="15"/>
              </w:rPr>
              <w:t>CBRM（本文）</w:t>
            </w:r>
          </w:p>
        </w:tc>
        <w:tc>
          <w:tcPr>
            <w:tcW w:w="1521" w:type="dxa"/>
            <w:tcBorders>
              <w:top w:val="nil"/>
              <w:left w:val="nil"/>
              <w:bottom w:val="single" w:color="000000" w:sz="12" w:space="0"/>
              <w:right w:val="nil"/>
            </w:tcBorders>
            <w:vAlign w:val="center"/>
          </w:tcPr>
          <w:p w14:paraId="57794A39">
            <w:pPr>
              <w:spacing w:after="62"/>
              <w:ind w:firstLine="360"/>
              <w:jc w:val="center"/>
              <w:rPr>
                <w:sz w:val="15"/>
                <w:szCs w:val="15"/>
              </w:rPr>
            </w:pPr>
            <w:r>
              <w:rPr>
                <w:rFonts w:ascii="宋体" w:hAnsi="宋体"/>
                <w:sz w:val="15"/>
                <w:szCs w:val="15"/>
              </w:rPr>
              <w:t>1.0000</w:t>
            </w:r>
          </w:p>
        </w:tc>
        <w:tc>
          <w:tcPr>
            <w:tcW w:w="1521" w:type="dxa"/>
            <w:tcBorders>
              <w:top w:val="nil"/>
              <w:left w:val="nil"/>
              <w:bottom w:val="single" w:color="000000" w:sz="12" w:space="0"/>
              <w:right w:val="nil"/>
            </w:tcBorders>
            <w:vAlign w:val="center"/>
          </w:tcPr>
          <w:p w14:paraId="632146C5">
            <w:pPr>
              <w:spacing w:after="62"/>
              <w:ind w:firstLine="360"/>
              <w:jc w:val="center"/>
              <w:rPr>
                <w:sz w:val="15"/>
                <w:szCs w:val="15"/>
              </w:rPr>
            </w:pPr>
            <w:r>
              <w:rPr>
                <w:rFonts w:ascii="宋体" w:hAnsi="宋体"/>
                <w:sz w:val="15"/>
                <w:szCs w:val="15"/>
              </w:rPr>
              <w:t>0.9950</w:t>
            </w:r>
          </w:p>
        </w:tc>
        <w:tc>
          <w:tcPr>
            <w:tcW w:w="1522" w:type="dxa"/>
            <w:tcBorders>
              <w:top w:val="nil"/>
              <w:left w:val="nil"/>
              <w:bottom w:val="single" w:color="000000" w:sz="12" w:space="0"/>
              <w:right w:val="nil"/>
            </w:tcBorders>
            <w:vAlign w:val="center"/>
          </w:tcPr>
          <w:p w14:paraId="0EA4DA26">
            <w:pPr>
              <w:spacing w:after="62"/>
              <w:ind w:firstLine="360"/>
              <w:jc w:val="center"/>
              <w:rPr>
                <w:sz w:val="15"/>
                <w:szCs w:val="15"/>
              </w:rPr>
            </w:pPr>
            <w:r>
              <w:rPr>
                <w:rFonts w:ascii="宋体" w:hAnsi="宋体"/>
                <w:sz w:val="15"/>
                <w:szCs w:val="15"/>
              </w:rPr>
              <w:t>0.9820</w:t>
            </w:r>
          </w:p>
        </w:tc>
        <w:tc>
          <w:tcPr>
            <w:tcW w:w="1522" w:type="dxa"/>
            <w:tcBorders>
              <w:top w:val="nil"/>
              <w:left w:val="nil"/>
              <w:bottom w:val="single" w:color="000000" w:sz="12" w:space="0"/>
              <w:right w:val="nil"/>
            </w:tcBorders>
            <w:vAlign w:val="center"/>
          </w:tcPr>
          <w:p w14:paraId="65518A77">
            <w:pPr>
              <w:spacing w:after="62"/>
              <w:ind w:firstLine="360"/>
              <w:jc w:val="center"/>
              <w:rPr>
                <w:sz w:val="15"/>
                <w:szCs w:val="15"/>
              </w:rPr>
            </w:pPr>
            <w:r>
              <w:rPr>
                <w:rFonts w:ascii="宋体" w:hAnsi="宋体"/>
                <w:sz w:val="15"/>
                <w:szCs w:val="15"/>
              </w:rPr>
              <w:t>0.6138</w:t>
            </w:r>
          </w:p>
        </w:tc>
      </w:tr>
    </w:tbl>
    <w:p w14:paraId="3D43C11A">
      <w:pPr>
        <w:pStyle w:val="9"/>
        <w:bidi w:val="0"/>
      </w:pPr>
      <w:r>
        <w:rPr>
          <w:rFonts w:hint="eastAsia"/>
        </w:rPr>
        <w:t>注：BAcc 表示 Balanced Accuracy；P@K 表示 Precision@K；R@K 表示 Recall@K。CatBoost 与 CBRM 采用最终调优参数下的测试集结果，其余基线模型采用相同数据划分与特征集合下的正式对比实验结果。</w:t>
      </w:r>
    </w:p>
    <w:p w14:paraId="539F31A9">
      <w:pPr>
        <w:pStyle w:val="3"/>
        <w:bidi w:val="0"/>
        <w:rPr>
          <w:rFonts w:hint="eastAsia"/>
        </w:rPr>
      </w:pPr>
      <w:r>
        <w:t xml:space="preserve">4.3 </w:t>
      </w:r>
      <w:r>
        <w:rPr>
          <w:rFonts w:hint="eastAsia"/>
        </w:rPr>
        <w:t>级联重排序机制检验</w:t>
      </w:r>
    </w:p>
    <w:p w14:paraId="634066E3">
      <w:pPr>
        <w:rPr>
          <w:rFonts w:hint="eastAsia"/>
        </w:rPr>
      </w:pPr>
      <w:r>
        <w:rPr>
          <w:rFonts w:hint="eastAsia"/>
        </w:rPr>
        <w:t>本小节通</w:t>
      </w:r>
      <w:r>
        <w:rPr>
          <w:rFonts w:hint="eastAsia"/>
        </w:rPr>
        <w:t>过消融实验与参数分析，深入解构 CBRM 的工作机制，验证其增量价值并非源于特征工程的简单堆叠。</w:t>
      </w:r>
    </w:p>
    <w:p w14:paraId="411DF439">
      <w:pPr>
        <w:rPr>
          <w:rFonts w:hint="eastAsia"/>
          <w:lang w:eastAsia="zh-CN"/>
        </w:rPr>
      </w:pPr>
      <w:r>
        <w:rPr>
          <w:rFonts w:hint="eastAsia"/>
          <w:lang w:eastAsia="zh-CN"/>
        </w:rPr>
        <w:t>如表4-5所示，验证集调优后的CBRM与单阶段CatBoost相比，PR-AUC与ROC-AUC均未发生显著变化，Hits@500维持在486。然而，CBRM的F1分数由0.761提升至0.770，Recall由0.636提升至0.669，但Precision由0.948下降至0.907。这表明级联重排序并未实现全样本层面的帕累托改进，而是通过牺牲部分精确率（Precision），换取了召回率（Recall）与F1分数的提升。无Top-K保护的方案导致Hits@500降至482，说明移除高置信保护会导致头部名单稳定性下降，漏报绝对数量增加。无候选边界限制的融合方案虽提升了Recall，但Precision大幅下降，证实引入尾部样本噪声会稀释对边界区域的优化效果。</w:t>
      </w:r>
    </w:p>
    <w:p w14:paraId="230E5D8A">
      <w:pPr>
        <w:pStyle w:val="7"/>
        <w:bidi w:val="0"/>
        <w:rPr>
          <w:rFonts w:hint="eastAsia"/>
        </w:rPr>
      </w:pPr>
      <w:r>
        <w:rPr>
          <w:rFonts w:hint="eastAsia"/>
        </w:rPr>
        <w:t>表 4-5 重排序机制消融结果</w:t>
      </w:r>
    </w:p>
    <w:tbl>
      <w:tblPr>
        <w:tblStyle w:val="27"/>
        <w:tblW w:w="0" w:type="auto"/>
        <w:jc w:val="center"/>
        <w:tblLayout w:type="autofit"/>
        <w:tblCellMar>
          <w:top w:w="0" w:type="dxa"/>
          <w:left w:w="108" w:type="dxa"/>
          <w:bottom w:w="0" w:type="dxa"/>
          <w:right w:w="108" w:type="dxa"/>
        </w:tblCellMar>
      </w:tblPr>
      <w:tblGrid>
        <w:gridCol w:w="736"/>
        <w:gridCol w:w="641"/>
        <w:gridCol w:w="675"/>
        <w:gridCol w:w="611"/>
        <w:gridCol w:w="611"/>
        <w:gridCol w:w="611"/>
        <w:gridCol w:w="806"/>
        <w:gridCol w:w="641"/>
        <w:gridCol w:w="612"/>
        <w:gridCol w:w="612"/>
        <w:gridCol w:w="612"/>
        <w:gridCol w:w="612"/>
        <w:gridCol w:w="742"/>
      </w:tblGrid>
      <w:tr w14:paraId="2122D371">
        <w:tblPrEx>
          <w:tblCellMar>
            <w:top w:w="0" w:type="dxa"/>
            <w:left w:w="108" w:type="dxa"/>
            <w:bottom w:w="0" w:type="dxa"/>
            <w:right w:w="108" w:type="dxa"/>
          </w:tblCellMar>
        </w:tblPrEx>
        <w:trPr>
          <w:trHeight w:val="452" w:hRule="atLeast"/>
          <w:jc w:val="center"/>
        </w:trPr>
        <w:tc>
          <w:tcPr>
            <w:tcW w:w="665" w:type="dxa"/>
            <w:tcBorders>
              <w:top w:val="single" w:color="000000" w:sz="12" w:space="0"/>
              <w:bottom w:val="single" w:color="000000" w:sz="8" w:space="0"/>
            </w:tcBorders>
            <w:vAlign w:val="center"/>
          </w:tcPr>
          <w:p w14:paraId="5D6B4C96">
            <w:pPr>
              <w:spacing w:after="62"/>
              <w:ind w:firstLine="0" w:firstLineChars="0"/>
              <w:jc w:val="center"/>
              <w:rPr>
                <w:sz w:val="13"/>
                <w:szCs w:val="13"/>
              </w:rPr>
            </w:pPr>
            <w:r>
              <w:rPr>
                <w:rFonts w:ascii="宋体" w:hAnsi="宋体"/>
                <w:b/>
                <w:sz w:val="13"/>
                <w:szCs w:val="13"/>
              </w:rPr>
              <w:t>机制</w:t>
            </w:r>
          </w:p>
        </w:tc>
        <w:tc>
          <w:tcPr>
            <w:tcW w:w="665" w:type="dxa"/>
            <w:tcBorders>
              <w:top w:val="single" w:color="000000" w:sz="12" w:space="0"/>
              <w:bottom w:val="single" w:color="000000" w:sz="8" w:space="0"/>
            </w:tcBorders>
            <w:vAlign w:val="center"/>
          </w:tcPr>
          <w:p w14:paraId="6D234CA7">
            <w:pPr>
              <w:spacing w:after="62"/>
              <w:ind w:firstLine="0" w:firstLineChars="0"/>
              <w:jc w:val="center"/>
              <w:rPr>
                <w:sz w:val="13"/>
                <w:szCs w:val="13"/>
              </w:rPr>
            </w:pPr>
            <w:r>
              <w:rPr>
                <w:rFonts w:ascii="宋体" w:hAnsi="宋体"/>
                <w:b/>
                <w:sz w:val="13"/>
                <w:szCs w:val="13"/>
              </w:rPr>
              <w:t>PR-AUC</w:t>
            </w:r>
          </w:p>
        </w:tc>
        <w:tc>
          <w:tcPr>
            <w:tcW w:w="665" w:type="dxa"/>
            <w:tcBorders>
              <w:top w:val="single" w:color="000000" w:sz="12" w:space="0"/>
              <w:bottom w:val="single" w:color="000000" w:sz="8" w:space="0"/>
            </w:tcBorders>
            <w:vAlign w:val="center"/>
          </w:tcPr>
          <w:p w14:paraId="7B7E4DE5">
            <w:pPr>
              <w:spacing w:after="62"/>
              <w:ind w:firstLine="0" w:firstLineChars="0"/>
              <w:jc w:val="center"/>
              <w:rPr>
                <w:sz w:val="13"/>
                <w:szCs w:val="13"/>
              </w:rPr>
            </w:pPr>
            <w:r>
              <w:rPr>
                <w:rFonts w:ascii="宋体" w:hAnsi="宋体"/>
                <w:b/>
                <w:sz w:val="13"/>
                <w:szCs w:val="13"/>
              </w:rPr>
              <w:t>ROC-AUC</w:t>
            </w:r>
          </w:p>
        </w:tc>
        <w:tc>
          <w:tcPr>
            <w:tcW w:w="665" w:type="dxa"/>
            <w:tcBorders>
              <w:top w:val="single" w:color="000000" w:sz="12" w:space="0"/>
              <w:bottom w:val="single" w:color="000000" w:sz="8" w:space="0"/>
            </w:tcBorders>
            <w:vAlign w:val="center"/>
          </w:tcPr>
          <w:p w14:paraId="7D4818BD">
            <w:pPr>
              <w:spacing w:after="62"/>
              <w:ind w:firstLine="0" w:firstLineChars="0"/>
              <w:jc w:val="center"/>
              <w:rPr>
                <w:sz w:val="13"/>
                <w:szCs w:val="13"/>
              </w:rPr>
            </w:pPr>
            <w:r>
              <w:rPr>
                <w:rFonts w:ascii="宋体" w:hAnsi="宋体"/>
                <w:b/>
                <w:sz w:val="13"/>
                <w:szCs w:val="13"/>
              </w:rPr>
              <w:t>BAcc</w:t>
            </w:r>
          </w:p>
        </w:tc>
        <w:tc>
          <w:tcPr>
            <w:tcW w:w="665" w:type="dxa"/>
            <w:tcBorders>
              <w:top w:val="single" w:color="000000" w:sz="12" w:space="0"/>
              <w:bottom w:val="single" w:color="000000" w:sz="8" w:space="0"/>
            </w:tcBorders>
            <w:vAlign w:val="center"/>
          </w:tcPr>
          <w:p w14:paraId="7192C82F">
            <w:pPr>
              <w:spacing w:after="62"/>
              <w:ind w:firstLine="0" w:firstLineChars="0"/>
              <w:jc w:val="center"/>
              <w:rPr>
                <w:sz w:val="13"/>
                <w:szCs w:val="13"/>
              </w:rPr>
            </w:pPr>
            <w:r>
              <w:rPr>
                <w:rFonts w:ascii="宋体" w:hAnsi="宋体"/>
                <w:b/>
                <w:sz w:val="13"/>
                <w:szCs w:val="13"/>
              </w:rPr>
              <w:t>F1</w:t>
            </w:r>
          </w:p>
        </w:tc>
        <w:tc>
          <w:tcPr>
            <w:tcW w:w="665" w:type="dxa"/>
            <w:tcBorders>
              <w:top w:val="single" w:color="000000" w:sz="12" w:space="0"/>
              <w:bottom w:val="single" w:color="000000" w:sz="8" w:space="0"/>
            </w:tcBorders>
            <w:vAlign w:val="center"/>
          </w:tcPr>
          <w:p w14:paraId="4DADB1FD">
            <w:pPr>
              <w:spacing w:after="62"/>
              <w:ind w:firstLine="0" w:firstLineChars="0"/>
              <w:jc w:val="center"/>
              <w:rPr>
                <w:sz w:val="13"/>
                <w:szCs w:val="13"/>
              </w:rPr>
            </w:pPr>
            <w:r>
              <w:rPr>
                <w:rFonts w:ascii="宋体" w:hAnsi="宋体"/>
                <w:b/>
                <w:sz w:val="13"/>
                <w:szCs w:val="13"/>
              </w:rPr>
              <w:t>MCC</w:t>
            </w:r>
          </w:p>
        </w:tc>
        <w:tc>
          <w:tcPr>
            <w:tcW w:w="665" w:type="dxa"/>
            <w:tcBorders>
              <w:top w:val="single" w:color="000000" w:sz="12" w:space="0"/>
              <w:bottom w:val="single" w:color="000000" w:sz="8" w:space="0"/>
            </w:tcBorders>
            <w:vAlign w:val="center"/>
          </w:tcPr>
          <w:p w14:paraId="26D2CAB2">
            <w:pPr>
              <w:spacing w:after="62"/>
              <w:ind w:firstLine="0" w:firstLineChars="0"/>
              <w:jc w:val="center"/>
              <w:rPr>
                <w:sz w:val="13"/>
                <w:szCs w:val="13"/>
              </w:rPr>
            </w:pPr>
            <w:r>
              <w:rPr>
                <w:rFonts w:ascii="宋体" w:hAnsi="宋体"/>
                <w:b/>
                <w:sz w:val="13"/>
                <w:szCs w:val="13"/>
              </w:rPr>
              <w:t>Precision</w:t>
            </w:r>
          </w:p>
        </w:tc>
        <w:tc>
          <w:tcPr>
            <w:tcW w:w="665" w:type="dxa"/>
            <w:tcBorders>
              <w:top w:val="single" w:color="000000" w:sz="12" w:space="0"/>
              <w:bottom w:val="single" w:color="000000" w:sz="8" w:space="0"/>
            </w:tcBorders>
            <w:vAlign w:val="center"/>
          </w:tcPr>
          <w:p w14:paraId="45E2ADD1">
            <w:pPr>
              <w:spacing w:after="62"/>
              <w:ind w:firstLine="0" w:firstLineChars="0"/>
              <w:jc w:val="center"/>
              <w:rPr>
                <w:sz w:val="13"/>
                <w:szCs w:val="13"/>
              </w:rPr>
            </w:pPr>
            <w:r>
              <w:rPr>
                <w:rFonts w:ascii="宋体" w:hAnsi="宋体"/>
                <w:b/>
                <w:sz w:val="13"/>
                <w:szCs w:val="13"/>
              </w:rPr>
              <w:t>Recall</w:t>
            </w:r>
          </w:p>
        </w:tc>
        <w:tc>
          <w:tcPr>
            <w:tcW w:w="665" w:type="dxa"/>
            <w:tcBorders>
              <w:top w:val="single" w:color="000000" w:sz="12" w:space="0"/>
              <w:bottom w:val="single" w:color="000000" w:sz="8" w:space="0"/>
            </w:tcBorders>
            <w:vAlign w:val="center"/>
          </w:tcPr>
          <w:p w14:paraId="68E5D95E">
            <w:pPr>
              <w:spacing w:after="62"/>
              <w:ind w:firstLine="0" w:firstLineChars="0"/>
              <w:jc w:val="center"/>
              <w:rPr>
                <w:sz w:val="13"/>
                <w:szCs w:val="13"/>
              </w:rPr>
            </w:pPr>
            <w:r>
              <w:rPr>
                <w:rFonts w:ascii="宋体" w:hAnsi="宋体"/>
                <w:b/>
                <w:sz w:val="13"/>
                <w:szCs w:val="13"/>
              </w:rPr>
              <w:t>P@100</w:t>
            </w:r>
          </w:p>
        </w:tc>
        <w:tc>
          <w:tcPr>
            <w:tcW w:w="665" w:type="dxa"/>
            <w:tcBorders>
              <w:top w:val="single" w:color="000000" w:sz="12" w:space="0"/>
              <w:bottom w:val="single" w:color="000000" w:sz="8" w:space="0"/>
            </w:tcBorders>
            <w:vAlign w:val="center"/>
          </w:tcPr>
          <w:p w14:paraId="5A0ECDB5">
            <w:pPr>
              <w:spacing w:after="62"/>
              <w:ind w:firstLine="0" w:firstLineChars="0"/>
              <w:jc w:val="center"/>
              <w:rPr>
                <w:sz w:val="13"/>
                <w:szCs w:val="13"/>
              </w:rPr>
            </w:pPr>
            <w:r>
              <w:rPr>
                <w:rFonts w:ascii="宋体" w:hAnsi="宋体"/>
                <w:b/>
                <w:sz w:val="13"/>
                <w:szCs w:val="13"/>
              </w:rPr>
              <w:t>P@200</w:t>
            </w:r>
          </w:p>
        </w:tc>
        <w:tc>
          <w:tcPr>
            <w:tcW w:w="665" w:type="dxa"/>
            <w:tcBorders>
              <w:top w:val="single" w:color="000000" w:sz="12" w:space="0"/>
              <w:bottom w:val="single" w:color="000000" w:sz="8" w:space="0"/>
            </w:tcBorders>
            <w:vAlign w:val="center"/>
          </w:tcPr>
          <w:p w14:paraId="122157DA">
            <w:pPr>
              <w:spacing w:after="62"/>
              <w:ind w:firstLine="0" w:firstLineChars="0"/>
              <w:jc w:val="center"/>
              <w:rPr>
                <w:sz w:val="13"/>
                <w:szCs w:val="13"/>
              </w:rPr>
            </w:pPr>
            <w:r>
              <w:rPr>
                <w:rFonts w:ascii="宋体" w:hAnsi="宋体"/>
                <w:b/>
                <w:sz w:val="13"/>
                <w:szCs w:val="13"/>
              </w:rPr>
              <w:t>P@500</w:t>
            </w:r>
          </w:p>
        </w:tc>
        <w:tc>
          <w:tcPr>
            <w:tcW w:w="665" w:type="dxa"/>
            <w:tcBorders>
              <w:top w:val="single" w:color="000000" w:sz="12" w:space="0"/>
              <w:bottom w:val="single" w:color="000000" w:sz="8" w:space="0"/>
            </w:tcBorders>
            <w:vAlign w:val="center"/>
          </w:tcPr>
          <w:p w14:paraId="62D85424">
            <w:pPr>
              <w:spacing w:after="62"/>
              <w:ind w:firstLine="0" w:firstLineChars="0"/>
              <w:jc w:val="center"/>
              <w:rPr>
                <w:sz w:val="13"/>
                <w:szCs w:val="13"/>
              </w:rPr>
            </w:pPr>
            <w:r>
              <w:rPr>
                <w:rFonts w:ascii="宋体" w:hAnsi="宋体"/>
                <w:b/>
                <w:sz w:val="13"/>
                <w:szCs w:val="13"/>
              </w:rPr>
              <w:t>R@500</w:t>
            </w:r>
          </w:p>
        </w:tc>
        <w:tc>
          <w:tcPr>
            <w:tcW w:w="665" w:type="dxa"/>
            <w:tcBorders>
              <w:top w:val="single" w:color="000000" w:sz="12" w:space="0"/>
              <w:bottom w:val="single" w:color="000000" w:sz="8" w:space="0"/>
            </w:tcBorders>
            <w:vAlign w:val="center"/>
          </w:tcPr>
          <w:p w14:paraId="5083CE00">
            <w:pPr>
              <w:spacing w:after="62"/>
              <w:ind w:firstLine="0" w:firstLineChars="0"/>
              <w:jc w:val="center"/>
              <w:rPr>
                <w:sz w:val="13"/>
                <w:szCs w:val="13"/>
              </w:rPr>
            </w:pPr>
            <w:r>
              <w:rPr>
                <w:rFonts w:ascii="宋体" w:hAnsi="宋体"/>
                <w:b/>
                <w:sz w:val="13"/>
                <w:szCs w:val="13"/>
              </w:rPr>
              <w:t>Hits@500</w:t>
            </w:r>
          </w:p>
        </w:tc>
      </w:tr>
      <w:tr w14:paraId="7599C6A6">
        <w:tblPrEx>
          <w:tblCellMar>
            <w:top w:w="0" w:type="dxa"/>
            <w:left w:w="108" w:type="dxa"/>
            <w:bottom w:w="0" w:type="dxa"/>
            <w:right w:w="108" w:type="dxa"/>
          </w:tblCellMar>
        </w:tblPrEx>
        <w:trPr>
          <w:jc w:val="center"/>
        </w:trPr>
        <w:tc>
          <w:tcPr>
            <w:tcW w:w="665" w:type="dxa"/>
            <w:vAlign w:val="center"/>
          </w:tcPr>
          <w:p w14:paraId="1093614B">
            <w:pPr>
              <w:spacing w:after="62"/>
              <w:ind w:firstLine="0" w:firstLineChars="0"/>
              <w:jc w:val="center"/>
              <w:rPr>
                <w:sz w:val="13"/>
                <w:szCs w:val="13"/>
              </w:rPr>
            </w:pPr>
            <w:r>
              <w:rPr>
                <w:rFonts w:ascii="宋体" w:hAnsi="宋体"/>
                <w:sz w:val="13"/>
                <w:szCs w:val="13"/>
              </w:rPr>
              <w:t>单阶段 CatBoost</w:t>
            </w:r>
          </w:p>
        </w:tc>
        <w:tc>
          <w:tcPr>
            <w:tcW w:w="665" w:type="dxa"/>
            <w:vAlign w:val="center"/>
          </w:tcPr>
          <w:p w14:paraId="2B77D878">
            <w:pPr>
              <w:spacing w:after="62"/>
              <w:ind w:firstLine="0" w:firstLineChars="0"/>
              <w:jc w:val="center"/>
              <w:rPr>
                <w:sz w:val="13"/>
                <w:szCs w:val="13"/>
              </w:rPr>
            </w:pPr>
            <w:r>
              <w:rPr>
                <w:rFonts w:ascii="宋体" w:hAnsi="宋体"/>
                <w:sz w:val="13"/>
                <w:szCs w:val="13"/>
              </w:rPr>
              <w:t>0.825</w:t>
            </w:r>
          </w:p>
        </w:tc>
        <w:tc>
          <w:tcPr>
            <w:tcW w:w="665" w:type="dxa"/>
            <w:vAlign w:val="center"/>
          </w:tcPr>
          <w:p w14:paraId="348FC49F">
            <w:pPr>
              <w:spacing w:after="62"/>
              <w:ind w:firstLine="0" w:firstLineChars="0"/>
              <w:jc w:val="center"/>
              <w:rPr>
                <w:sz w:val="13"/>
                <w:szCs w:val="13"/>
              </w:rPr>
            </w:pPr>
            <w:r>
              <w:rPr>
                <w:rFonts w:ascii="宋体" w:hAnsi="宋体"/>
                <w:sz w:val="13"/>
                <w:szCs w:val="13"/>
              </w:rPr>
              <w:t>0.972</w:t>
            </w:r>
          </w:p>
        </w:tc>
        <w:tc>
          <w:tcPr>
            <w:tcW w:w="665" w:type="dxa"/>
            <w:vAlign w:val="center"/>
          </w:tcPr>
          <w:p w14:paraId="57F8FD1F">
            <w:pPr>
              <w:spacing w:after="62"/>
              <w:ind w:firstLine="0" w:firstLineChars="0"/>
              <w:jc w:val="center"/>
              <w:rPr>
                <w:sz w:val="13"/>
                <w:szCs w:val="13"/>
              </w:rPr>
            </w:pPr>
            <w:r>
              <w:rPr>
                <w:rFonts w:ascii="宋体" w:hAnsi="宋体"/>
                <w:sz w:val="13"/>
                <w:szCs w:val="13"/>
              </w:rPr>
              <w:t>0.817</w:t>
            </w:r>
          </w:p>
        </w:tc>
        <w:tc>
          <w:tcPr>
            <w:tcW w:w="665" w:type="dxa"/>
            <w:vAlign w:val="center"/>
          </w:tcPr>
          <w:p w14:paraId="05BC58D8">
            <w:pPr>
              <w:spacing w:after="62"/>
              <w:ind w:firstLine="0" w:firstLineChars="0"/>
              <w:jc w:val="center"/>
              <w:rPr>
                <w:sz w:val="13"/>
                <w:szCs w:val="13"/>
              </w:rPr>
            </w:pPr>
            <w:r>
              <w:rPr>
                <w:rFonts w:ascii="宋体" w:hAnsi="宋体"/>
                <w:sz w:val="13"/>
                <w:szCs w:val="13"/>
              </w:rPr>
              <w:t>0.761</w:t>
            </w:r>
          </w:p>
        </w:tc>
        <w:tc>
          <w:tcPr>
            <w:tcW w:w="665" w:type="dxa"/>
            <w:vAlign w:val="center"/>
          </w:tcPr>
          <w:p w14:paraId="6CB98551">
            <w:pPr>
              <w:spacing w:after="62"/>
              <w:ind w:firstLine="0" w:firstLineChars="0"/>
              <w:jc w:val="center"/>
              <w:rPr>
                <w:sz w:val="13"/>
                <w:szCs w:val="13"/>
              </w:rPr>
            </w:pPr>
            <w:r>
              <w:rPr>
                <w:rFonts w:ascii="宋体" w:hAnsi="宋体"/>
                <w:sz w:val="13"/>
                <w:szCs w:val="13"/>
              </w:rPr>
              <w:t>0.768</w:t>
            </w:r>
          </w:p>
        </w:tc>
        <w:tc>
          <w:tcPr>
            <w:tcW w:w="665" w:type="dxa"/>
            <w:vAlign w:val="center"/>
          </w:tcPr>
          <w:p w14:paraId="14D22676">
            <w:pPr>
              <w:spacing w:after="62"/>
              <w:ind w:firstLine="0" w:firstLineChars="0"/>
              <w:jc w:val="center"/>
              <w:rPr>
                <w:sz w:val="13"/>
                <w:szCs w:val="13"/>
              </w:rPr>
            </w:pPr>
            <w:r>
              <w:rPr>
                <w:rFonts w:ascii="宋体" w:hAnsi="宋体"/>
                <w:sz w:val="13"/>
                <w:szCs w:val="13"/>
              </w:rPr>
              <w:t>0.948</w:t>
            </w:r>
          </w:p>
        </w:tc>
        <w:tc>
          <w:tcPr>
            <w:tcW w:w="665" w:type="dxa"/>
            <w:vAlign w:val="center"/>
          </w:tcPr>
          <w:p w14:paraId="4A7D70D2">
            <w:pPr>
              <w:spacing w:after="62"/>
              <w:ind w:firstLine="0" w:firstLineChars="0"/>
              <w:jc w:val="center"/>
              <w:rPr>
                <w:sz w:val="13"/>
                <w:szCs w:val="13"/>
              </w:rPr>
            </w:pPr>
            <w:r>
              <w:rPr>
                <w:rFonts w:ascii="宋体" w:hAnsi="宋体"/>
                <w:sz w:val="13"/>
                <w:szCs w:val="13"/>
              </w:rPr>
              <w:t>0.636</w:t>
            </w:r>
          </w:p>
        </w:tc>
        <w:tc>
          <w:tcPr>
            <w:tcW w:w="665" w:type="dxa"/>
            <w:vAlign w:val="center"/>
          </w:tcPr>
          <w:p w14:paraId="6ED92A48">
            <w:pPr>
              <w:spacing w:after="62"/>
              <w:ind w:firstLine="0" w:firstLineChars="0"/>
              <w:jc w:val="center"/>
              <w:rPr>
                <w:sz w:val="13"/>
                <w:szCs w:val="13"/>
              </w:rPr>
            </w:pPr>
            <w:r>
              <w:rPr>
                <w:rFonts w:ascii="宋体" w:hAnsi="宋体"/>
                <w:sz w:val="13"/>
                <w:szCs w:val="13"/>
              </w:rPr>
              <w:t>1.000</w:t>
            </w:r>
          </w:p>
        </w:tc>
        <w:tc>
          <w:tcPr>
            <w:tcW w:w="665" w:type="dxa"/>
            <w:vAlign w:val="center"/>
          </w:tcPr>
          <w:p w14:paraId="5327680C">
            <w:pPr>
              <w:spacing w:after="62"/>
              <w:ind w:firstLine="0" w:firstLineChars="0"/>
              <w:jc w:val="center"/>
              <w:rPr>
                <w:sz w:val="13"/>
                <w:szCs w:val="13"/>
              </w:rPr>
            </w:pPr>
            <w:r>
              <w:rPr>
                <w:rFonts w:ascii="宋体" w:hAnsi="宋体"/>
                <w:sz w:val="13"/>
                <w:szCs w:val="13"/>
              </w:rPr>
              <w:t>1.000</w:t>
            </w:r>
          </w:p>
        </w:tc>
        <w:tc>
          <w:tcPr>
            <w:tcW w:w="665" w:type="dxa"/>
            <w:vAlign w:val="center"/>
          </w:tcPr>
          <w:p w14:paraId="5E2ADB08">
            <w:pPr>
              <w:spacing w:after="62"/>
              <w:ind w:firstLine="0" w:firstLineChars="0"/>
              <w:jc w:val="center"/>
              <w:rPr>
                <w:sz w:val="13"/>
                <w:szCs w:val="13"/>
              </w:rPr>
            </w:pPr>
            <w:r>
              <w:rPr>
                <w:rFonts w:ascii="宋体" w:hAnsi="宋体"/>
                <w:sz w:val="13"/>
                <w:szCs w:val="13"/>
              </w:rPr>
              <w:t>0.972</w:t>
            </w:r>
          </w:p>
        </w:tc>
        <w:tc>
          <w:tcPr>
            <w:tcW w:w="665" w:type="dxa"/>
            <w:vAlign w:val="center"/>
          </w:tcPr>
          <w:p w14:paraId="17CA13FE">
            <w:pPr>
              <w:spacing w:after="62"/>
              <w:ind w:firstLine="0" w:firstLineChars="0"/>
              <w:jc w:val="center"/>
              <w:rPr>
                <w:sz w:val="13"/>
                <w:szCs w:val="13"/>
              </w:rPr>
            </w:pPr>
            <w:r>
              <w:rPr>
                <w:rFonts w:ascii="宋体" w:hAnsi="宋体"/>
                <w:sz w:val="13"/>
                <w:szCs w:val="13"/>
              </w:rPr>
              <w:t>0.608</w:t>
            </w:r>
          </w:p>
        </w:tc>
        <w:tc>
          <w:tcPr>
            <w:tcW w:w="665" w:type="dxa"/>
            <w:vAlign w:val="center"/>
          </w:tcPr>
          <w:p w14:paraId="69E31D93">
            <w:pPr>
              <w:spacing w:after="62"/>
              <w:ind w:firstLine="0" w:firstLineChars="0"/>
              <w:jc w:val="center"/>
              <w:rPr>
                <w:sz w:val="13"/>
                <w:szCs w:val="13"/>
              </w:rPr>
            </w:pPr>
            <w:r>
              <w:rPr>
                <w:rFonts w:ascii="宋体" w:hAnsi="宋体"/>
                <w:sz w:val="13"/>
                <w:szCs w:val="13"/>
              </w:rPr>
              <w:t>486</w:t>
            </w:r>
          </w:p>
        </w:tc>
      </w:tr>
      <w:tr w14:paraId="7EA6B4FB">
        <w:tblPrEx>
          <w:tblCellMar>
            <w:top w:w="0" w:type="dxa"/>
            <w:left w:w="108" w:type="dxa"/>
            <w:bottom w:w="0" w:type="dxa"/>
            <w:right w:w="108" w:type="dxa"/>
          </w:tblCellMar>
        </w:tblPrEx>
        <w:trPr>
          <w:jc w:val="center"/>
        </w:trPr>
        <w:tc>
          <w:tcPr>
            <w:tcW w:w="665" w:type="dxa"/>
            <w:vAlign w:val="center"/>
          </w:tcPr>
          <w:p w14:paraId="07C904E4">
            <w:pPr>
              <w:spacing w:after="62"/>
              <w:ind w:firstLine="0" w:firstLineChars="0"/>
              <w:jc w:val="center"/>
              <w:rPr>
                <w:sz w:val="13"/>
                <w:szCs w:val="13"/>
              </w:rPr>
            </w:pPr>
            <w:r>
              <w:rPr>
                <w:rFonts w:ascii="宋体" w:hAnsi="宋体"/>
                <w:sz w:val="13"/>
                <w:szCs w:val="13"/>
              </w:rPr>
              <w:t>无 Top-K 保护的边界替换</w:t>
            </w:r>
          </w:p>
        </w:tc>
        <w:tc>
          <w:tcPr>
            <w:tcW w:w="665" w:type="dxa"/>
            <w:vAlign w:val="center"/>
          </w:tcPr>
          <w:p w14:paraId="0CD5AABF">
            <w:pPr>
              <w:spacing w:after="62"/>
              <w:ind w:firstLine="0" w:firstLineChars="0"/>
              <w:jc w:val="center"/>
              <w:rPr>
                <w:sz w:val="13"/>
                <w:szCs w:val="13"/>
              </w:rPr>
            </w:pPr>
            <w:r>
              <w:rPr>
                <w:rFonts w:ascii="宋体" w:hAnsi="宋体"/>
                <w:sz w:val="13"/>
                <w:szCs w:val="13"/>
              </w:rPr>
              <w:t>0.824</w:t>
            </w:r>
          </w:p>
        </w:tc>
        <w:tc>
          <w:tcPr>
            <w:tcW w:w="665" w:type="dxa"/>
            <w:vAlign w:val="center"/>
          </w:tcPr>
          <w:p w14:paraId="60D6271D">
            <w:pPr>
              <w:spacing w:after="62"/>
              <w:ind w:firstLine="0" w:firstLineChars="0"/>
              <w:jc w:val="center"/>
              <w:rPr>
                <w:sz w:val="13"/>
                <w:szCs w:val="13"/>
              </w:rPr>
            </w:pPr>
            <w:r>
              <w:rPr>
                <w:rFonts w:ascii="宋体" w:hAnsi="宋体"/>
                <w:sz w:val="13"/>
                <w:szCs w:val="13"/>
              </w:rPr>
              <w:t>0.972</w:t>
            </w:r>
          </w:p>
        </w:tc>
        <w:tc>
          <w:tcPr>
            <w:tcW w:w="665" w:type="dxa"/>
            <w:vAlign w:val="center"/>
          </w:tcPr>
          <w:p w14:paraId="448D132E">
            <w:pPr>
              <w:spacing w:after="62"/>
              <w:ind w:firstLine="0" w:firstLineChars="0"/>
              <w:jc w:val="center"/>
              <w:rPr>
                <w:sz w:val="13"/>
                <w:szCs w:val="13"/>
              </w:rPr>
            </w:pPr>
            <w:r>
              <w:rPr>
                <w:rFonts w:ascii="宋体" w:hAnsi="宋体"/>
                <w:sz w:val="13"/>
                <w:szCs w:val="13"/>
              </w:rPr>
              <w:t>0.849</w:t>
            </w:r>
          </w:p>
        </w:tc>
        <w:tc>
          <w:tcPr>
            <w:tcW w:w="665" w:type="dxa"/>
            <w:vAlign w:val="center"/>
          </w:tcPr>
          <w:p w14:paraId="39F15BFB">
            <w:pPr>
              <w:spacing w:after="62"/>
              <w:ind w:firstLine="0" w:firstLineChars="0"/>
              <w:jc w:val="center"/>
              <w:rPr>
                <w:sz w:val="13"/>
                <w:szCs w:val="13"/>
              </w:rPr>
            </w:pPr>
            <w:r>
              <w:rPr>
                <w:rFonts w:ascii="宋体" w:hAnsi="宋体"/>
                <w:sz w:val="13"/>
                <w:szCs w:val="13"/>
              </w:rPr>
              <w:t>0.746</w:t>
            </w:r>
          </w:p>
        </w:tc>
        <w:tc>
          <w:tcPr>
            <w:tcW w:w="665" w:type="dxa"/>
            <w:vAlign w:val="center"/>
          </w:tcPr>
          <w:p w14:paraId="12E4EE95">
            <w:pPr>
              <w:spacing w:after="62"/>
              <w:ind w:firstLine="0" w:firstLineChars="0"/>
              <w:jc w:val="center"/>
              <w:rPr>
                <w:sz w:val="13"/>
                <w:szCs w:val="13"/>
              </w:rPr>
            </w:pPr>
            <w:r>
              <w:rPr>
                <w:rFonts w:ascii="宋体" w:hAnsi="宋体"/>
                <w:sz w:val="13"/>
                <w:szCs w:val="13"/>
              </w:rPr>
              <w:t>0.734</w:t>
            </w:r>
          </w:p>
        </w:tc>
        <w:tc>
          <w:tcPr>
            <w:tcW w:w="665" w:type="dxa"/>
            <w:vAlign w:val="center"/>
          </w:tcPr>
          <w:p w14:paraId="40C9EC00">
            <w:pPr>
              <w:spacing w:after="62"/>
              <w:ind w:firstLine="0" w:firstLineChars="0"/>
              <w:jc w:val="center"/>
              <w:rPr>
                <w:sz w:val="13"/>
                <w:szCs w:val="13"/>
              </w:rPr>
            </w:pPr>
            <w:r>
              <w:rPr>
                <w:rFonts w:ascii="宋体" w:hAnsi="宋体"/>
                <w:sz w:val="13"/>
                <w:szCs w:val="13"/>
              </w:rPr>
              <w:t>0.788</w:t>
            </w:r>
          </w:p>
        </w:tc>
        <w:tc>
          <w:tcPr>
            <w:tcW w:w="665" w:type="dxa"/>
            <w:vAlign w:val="center"/>
          </w:tcPr>
          <w:p w14:paraId="6DC3A821">
            <w:pPr>
              <w:spacing w:after="62"/>
              <w:ind w:firstLine="0" w:firstLineChars="0"/>
              <w:jc w:val="center"/>
              <w:rPr>
                <w:sz w:val="13"/>
                <w:szCs w:val="13"/>
              </w:rPr>
            </w:pPr>
            <w:r>
              <w:rPr>
                <w:rFonts w:ascii="宋体" w:hAnsi="宋体"/>
                <w:sz w:val="13"/>
                <w:szCs w:val="13"/>
              </w:rPr>
              <w:t>0.708</w:t>
            </w:r>
          </w:p>
        </w:tc>
        <w:tc>
          <w:tcPr>
            <w:tcW w:w="665" w:type="dxa"/>
            <w:vAlign w:val="center"/>
          </w:tcPr>
          <w:p w14:paraId="1FA958E7">
            <w:pPr>
              <w:spacing w:after="62"/>
              <w:ind w:firstLine="0" w:firstLineChars="0"/>
              <w:jc w:val="center"/>
              <w:rPr>
                <w:sz w:val="13"/>
                <w:szCs w:val="13"/>
              </w:rPr>
            </w:pPr>
            <w:r>
              <w:rPr>
                <w:rFonts w:ascii="宋体" w:hAnsi="宋体"/>
                <w:sz w:val="13"/>
                <w:szCs w:val="13"/>
              </w:rPr>
              <w:t>1.000</w:t>
            </w:r>
          </w:p>
        </w:tc>
        <w:tc>
          <w:tcPr>
            <w:tcW w:w="665" w:type="dxa"/>
            <w:vAlign w:val="center"/>
          </w:tcPr>
          <w:p w14:paraId="09A105EA">
            <w:pPr>
              <w:spacing w:after="62"/>
              <w:ind w:firstLine="0" w:firstLineChars="0"/>
              <w:jc w:val="center"/>
              <w:rPr>
                <w:sz w:val="13"/>
                <w:szCs w:val="13"/>
              </w:rPr>
            </w:pPr>
            <w:r>
              <w:rPr>
                <w:rFonts w:ascii="宋体" w:hAnsi="宋体"/>
                <w:sz w:val="13"/>
                <w:szCs w:val="13"/>
              </w:rPr>
              <w:t>1.000</w:t>
            </w:r>
          </w:p>
        </w:tc>
        <w:tc>
          <w:tcPr>
            <w:tcW w:w="665" w:type="dxa"/>
            <w:vAlign w:val="center"/>
          </w:tcPr>
          <w:p w14:paraId="6E34736C">
            <w:pPr>
              <w:spacing w:after="62"/>
              <w:ind w:firstLine="0" w:firstLineChars="0"/>
              <w:jc w:val="center"/>
              <w:rPr>
                <w:sz w:val="13"/>
                <w:szCs w:val="13"/>
              </w:rPr>
            </w:pPr>
            <w:r>
              <w:rPr>
                <w:rFonts w:ascii="宋体" w:hAnsi="宋体"/>
                <w:sz w:val="13"/>
                <w:szCs w:val="13"/>
              </w:rPr>
              <w:t>0.964</w:t>
            </w:r>
          </w:p>
        </w:tc>
        <w:tc>
          <w:tcPr>
            <w:tcW w:w="665" w:type="dxa"/>
            <w:vAlign w:val="center"/>
          </w:tcPr>
          <w:p w14:paraId="0A1D1FD9">
            <w:pPr>
              <w:spacing w:after="62"/>
              <w:ind w:firstLine="0" w:firstLineChars="0"/>
              <w:jc w:val="center"/>
              <w:rPr>
                <w:sz w:val="13"/>
                <w:szCs w:val="13"/>
              </w:rPr>
            </w:pPr>
            <w:r>
              <w:rPr>
                <w:rFonts w:ascii="宋体" w:hAnsi="宋体"/>
                <w:sz w:val="13"/>
                <w:szCs w:val="13"/>
              </w:rPr>
              <w:t>0.603</w:t>
            </w:r>
          </w:p>
        </w:tc>
        <w:tc>
          <w:tcPr>
            <w:tcW w:w="665" w:type="dxa"/>
            <w:vAlign w:val="center"/>
          </w:tcPr>
          <w:p w14:paraId="59C3B3E8">
            <w:pPr>
              <w:spacing w:after="62"/>
              <w:ind w:firstLine="0" w:firstLineChars="0"/>
              <w:jc w:val="center"/>
              <w:rPr>
                <w:sz w:val="13"/>
                <w:szCs w:val="13"/>
              </w:rPr>
            </w:pPr>
            <w:r>
              <w:rPr>
                <w:rFonts w:ascii="宋体" w:hAnsi="宋体"/>
                <w:sz w:val="13"/>
                <w:szCs w:val="13"/>
              </w:rPr>
              <w:t>482</w:t>
            </w:r>
          </w:p>
        </w:tc>
      </w:tr>
      <w:tr w14:paraId="3EF30410">
        <w:tblPrEx>
          <w:tblCellMar>
            <w:top w:w="0" w:type="dxa"/>
            <w:left w:w="108" w:type="dxa"/>
            <w:bottom w:w="0" w:type="dxa"/>
            <w:right w:w="108" w:type="dxa"/>
          </w:tblCellMar>
        </w:tblPrEx>
        <w:trPr>
          <w:jc w:val="center"/>
        </w:trPr>
        <w:tc>
          <w:tcPr>
            <w:tcW w:w="665" w:type="dxa"/>
            <w:vAlign w:val="center"/>
          </w:tcPr>
          <w:p w14:paraId="04BB5A41">
            <w:pPr>
              <w:spacing w:after="62"/>
              <w:ind w:firstLine="0" w:firstLineChars="0"/>
              <w:jc w:val="center"/>
              <w:rPr>
                <w:sz w:val="13"/>
                <w:szCs w:val="13"/>
              </w:rPr>
            </w:pPr>
            <w:r>
              <w:rPr>
                <w:rFonts w:ascii="宋体" w:hAnsi="宋体"/>
                <w:sz w:val="13"/>
                <w:szCs w:val="13"/>
              </w:rPr>
              <w:t>无候选边界限制的简单融合</w:t>
            </w:r>
          </w:p>
        </w:tc>
        <w:tc>
          <w:tcPr>
            <w:tcW w:w="665" w:type="dxa"/>
            <w:vAlign w:val="center"/>
          </w:tcPr>
          <w:p w14:paraId="45951FDF">
            <w:pPr>
              <w:spacing w:after="62"/>
              <w:ind w:firstLine="0" w:firstLineChars="0"/>
              <w:jc w:val="center"/>
              <w:rPr>
                <w:sz w:val="13"/>
                <w:szCs w:val="13"/>
              </w:rPr>
            </w:pPr>
            <w:r>
              <w:rPr>
                <w:rFonts w:ascii="宋体" w:hAnsi="宋体"/>
                <w:sz w:val="13"/>
                <w:szCs w:val="13"/>
              </w:rPr>
              <w:t>0.825</w:t>
            </w:r>
          </w:p>
        </w:tc>
        <w:tc>
          <w:tcPr>
            <w:tcW w:w="665" w:type="dxa"/>
            <w:vAlign w:val="center"/>
          </w:tcPr>
          <w:p w14:paraId="421374A3">
            <w:pPr>
              <w:spacing w:after="62"/>
              <w:ind w:firstLine="0" w:firstLineChars="0"/>
              <w:jc w:val="center"/>
              <w:rPr>
                <w:sz w:val="13"/>
                <w:szCs w:val="13"/>
              </w:rPr>
            </w:pPr>
            <w:r>
              <w:rPr>
                <w:rFonts w:ascii="宋体" w:hAnsi="宋体"/>
                <w:sz w:val="13"/>
                <w:szCs w:val="13"/>
              </w:rPr>
              <w:t>0.972</w:t>
            </w:r>
          </w:p>
        </w:tc>
        <w:tc>
          <w:tcPr>
            <w:tcW w:w="665" w:type="dxa"/>
            <w:vAlign w:val="center"/>
          </w:tcPr>
          <w:p w14:paraId="312729B6">
            <w:pPr>
              <w:spacing w:after="62"/>
              <w:ind w:firstLine="0" w:firstLineChars="0"/>
              <w:jc w:val="center"/>
              <w:rPr>
                <w:sz w:val="13"/>
                <w:szCs w:val="13"/>
              </w:rPr>
            </w:pPr>
            <w:r>
              <w:rPr>
                <w:rFonts w:ascii="宋体" w:hAnsi="宋体"/>
                <w:sz w:val="13"/>
                <w:szCs w:val="13"/>
              </w:rPr>
              <w:t>0.859</w:t>
            </w:r>
          </w:p>
        </w:tc>
        <w:tc>
          <w:tcPr>
            <w:tcW w:w="665" w:type="dxa"/>
            <w:vAlign w:val="center"/>
          </w:tcPr>
          <w:p w14:paraId="719E549A">
            <w:pPr>
              <w:spacing w:after="62"/>
              <w:ind w:firstLine="0" w:firstLineChars="0"/>
              <w:jc w:val="center"/>
              <w:rPr>
                <w:sz w:val="13"/>
                <w:szCs w:val="13"/>
              </w:rPr>
            </w:pPr>
            <w:r>
              <w:rPr>
                <w:rFonts w:ascii="宋体" w:hAnsi="宋体"/>
                <w:sz w:val="13"/>
                <w:szCs w:val="13"/>
              </w:rPr>
              <w:t>0.735</w:t>
            </w:r>
          </w:p>
        </w:tc>
        <w:tc>
          <w:tcPr>
            <w:tcW w:w="665" w:type="dxa"/>
            <w:vAlign w:val="center"/>
          </w:tcPr>
          <w:p w14:paraId="3A5F6680">
            <w:pPr>
              <w:spacing w:after="62"/>
              <w:ind w:firstLine="0" w:firstLineChars="0"/>
              <w:jc w:val="center"/>
              <w:rPr>
                <w:sz w:val="13"/>
                <w:szCs w:val="13"/>
              </w:rPr>
            </w:pPr>
            <w:r>
              <w:rPr>
                <w:rFonts w:ascii="宋体" w:hAnsi="宋体"/>
                <w:sz w:val="13"/>
                <w:szCs w:val="13"/>
              </w:rPr>
              <w:t>0.722</w:t>
            </w:r>
          </w:p>
        </w:tc>
        <w:tc>
          <w:tcPr>
            <w:tcW w:w="665" w:type="dxa"/>
            <w:vAlign w:val="center"/>
          </w:tcPr>
          <w:p w14:paraId="3E08379F">
            <w:pPr>
              <w:spacing w:after="62"/>
              <w:ind w:firstLine="0" w:firstLineChars="0"/>
              <w:jc w:val="center"/>
              <w:rPr>
                <w:sz w:val="13"/>
                <w:szCs w:val="13"/>
              </w:rPr>
            </w:pPr>
            <w:r>
              <w:rPr>
                <w:rFonts w:ascii="宋体" w:hAnsi="宋体"/>
                <w:sz w:val="13"/>
                <w:szCs w:val="13"/>
              </w:rPr>
              <w:t>0.738</w:t>
            </w:r>
          </w:p>
        </w:tc>
        <w:tc>
          <w:tcPr>
            <w:tcW w:w="665" w:type="dxa"/>
            <w:vAlign w:val="center"/>
          </w:tcPr>
          <w:p w14:paraId="156DEB9B">
            <w:pPr>
              <w:spacing w:after="62"/>
              <w:ind w:firstLine="0" w:firstLineChars="0"/>
              <w:jc w:val="center"/>
              <w:rPr>
                <w:sz w:val="13"/>
                <w:szCs w:val="13"/>
              </w:rPr>
            </w:pPr>
            <w:r>
              <w:rPr>
                <w:rFonts w:ascii="宋体" w:hAnsi="宋体"/>
                <w:sz w:val="13"/>
                <w:szCs w:val="13"/>
              </w:rPr>
              <w:t>0.733</w:t>
            </w:r>
          </w:p>
        </w:tc>
        <w:tc>
          <w:tcPr>
            <w:tcW w:w="665" w:type="dxa"/>
            <w:vAlign w:val="center"/>
          </w:tcPr>
          <w:p w14:paraId="77633754">
            <w:pPr>
              <w:spacing w:after="62"/>
              <w:ind w:firstLine="0" w:firstLineChars="0"/>
              <w:jc w:val="center"/>
              <w:rPr>
                <w:sz w:val="13"/>
                <w:szCs w:val="13"/>
              </w:rPr>
            </w:pPr>
            <w:r>
              <w:rPr>
                <w:rFonts w:ascii="宋体" w:hAnsi="宋体"/>
                <w:sz w:val="13"/>
                <w:szCs w:val="13"/>
              </w:rPr>
              <w:t>1.000</w:t>
            </w:r>
          </w:p>
        </w:tc>
        <w:tc>
          <w:tcPr>
            <w:tcW w:w="665" w:type="dxa"/>
            <w:vAlign w:val="center"/>
          </w:tcPr>
          <w:p w14:paraId="2F6BA726">
            <w:pPr>
              <w:spacing w:after="62"/>
              <w:ind w:firstLine="0" w:firstLineChars="0"/>
              <w:jc w:val="center"/>
              <w:rPr>
                <w:sz w:val="13"/>
                <w:szCs w:val="13"/>
              </w:rPr>
            </w:pPr>
            <w:r>
              <w:rPr>
                <w:rFonts w:ascii="宋体" w:hAnsi="宋体"/>
                <w:sz w:val="13"/>
                <w:szCs w:val="13"/>
              </w:rPr>
              <w:t>1.000</w:t>
            </w:r>
          </w:p>
        </w:tc>
        <w:tc>
          <w:tcPr>
            <w:tcW w:w="665" w:type="dxa"/>
            <w:vAlign w:val="center"/>
          </w:tcPr>
          <w:p w14:paraId="594444CD">
            <w:pPr>
              <w:spacing w:after="62"/>
              <w:ind w:firstLine="0" w:firstLineChars="0"/>
              <w:jc w:val="center"/>
              <w:rPr>
                <w:sz w:val="13"/>
                <w:szCs w:val="13"/>
              </w:rPr>
            </w:pPr>
            <w:r>
              <w:rPr>
                <w:rFonts w:ascii="宋体" w:hAnsi="宋体"/>
                <w:sz w:val="13"/>
                <w:szCs w:val="13"/>
              </w:rPr>
              <w:t>0.970</w:t>
            </w:r>
          </w:p>
        </w:tc>
        <w:tc>
          <w:tcPr>
            <w:tcW w:w="665" w:type="dxa"/>
            <w:vAlign w:val="center"/>
          </w:tcPr>
          <w:p w14:paraId="3DD9EBEB">
            <w:pPr>
              <w:spacing w:after="62"/>
              <w:ind w:firstLine="0" w:firstLineChars="0"/>
              <w:jc w:val="center"/>
              <w:rPr>
                <w:sz w:val="13"/>
                <w:szCs w:val="13"/>
              </w:rPr>
            </w:pPr>
            <w:r>
              <w:rPr>
                <w:rFonts w:ascii="宋体" w:hAnsi="宋体"/>
                <w:sz w:val="13"/>
                <w:szCs w:val="13"/>
              </w:rPr>
              <w:t>0.606</w:t>
            </w:r>
          </w:p>
        </w:tc>
        <w:tc>
          <w:tcPr>
            <w:tcW w:w="665" w:type="dxa"/>
            <w:vAlign w:val="center"/>
          </w:tcPr>
          <w:p w14:paraId="019340B9">
            <w:pPr>
              <w:spacing w:after="62"/>
              <w:ind w:firstLine="0" w:firstLineChars="0"/>
              <w:jc w:val="center"/>
              <w:rPr>
                <w:sz w:val="13"/>
                <w:szCs w:val="13"/>
              </w:rPr>
            </w:pPr>
            <w:r>
              <w:rPr>
                <w:rFonts w:ascii="宋体" w:hAnsi="宋体"/>
                <w:sz w:val="13"/>
                <w:szCs w:val="13"/>
              </w:rPr>
              <w:t>485</w:t>
            </w:r>
          </w:p>
        </w:tc>
      </w:tr>
      <w:tr w14:paraId="0363DA7C">
        <w:tblPrEx>
          <w:tblCellMar>
            <w:top w:w="0" w:type="dxa"/>
            <w:left w:w="108" w:type="dxa"/>
            <w:bottom w:w="0" w:type="dxa"/>
            <w:right w:w="108" w:type="dxa"/>
          </w:tblCellMar>
        </w:tblPrEx>
        <w:trPr>
          <w:jc w:val="center"/>
        </w:trPr>
        <w:tc>
          <w:tcPr>
            <w:tcW w:w="665" w:type="dxa"/>
            <w:vAlign w:val="center"/>
          </w:tcPr>
          <w:p w14:paraId="20F806B3">
            <w:pPr>
              <w:spacing w:after="62"/>
              <w:ind w:firstLine="0" w:firstLineChars="0"/>
              <w:jc w:val="center"/>
              <w:rPr>
                <w:sz w:val="13"/>
                <w:szCs w:val="13"/>
              </w:rPr>
            </w:pPr>
            <w:r>
              <w:rPr>
                <w:rFonts w:ascii="宋体" w:hAnsi="宋体"/>
                <w:sz w:val="13"/>
                <w:szCs w:val="13"/>
              </w:rPr>
              <w:t>固定级联重排序</w:t>
            </w:r>
          </w:p>
        </w:tc>
        <w:tc>
          <w:tcPr>
            <w:tcW w:w="665" w:type="dxa"/>
            <w:vAlign w:val="center"/>
          </w:tcPr>
          <w:p w14:paraId="3365B486">
            <w:pPr>
              <w:spacing w:after="62"/>
              <w:ind w:firstLine="0" w:firstLineChars="0"/>
              <w:jc w:val="center"/>
              <w:rPr>
                <w:sz w:val="13"/>
                <w:szCs w:val="13"/>
              </w:rPr>
            </w:pPr>
            <w:r>
              <w:rPr>
                <w:rFonts w:ascii="宋体" w:hAnsi="宋体"/>
                <w:sz w:val="13"/>
                <w:szCs w:val="13"/>
              </w:rPr>
              <w:t>0.825</w:t>
            </w:r>
          </w:p>
        </w:tc>
        <w:tc>
          <w:tcPr>
            <w:tcW w:w="665" w:type="dxa"/>
            <w:vAlign w:val="center"/>
          </w:tcPr>
          <w:p w14:paraId="1A923A91">
            <w:pPr>
              <w:spacing w:after="62"/>
              <w:ind w:firstLine="0" w:firstLineChars="0"/>
              <w:jc w:val="center"/>
              <w:rPr>
                <w:sz w:val="13"/>
                <w:szCs w:val="13"/>
              </w:rPr>
            </w:pPr>
            <w:r>
              <w:rPr>
                <w:rFonts w:ascii="宋体" w:hAnsi="宋体"/>
                <w:sz w:val="13"/>
                <w:szCs w:val="13"/>
              </w:rPr>
              <w:t>0.972</w:t>
            </w:r>
          </w:p>
        </w:tc>
        <w:tc>
          <w:tcPr>
            <w:tcW w:w="665" w:type="dxa"/>
            <w:vAlign w:val="center"/>
          </w:tcPr>
          <w:p w14:paraId="79BF6B70">
            <w:pPr>
              <w:spacing w:after="62"/>
              <w:ind w:firstLine="0" w:firstLineChars="0"/>
              <w:jc w:val="center"/>
              <w:rPr>
                <w:sz w:val="13"/>
                <w:szCs w:val="13"/>
              </w:rPr>
            </w:pPr>
            <w:r>
              <w:rPr>
                <w:rFonts w:ascii="宋体" w:hAnsi="宋体"/>
                <w:sz w:val="13"/>
                <w:szCs w:val="13"/>
              </w:rPr>
              <w:t>0.823</w:t>
            </w:r>
          </w:p>
        </w:tc>
        <w:tc>
          <w:tcPr>
            <w:tcW w:w="665" w:type="dxa"/>
            <w:vAlign w:val="center"/>
          </w:tcPr>
          <w:p w14:paraId="6DB10943">
            <w:pPr>
              <w:spacing w:after="62"/>
              <w:ind w:firstLine="0" w:firstLineChars="0"/>
              <w:jc w:val="center"/>
              <w:rPr>
                <w:sz w:val="13"/>
                <w:szCs w:val="13"/>
              </w:rPr>
            </w:pPr>
            <w:r>
              <w:rPr>
                <w:rFonts w:ascii="宋体" w:hAnsi="宋体"/>
                <w:sz w:val="13"/>
                <w:szCs w:val="13"/>
              </w:rPr>
              <w:t>0.765</w:t>
            </w:r>
          </w:p>
        </w:tc>
        <w:tc>
          <w:tcPr>
            <w:tcW w:w="665" w:type="dxa"/>
            <w:vAlign w:val="center"/>
          </w:tcPr>
          <w:p w14:paraId="67844D0E">
            <w:pPr>
              <w:spacing w:after="62"/>
              <w:ind w:firstLine="0" w:firstLineChars="0"/>
              <w:jc w:val="center"/>
              <w:rPr>
                <w:sz w:val="13"/>
                <w:szCs w:val="13"/>
              </w:rPr>
            </w:pPr>
            <w:r>
              <w:rPr>
                <w:rFonts w:ascii="宋体" w:hAnsi="宋体"/>
                <w:sz w:val="13"/>
                <w:szCs w:val="13"/>
              </w:rPr>
              <w:t>0.768</w:t>
            </w:r>
          </w:p>
        </w:tc>
        <w:tc>
          <w:tcPr>
            <w:tcW w:w="665" w:type="dxa"/>
            <w:vAlign w:val="center"/>
          </w:tcPr>
          <w:p w14:paraId="6BF83BC6">
            <w:pPr>
              <w:spacing w:after="62"/>
              <w:ind w:firstLine="0" w:firstLineChars="0"/>
              <w:jc w:val="center"/>
              <w:rPr>
                <w:sz w:val="13"/>
                <w:szCs w:val="13"/>
              </w:rPr>
            </w:pPr>
            <w:r>
              <w:rPr>
                <w:rFonts w:ascii="宋体" w:hAnsi="宋体"/>
                <w:sz w:val="13"/>
                <w:szCs w:val="13"/>
              </w:rPr>
              <w:t>0.932</w:t>
            </w:r>
          </w:p>
        </w:tc>
        <w:tc>
          <w:tcPr>
            <w:tcW w:w="665" w:type="dxa"/>
            <w:vAlign w:val="center"/>
          </w:tcPr>
          <w:p w14:paraId="043C7B20">
            <w:pPr>
              <w:spacing w:after="62"/>
              <w:ind w:firstLine="0" w:firstLineChars="0"/>
              <w:jc w:val="center"/>
              <w:rPr>
                <w:sz w:val="13"/>
                <w:szCs w:val="13"/>
              </w:rPr>
            </w:pPr>
            <w:r>
              <w:rPr>
                <w:rFonts w:ascii="宋体" w:hAnsi="宋体"/>
                <w:sz w:val="13"/>
                <w:szCs w:val="13"/>
              </w:rPr>
              <w:t>0.649</w:t>
            </w:r>
          </w:p>
        </w:tc>
        <w:tc>
          <w:tcPr>
            <w:tcW w:w="665" w:type="dxa"/>
            <w:vAlign w:val="center"/>
          </w:tcPr>
          <w:p w14:paraId="7682A819">
            <w:pPr>
              <w:spacing w:after="62"/>
              <w:ind w:firstLine="0" w:firstLineChars="0"/>
              <w:jc w:val="center"/>
              <w:rPr>
                <w:sz w:val="13"/>
                <w:szCs w:val="13"/>
              </w:rPr>
            </w:pPr>
            <w:r>
              <w:rPr>
                <w:rFonts w:ascii="宋体" w:hAnsi="宋体"/>
                <w:sz w:val="13"/>
                <w:szCs w:val="13"/>
              </w:rPr>
              <w:t>1.000</w:t>
            </w:r>
          </w:p>
        </w:tc>
        <w:tc>
          <w:tcPr>
            <w:tcW w:w="665" w:type="dxa"/>
            <w:vAlign w:val="center"/>
          </w:tcPr>
          <w:p w14:paraId="54259976">
            <w:pPr>
              <w:spacing w:after="62"/>
              <w:ind w:firstLine="0" w:firstLineChars="0"/>
              <w:jc w:val="center"/>
              <w:rPr>
                <w:sz w:val="13"/>
                <w:szCs w:val="13"/>
              </w:rPr>
            </w:pPr>
            <w:r>
              <w:rPr>
                <w:rFonts w:ascii="宋体" w:hAnsi="宋体"/>
                <w:sz w:val="13"/>
                <w:szCs w:val="13"/>
              </w:rPr>
              <w:t>1.000</w:t>
            </w:r>
          </w:p>
        </w:tc>
        <w:tc>
          <w:tcPr>
            <w:tcW w:w="665" w:type="dxa"/>
            <w:vAlign w:val="center"/>
          </w:tcPr>
          <w:p w14:paraId="251A8807">
            <w:pPr>
              <w:spacing w:after="62"/>
              <w:ind w:firstLine="0" w:firstLineChars="0"/>
              <w:jc w:val="center"/>
              <w:rPr>
                <w:sz w:val="13"/>
                <w:szCs w:val="13"/>
              </w:rPr>
            </w:pPr>
            <w:r>
              <w:rPr>
                <w:rFonts w:ascii="宋体" w:hAnsi="宋体"/>
                <w:sz w:val="13"/>
                <w:szCs w:val="13"/>
              </w:rPr>
              <w:t>0.974</w:t>
            </w:r>
          </w:p>
        </w:tc>
        <w:tc>
          <w:tcPr>
            <w:tcW w:w="665" w:type="dxa"/>
            <w:vAlign w:val="center"/>
          </w:tcPr>
          <w:p w14:paraId="0E2968D8">
            <w:pPr>
              <w:spacing w:after="62"/>
              <w:ind w:firstLine="0" w:firstLineChars="0"/>
              <w:jc w:val="center"/>
              <w:rPr>
                <w:sz w:val="13"/>
                <w:szCs w:val="13"/>
              </w:rPr>
            </w:pPr>
            <w:r>
              <w:rPr>
                <w:rFonts w:ascii="宋体" w:hAnsi="宋体"/>
                <w:sz w:val="13"/>
                <w:szCs w:val="13"/>
              </w:rPr>
              <w:t>0.609</w:t>
            </w:r>
          </w:p>
        </w:tc>
        <w:tc>
          <w:tcPr>
            <w:tcW w:w="665" w:type="dxa"/>
            <w:vAlign w:val="center"/>
          </w:tcPr>
          <w:p w14:paraId="67AAE49C">
            <w:pPr>
              <w:spacing w:after="62"/>
              <w:ind w:firstLine="0" w:firstLineChars="0"/>
              <w:jc w:val="center"/>
              <w:rPr>
                <w:sz w:val="13"/>
                <w:szCs w:val="13"/>
              </w:rPr>
            </w:pPr>
            <w:r>
              <w:rPr>
                <w:rFonts w:ascii="宋体" w:hAnsi="宋体"/>
                <w:sz w:val="13"/>
                <w:szCs w:val="13"/>
              </w:rPr>
              <w:t>487</w:t>
            </w:r>
          </w:p>
        </w:tc>
      </w:tr>
      <w:tr w14:paraId="6C6ADC43">
        <w:tblPrEx>
          <w:tblCellMar>
            <w:top w:w="0" w:type="dxa"/>
            <w:left w:w="108" w:type="dxa"/>
            <w:bottom w:w="0" w:type="dxa"/>
            <w:right w:w="108" w:type="dxa"/>
          </w:tblCellMar>
        </w:tblPrEx>
        <w:trPr>
          <w:jc w:val="center"/>
        </w:trPr>
        <w:tc>
          <w:tcPr>
            <w:tcW w:w="665" w:type="dxa"/>
            <w:tcBorders>
              <w:bottom w:val="single" w:color="000000" w:sz="12" w:space="0"/>
            </w:tcBorders>
            <w:vAlign w:val="center"/>
          </w:tcPr>
          <w:p w14:paraId="50826B58">
            <w:pPr>
              <w:spacing w:after="62"/>
              <w:ind w:firstLine="0" w:firstLineChars="0"/>
              <w:jc w:val="center"/>
              <w:rPr>
                <w:sz w:val="13"/>
                <w:szCs w:val="13"/>
              </w:rPr>
            </w:pPr>
            <w:r>
              <w:rPr>
                <w:rFonts w:ascii="宋体" w:hAnsi="宋体"/>
                <w:sz w:val="13"/>
                <w:szCs w:val="13"/>
              </w:rPr>
              <w:t>验证集调优级联重排序</w:t>
            </w:r>
          </w:p>
        </w:tc>
        <w:tc>
          <w:tcPr>
            <w:tcW w:w="665" w:type="dxa"/>
            <w:tcBorders>
              <w:bottom w:val="single" w:color="000000" w:sz="12" w:space="0"/>
            </w:tcBorders>
            <w:vAlign w:val="center"/>
          </w:tcPr>
          <w:p w14:paraId="29914484">
            <w:pPr>
              <w:spacing w:after="62"/>
              <w:ind w:firstLine="0" w:firstLineChars="0"/>
              <w:jc w:val="center"/>
              <w:rPr>
                <w:sz w:val="13"/>
                <w:szCs w:val="13"/>
              </w:rPr>
            </w:pPr>
            <w:r>
              <w:rPr>
                <w:rFonts w:ascii="宋体" w:hAnsi="宋体"/>
                <w:sz w:val="13"/>
                <w:szCs w:val="13"/>
              </w:rPr>
              <w:t>0.825</w:t>
            </w:r>
          </w:p>
        </w:tc>
        <w:tc>
          <w:tcPr>
            <w:tcW w:w="665" w:type="dxa"/>
            <w:tcBorders>
              <w:bottom w:val="single" w:color="000000" w:sz="12" w:space="0"/>
            </w:tcBorders>
            <w:vAlign w:val="center"/>
          </w:tcPr>
          <w:p w14:paraId="2508F8E7">
            <w:pPr>
              <w:spacing w:after="62"/>
              <w:ind w:firstLine="0" w:firstLineChars="0"/>
              <w:jc w:val="center"/>
              <w:rPr>
                <w:sz w:val="13"/>
                <w:szCs w:val="13"/>
              </w:rPr>
            </w:pPr>
            <w:r>
              <w:rPr>
                <w:rFonts w:ascii="宋体" w:hAnsi="宋体"/>
                <w:sz w:val="13"/>
                <w:szCs w:val="13"/>
              </w:rPr>
              <w:t>0.972</w:t>
            </w:r>
          </w:p>
        </w:tc>
        <w:tc>
          <w:tcPr>
            <w:tcW w:w="665" w:type="dxa"/>
            <w:tcBorders>
              <w:bottom w:val="single" w:color="000000" w:sz="12" w:space="0"/>
            </w:tcBorders>
            <w:vAlign w:val="center"/>
          </w:tcPr>
          <w:p w14:paraId="4DED8B1D">
            <w:pPr>
              <w:spacing w:after="62"/>
              <w:ind w:firstLine="0" w:firstLineChars="0"/>
              <w:jc w:val="center"/>
              <w:rPr>
                <w:sz w:val="13"/>
                <w:szCs w:val="13"/>
              </w:rPr>
            </w:pPr>
            <w:r>
              <w:rPr>
                <w:rFonts w:ascii="宋体" w:hAnsi="宋体"/>
                <w:sz w:val="13"/>
                <w:szCs w:val="13"/>
              </w:rPr>
              <w:t>0.833</w:t>
            </w:r>
          </w:p>
        </w:tc>
        <w:tc>
          <w:tcPr>
            <w:tcW w:w="665" w:type="dxa"/>
            <w:tcBorders>
              <w:bottom w:val="single" w:color="000000" w:sz="12" w:space="0"/>
            </w:tcBorders>
            <w:vAlign w:val="center"/>
          </w:tcPr>
          <w:p w14:paraId="74C279B0">
            <w:pPr>
              <w:spacing w:after="62"/>
              <w:ind w:firstLine="0" w:firstLineChars="0"/>
              <w:jc w:val="center"/>
              <w:rPr>
                <w:sz w:val="13"/>
                <w:szCs w:val="13"/>
              </w:rPr>
            </w:pPr>
            <w:r>
              <w:rPr>
                <w:rFonts w:ascii="宋体" w:hAnsi="宋体"/>
                <w:sz w:val="13"/>
                <w:szCs w:val="13"/>
              </w:rPr>
              <w:t>0.770</w:t>
            </w:r>
          </w:p>
        </w:tc>
        <w:tc>
          <w:tcPr>
            <w:tcW w:w="665" w:type="dxa"/>
            <w:tcBorders>
              <w:bottom w:val="single" w:color="000000" w:sz="12" w:space="0"/>
            </w:tcBorders>
            <w:vAlign w:val="center"/>
          </w:tcPr>
          <w:p w14:paraId="1E265D5C">
            <w:pPr>
              <w:spacing w:after="62"/>
              <w:ind w:firstLine="0" w:firstLineChars="0"/>
              <w:jc w:val="center"/>
              <w:rPr>
                <w:sz w:val="13"/>
                <w:szCs w:val="13"/>
              </w:rPr>
            </w:pPr>
            <w:r>
              <w:rPr>
                <w:rFonts w:ascii="宋体" w:hAnsi="宋体"/>
                <w:sz w:val="13"/>
                <w:szCs w:val="13"/>
              </w:rPr>
              <w:t>0.769</w:t>
            </w:r>
          </w:p>
        </w:tc>
        <w:tc>
          <w:tcPr>
            <w:tcW w:w="665" w:type="dxa"/>
            <w:tcBorders>
              <w:bottom w:val="single" w:color="000000" w:sz="12" w:space="0"/>
            </w:tcBorders>
            <w:vAlign w:val="center"/>
          </w:tcPr>
          <w:p w14:paraId="5AA779DB">
            <w:pPr>
              <w:spacing w:after="62"/>
              <w:ind w:firstLine="0" w:firstLineChars="0"/>
              <w:jc w:val="center"/>
              <w:rPr>
                <w:sz w:val="13"/>
                <w:szCs w:val="13"/>
              </w:rPr>
            </w:pPr>
            <w:r>
              <w:rPr>
                <w:rFonts w:ascii="宋体" w:hAnsi="宋体"/>
                <w:sz w:val="13"/>
                <w:szCs w:val="13"/>
              </w:rPr>
              <w:t>0.907</w:t>
            </w:r>
          </w:p>
        </w:tc>
        <w:tc>
          <w:tcPr>
            <w:tcW w:w="665" w:type="dxa"/>
            <w:tcBorders>
              <w:bottom w:val="single" w:color="000000" w:sz="12" w:space="0"/>
            </w:tcBorders>
            <w:vAlign w:val="center"/>
          </w:tcPr>
          <w:p w14:paraId="686E9923">
            <w:pPr>
              <w:spacing w:after="62"/>
              <w:ind w:firstLine="0" w:firstLineChars="0"/>
              <w:jc w:val="center"/>
              <w:rPr>
                <w:sz w:val="13"/>
                <w:szCs w:val="13"/>
              </w:rPr>
            </w:pPr>
            <w:r>
              <w:rPr>
                <w:rFonts w:ascii="宋体" w:hAnsi="宋体"/>
                <w:sz w:val="13"/>
                <w:szCs w:val="13"/>
              </w:rPr>
              <w:t>0.669</w:t>
            </w:r>
          </w:p>
        </w:tc>
        <w:tc>
          <w:tcPr>
            <w:tcW w:w="665" w:type="dxa"/>
            <w:tcBorders>
              <w:bottom w:val="single" w:color="000000" w:sz="12" w:space="0"/>
            </w:tcBorders>
            <w:vAlign w:val="center"/>
          </w:tcPr>
          <w:p w14:paraId="581230E1">
            <w:pPr>
              <w:spacing w:after="62"/>
              <w:ind w:firstLine="0" w:firstLineChars="0"/>
              <w:jc w:val="center"/>
              <w:rPr>
                <w:sz w:val="13"/>
                <w:szCs w:val="13"/>
              </w:rPr>
            </w:pPr>
            <w:r>
              <w:rPr>
                <w:rFonts w:ascii="宋体" w:hAnsi="宋体"/>
                <w:sz w:val="13"/>
                <w:szCs w:val="13"/>
              </w:rPr>
              <w:t>1.000</w:t>
            </w:r>
          </w:p>
        </w:tc>
        <w:tc>
          <w:tcPr>
            <w:tcW w:w="665" w:type="dxa"/>
            <w:tcBorders>
              <w:bottom w:val="single" w:color="000000" w:sz="12" w:space="0"/>
            </w:tcBorders>
            <w:vAlign w:val="center"/>
          </w:tcPr>
          <w:p w14:paraId="7054524E">
            <w:pPr>
              <w:spacing w:after="62"/>
              <w:ind w:firstLine="0" w:firstLineChars="0"/>
              <w:jc w:val="center"/>
              <w:rPr>
                <w:sz w:val="13"/>
                <w:szCs w:val="13"/>
              </w:rPr>
            </w:pPr>
            <w:r>
              <w:rPr>
                <w:rFonts w:ascii="宋体" w:hAnsi="宋体"/>
                <w:sz w:val="13"/>
                <w:szCs w:val="13"/>
              </w:rPr>
              <w:t>1.000</w:t>
            </w:r>
          </w:p>
        </w:tc>
        <w:tc>
          <w:tcPr>
            <w:tcW w:w="665" w:type="dxa"/>
            <w:tcBorders>
              <w:bottom w:val="single" w:color="000000" w:sz="12" w:space="0"/>
            </w:tcBorders>
            <w:vAlign w:val="center"/>
          </w:tcPr>
          <w:p w14:paraId="252406C7">
            <w:pPr>
              <w:spacing w:after="62"/>
              <w:ind w:firstLine="0" w:firstLineChars="0"/>
              <w:jc w:val="center"/>
              <w:rPr>
                <w:sz w:val="13"/>
                <w:szCs w:val="13"/>
              </w:rPr>
            </w:pPr>
            <w:r>
              <w:rPr>
                <w:rFonts w:ascii="宋体" w:hAnsi="宋体"/>
                <w:sz w:val="13"/>
                <w:szCs w:val="13"/>
              </w:rPr>
              <w:t>0.972</w:t>
            </w:r>
          </w:p>
        </w:tc>
        <w:tc>
          <w:tcPr>
            <w:tcW w:w="665" w:type="dxa"/>
            <w:tcBorders>
              <w:bottom w:val="single" w:color="000000" w:sz="12" w:space="0"/>
            </w:tcBorders>
            <w:vAlign w:val="center"/>
          </w:tcPr>
          <w:p w14:paraId="79592254">
            <w:pPr>
              <w:spacing w:after="62"/>
              <w:ind w:firstLine="0" w:firstLineChars="0"/>
              <w:jc w:val="center"/>
              <w:rPr>
                <w:sz w:val="13"/>
                <w:szCs w:val="13"/>
              </w:rPr>
            </w:pPr>
            <w:r>
              <w:rPr>
                <w:rFonts w:ascii="宋体" w:hAnsi="宋体"/>
                <w:sz w:val="13"/>
                <w:szCs w:val="13"/>
              </w:rPr>
              <w:t>0.608</w:t>
            </w:r>
          </w:p>
        </w:tc>
        <w:tc>
          <w:tcPr>
            <w:tcW w:w="665" w:type="dxa"/>
            <w:tcBorders>
              <w:bottom w:val="single" w:color="000000" w:sz="12" w:space="0"/>
            </w:tcBorders>
            <w:vAlign w:val="center"/>
          </w:tcPr>
          <w:p w14:paraId="3A75526F">
            <w:pPr>
              <w:spacing w:after="62"/>
              <w:ind w:firstLine="0" w:firstLineChars="0"/>
              <w:jc w:val="center"/>
              <w:rPr>
                <w:sz w:val="13"/>
                <w:szCs w:val="13"/>
              </w:rPr>
            </w:pPr>
            <w:r>
              <w:rPr>
                <w:rFonts w:ascii="宋体" w:hAnsi="宋体"/>
                <w:sz w:val="13"/>
                <w:szCs w:val="13"/>
              </w:rPr>
              <w:t>486</w:t>
            </w:r>
          </w:p>
        </w:tc>
      </w:tr>
    </w:tbl>
    <w:p w14:paraId="3E01C75B">
      <w:pPr>
        <w:pStyle w:val="9"/>
        <w:bidi w:val="0"/>
      </w:pPr>
      <w:r>
        <w:t>注：Hits@500 表示风险排序前500个样本中真实正样本数量。</w:t>
      </w:r>
      <w:r>
        <w:rPr>
          <w:rFonts w:hint="eastAsia"/>
        </w:rPr>
        <w:t>为保证不同重排序机制之间的可比性，本表采用固定调参配置，未使用表4-3最终主模型的完整最优参数，因此指标数值与表4-3主结果存在口径差异</w:t>
      </w:r>
    </w:p>
    <w:p w14:paraId="6DA2399E">
      <w:pPr>
        <w:bidi w:val="0"/>
        <w:rPr>
          <w:rFonts w:hint="eastAsia"/>
        </w:rPr>
      </w:pPr>
      <w:r>
        <w:rPr>
          <w:rFonts w:hint="eastAsia"/>
        </w:rPr>
        <w:t>除重排序机制外，本文还检验了特征体系本身的边际贡献。特征组消融实验（基于单阶段 CatBoost 框架）结果显示，完整特征组模型的 PR-AUC 为 0.824，仅保留核心基础特征时降至 0.775。这表明多源特征体系具有实质增量价值，且极端风险信息与历史状态特征存在一定重叠。详细特征组消融结果见表 4-</w:t>
      </w:r>
      <w:r>
        <w:rPr>
          <w:rFonts w:hint="eastAsia"/>
          <w:lang w:val="en-US" w:eastAsia="zh-CN"/>
        </w:rPr>
        <w:t>6</w:t>
      </w:r>
      <w:r>
        <w:rPr>
          <w:rFonts w:hint="eastAsia"/>
        </w:rPr>
        <w:t>。</w:t>
      </w:r>
    </w:p>
    <w:p w14:paraId="396A5F32">
      <w:pPr>
        <w:pStyle w:val="7"/>
        <w:bidi w:val="0"/>
        <w:rPr>
          <w:rFonts w:hint="eastAsia"/>
        </w:rPr>
      </w:pPr>
      <w:r>
        <w:t>表</w:t>
      </w:r>
      <w:r>
        <w:rPr>
          <w:rFonts w:hint="eastAsia"/>
        </w:rPr>
        <w:t xml:space="preserve"> 4-</w:t>
      </w:r>
      <w:r>
        <w:rPr>
          <w:rFonts w:hint="eastAsia"/>
          <w:lang w:val="en-US" w:eastAsia="zh-CN"/>
        </w:rPr>
        <w:t>6</w:t>
      </w:r>
      <w:r>
        <w:rPr>
          <w:rFonts w:hint="eastAsia"/>
        </w:rPr>
        <w:t xml:space="preserve"> </w:t>
      </w:r>
      <w:r>
        <w:rPr>
          <w:rFonts w:hint="eastAsia"/>
          <w:lang w:val="en-US" w:eastAsia="zh-CN"/>
        </w:rPr>
        <w:t>特征</w:t>
      </w:r>
      <w:r>
        <w:rPr>
          <w:rFonts w:hint="eastAsia"/>
        </w:rPr>
        <w:t>消融结果</w:t>
      </w:r>
    </w:p>
    <w:tbl>
      <w:tblPr>
        <w:tblStyle w:val="27"/>
        <w:tblW w:w="0" w:type="auto"/>
        <w:jc w:val="center"/>
        <w:tblLayout w:type="autofit"/>
        <w:tblCellMar>
          <w:top w:w="0" w:type="dxa"/>
          <w:left w:w="108" w:type="dxa"/>
          <w:bottom w:w="0" w:type="dxa"/>
          <w:right w:w="108" w:type="dxa"/>
        </w:tblCellMar>
      </w:tblPr>
      <w:tblGrid>
        <w:gridCol w:w="776"/>
        <w:gridCol w:w="682"/>
        <w:gridCol w:w="706"/>
        <w:gridCol w:w="718"/>
        <w:gridCol w:w="694"/>
        <w:gridCol w:w="694"/>
        <w:gridCol w:w="694"/>
        <w:gridCol w:w="694"/>
        <w:gridCol w:w="694"/>
        <w:gridCol w:w="694"/>
        <w:gridCol w:w="694"/>
        <w:gridCol w:w="782"/>
      </w:tblGrid>
      <w:tr w14:paraId="582ACCEB">
        <w:tblPrEx>
          <w:tblCellMar>
            <w:top w:w="0" w:type="dxa"/>
            <w:left w:w="108" w:type="dxa"/>
            <w:bottom w:w="0" w:type="dxa"/>
            <w:right w:w="108" w:type="dxa"/>
          </w:tblCellMar>
        </w:tblPrEx>
        <w:trPr>
          <w:jc w:val="center"/>
        </w:trPr>
        <w:tc>
          <w:tcPr>
            <w:tcW w:w="776" w:type="dxa"/>
            <w:tcBorders>
              <w:top w:val="single" w:color="000000" w:sz="12" w:space="0"/>
              <w:bottom w:val="single" w:color="000000" w:sz="8" w:space="0"/>
            </w:tcBorders>
            <w:vAlign w:val="center"/>
          </w:tcPr>
          <w:p w14:paraId="11C22861">
            <w:pPr>
              <w:spacing w:after="62"/>
              <w:ind w:firstLine="0" w:firstLineChars="0"/>
              <w:jc w:val="center"/>
              <w:rPr>
                <w:sz w:val="13"/>
                <w:szCs w:val="13"/>
              </w:rPr>
            </w:pPr>
            <w:r>
              <w:rPr>
                <w:rFonts w:ascii="宋体" w:hAnsi="宋体"/>
                <w:b/>
                <w:sz w:val="13"/>
                <w:szCs w:val="13"/>
              </w:rPr>
              <w:t>模型设置</w:t>
            </w:r>
          </w:p>
        </w:tc>
        <w:tc>
          <w:tcPr>
            <w:tcW w:w="682" w:type="dxa"/>
            <w:tcBorders>
              <w:top w:val="single" w:color="000000" w:sz="12" w:space="0"/>
              <w:bottom w:val="single" w:color="000000" w:sz="8" w:space="0"/>
            </w:tcBorders>
            <w:vAlign w:val="center"/>
          </w:tcPr>
          <w:p w14:paraId="5DF57D12">
            <w:pPr>
              <w:spacing w:after="62"/>
              <w:ind w:firstLine="0" w:firstLineChars="0"/>
              <w:jc w:val="center"/>
              <w:rPr>
                <w:sz w:val="13"/>
                <w:szCs w:val="13"/>
              </w:rPr>
            </w:pPr>
            <w:r>
              <w:rPr>
                <w:rFonts w:ascii="宋体" w:hAnsi="宋体"/>
                <w:b/>
                <w:sz w:val="13"/>
                <w:szCs w:val="13"/>
              </w:rPr>
              <w:t>特征数</w:t>
            </w:r>
          </w:p>
        </w:tc>
        <w:tc>
          <w:tcPr>
            <w:tcW w:w="706" w:type="dxa"/>
            <w:tcBorders>
              <w:top w:val="single" w:color="000000" w:sz="12" w:space="0"/>
              <w:bottom w:val="single" w:color="000000" w:sz="8" w:space="0"/>
            </w:tcBorders>
            <w:vAlign w:val="center"/>
          </w:tcPr>
          <w:p w14:paraId="695DE798">
            <w:pPr>
              <w:spacing w:after="62"/>
              <w:ind w:firstLine="0" w:firstLineChars="0"/>
              <w:jc w:val="center"/>
              <w:rPr>
                <w:sz w:val="13"/>
                <w:szCs w:val="13"/>
              </w:rPr>
            </w:pPr>
            <w:r>
              <w:rPr>
                <w:rFonts w:ascii="宋体" w:hAnsi="宋体"/>
                <w:b/>
                <w:sz w:val="13"/>
                <w:szCs w:val="13"/>
              </w:rPr>
              <w:t>PR-AUC</w:t>
            </w:r>
          </w:p>
        </w:tc>
        <w:tc>
          <w:tcPr>
            <w:tcW w:w="718" w:type="dxa"/>
            <w:tcBorders>
              <w:top w:val="single" w:color="000000" w:sz="12" w:space="0"/>
              <w:bottom w:val="single" w:color="000000" w:sz="8" w:space="0"/>
            </w:tcBorders>
            <w:vAlign w:val="center"/>
          </w:tcPr>
          <w:p w14:paraId="00BA114F">
            <w:pPr>
              <w:spacing w:after="62"/>
              <w:ind w:firstLine="0" w:firstLineChars="0"/>
              <w:jc w:val="center"/>
              <w:rPr>
                <w:sz w:val="13"/>
                <w:szCs w:val="13"/>
              </w:rPr>
            </w:pPr>
            <w:r>
              <w:rPr>
                <w:rFonts w:ascii="宋体" w:hAnsi="宋体"/>
                <w:b/>
                <w:sz w:val="13"/>
                <w:szCs w:val="13"/>
              </w:rPr>
              <w:t>ROC-AUC</w:t>
            </w:r>
          </w:p>
        </w:tc>
        <w:tc>
          <w:tcPr>
            <w:tcW w:w="694" w:type="dxa"/>
            <w:tcBorders>
              <w:top w:val="single" w:color="000000" w:sz="12" w:space="0"/>
              <w:bottom w:val="single" w:color="000000" w:sz="8" w:space="0"/>
            </w:tcBorders>
            <w:vAlign w:val="center"/>
          </w:tcPr>
          <w:p w14:paraId="20BA077A">
            <w:pPr>
              <w:spacing w:after="62"/>
              <w:ind w:firstLine="0" w:firstLineChars="0"/>
              <w:jc w:val="center"/>
              <w:rPr>
                <w:sz w:val="13"/>
                <w:szCs w:val="13"/>
              </w:rPr>
            </w:pPr>
            <w:r>
              <w:rPr>
                <w:rFonts w:ascii="宋体" w:hAnsi="宋体"/>
                <w:b/>
                <w:sz w:val="13"/>
                <w:szCs w:val="13"/>
              </w:rPr>
              <w:t>BAcc</w:t>
            </w:r>
          </w:p>
        </w:tc>
        <w:tc>
          <w:tcPr>
            <w:tcW w:w="694" w:type="dxa"/>
            <w:tcBorders>
              <w:top w:val="single" w:color="000000" w:sz="12" w:space="0"/>
              <w:bottom w:val="single" w:color="000000" w:sz="8" w:space="0"/>
            </w:tcBorders>
            <w:vAlign w:val="center"/>
          </w:tcPr>
          <w:p w14:paraId="2030E4A1">
            <w:pPr>
              <w:spacing w:after="62"/>
              <w:ind w:firstLine="0" w:firstLineChars="0"/>
              <w:jc w:val="center"/>
              <w:rPr>
                <w:sz w:val="13"/>
                <w:szCs w:val="13"/>
              </w:rPr>
            </w:pPr>
            <w:r>
              <w:rPr>
                <w:rFonts w:ascii="宋体" w:hAnsi="宋体"/>
                <w:b/>
                <w:sz w:val="13"/>
                <w:szCs w:val="13"/>
              </w:rPr>
              <w:t>F1</w:t>
            </w:r>
          </w:p>
        </w:tc>
        <w:tc>
          <w:tcPr>
            <w:tcW w:w="694" w:type="dxa"/>
            <w:tcBorders>
              <w:top w:val="single" w:color="000000" w:sz="12" w:space="0"/>
              <w:bottom w:val="single" w:color="000000" w:sz="8" w:space="0"/>
            </w:tcBorders>
            <w:vAlign w:val="center"/>
          </w:tcPr>
          <w:p w14:paraId="6DCB0C66">
            <w:pPr>
              <w:spacing w:after="62"/>
              <w:ind w:firstLine="0" w:firstLineChars="0"/>
              <w:jc w:val="center"/>
              <w:rPr>
                <w:sz w:val="13"/>
                <w:szCs w:val="13"/>
              </w:rPr>
            </w:pPr>
            <w:r>
              <w:rPr>
                <w:rFonts w:ascii="宋体" w:hAnsi="宋体"/>
                <w:b/>
                <w:sz w:val="13"/>
                <w:szCs w:val="13"/>
              </w:rPr>
              <w:t>MCC</w:t>
            </w:r>
          </w:p>
        </w:tc>
        <w:tc>
          <w:tcPr>
            <w:tcW w:w="694" w:type="dxa"/>
            <w:tcBorders>
              <w:top w:val="single" w:color="000000" w:sz="12" w:space="0"/>
              <w:bottom w:val="single" w:color="000000" w:sz="8" w:space="0"/>
            </w:tcBorders>
            <w:vAlign w:val="center"/>
          </w:tcPr>
          <w:p w14:paraId="15BAE045">
            <w:pPr>
              <w:spacing w:after="62"/>
              <w:ind w:firstLine="0" w:firstLineChars="0"/>
              <w:jc w:val="center"/>
              <w:rPr>
                <w:sz w:val="13"/>
                <w:szCs w:val="13"/>
              </w:rPr>
            </w:pPr>
            <w:r>
              <w:rPr>
                <w:rFonts w:ascii="宋体" w:hAnsi="宋体"/>
                <w:b/>
                <w:sz w:val="13"/>
                <w:szCs w:val="13"/>
              </w:rPr>
              <w:t>P@100</w:t>
            </w:r>
          </w:p>
        </w:tc>
        <w:tc>
          <w:tcPr>
            <w:tcW w:w="694" w:type="dxa"/>
            <w:tcBorders>
              <w:top w:val="single" w:color="000000" w:sz="12" w:space="0"/>
              <w:bottom w:val="single" w:color="000000" w:sz="8" w:space="0"/>
            </w:tcBorders>
            <w:vAlign w:val="center"/>
          </w:tcPr>
          <w:p w14:paraId="60257B0B">
            <w:pPr>
              <w:spacing w:after="62"/>
              <w:ind w:firstLine="0" w:firstLineChars="0"/>
              <w:jc w:val="center"/>
              <w:rPr>
                <w:sz w:val="13"/>
                <w:szCs w:val="13"/>
              </w:rPr>
            </w:pPr>
            <w:r>
              <w:rPr>
                <w:rFonts w:ascii="宋体" w:hAnsi="宋体"/>
                <w:b/>
                <w:sz w:val="13"/>
                <w:szCs w:val="13"/>
              </w:rPr>
              <w:t>P@200</w:t>
            </w:r>
          </w:p>
        </w:tc>
        <w:tc>
          <w:tcPr>
            <w:tcW w:w="694" w:type="dxa"/>
            <w:tcBorders>
              <w:top w:val="single" w:color="000000" w:sz="12" w:space="0"/>
              <w:bottom w:val="single" w:color="000000" w:sz="8" w:space="0"/>
            </w:tcBorders>
            <w:vAlign w:val="center"/>
          </w:tcPr>
          <w:p w14:paraId="0F8A4A39">
            <w:pPr>
              <w:spacing w:after="62"/>
              <w:ind w:firstLine="0" w:firstLineChars="0"/>
              <w:jc w:val="center"/>
              <w:rPr>
                <w:sz w:val="13"/>
                <w:szCs w:val="13"/>
              </w:rPr>
            </w:pPr>
            <w:r>
              <w:rPr>
                <w:rFonts w:ascii="宋体" w:hAnsi="宋体"/>
                <w:b/>
                <w:sz w:val="13"/>
                <w:szCs w:val="13"/>
              </w:rPr>
              <w:t>P@500</w:t>
            </w:r>
          </w:p>
        </w:tc>
        <w:tc>
          <w:tcPr>
            <w:tcW w:w="694" w:type="dxa"/>
            <w:tcBorders>
              <w:top w:val="single" w:color="000000" w:sz="12" w:space="0"/>
              <w:bottom w:val="single" w:color="000000" w:sz="8" w:space="0"/>
            </w:tcBorders>
            <w:vAlign w:val="center"/>
          </w:tcPr>
          <w:p w14:paraId="3DC99F29">
            <w:pPr>
              <w:spacing w:after="62"/>
              <w:ind w:firstLine="0" w:firstLineChars="0"/>
              <w:jc w:val="center"/>
              <w:rPr>
                <w:sz w:val="13"/>
                <w:szCs w:val="13"/>
              </w:rPr>
            </w:pPr>
            <w:r>
              <w:rPr>
                <w:rFonts w:ascii="宋体" w:hAnsi="宋体"/>
                <w:b/>
                <w:sz w:val="13"/>
                <w:szCs w:val="13"/>
              </w:rPr>
              <w:t>R@500</w:t>
            </w:r>
          </w:p>
        </w:tc>
        <w:tc>
          <w:tcPr>
            <w:tcW w:w="782" w:type="dxa"/>
            <w:tcBorders>
              <w:top w:val="single" w:color="000000" w:sz="12" w:space="0"/>
              <w:bottom w:val="single" w:color="000000" w:sz="8" w:space="0"/>
            </w:tcBorders>
            <w:vAlign w:val="center"/>
          </w:tcPr>
          <w:p w14:paraId="7D8D60B7">
            <w:pPr>
              <w:spacing w:after="62"/>
              <w:ind w:firstLine="0" w:firstLineChars="0"/>
              <w:jc w:val="center"/>
              <w:rPr>
                <w:sz w:val="13"/>
                <w:szCs w:val="13"/>
              </w:rPr>
            </w:pPr>
            <w:r>
              <w:rPr>
                <w:rFonts w:ascii="宋体" w:hAnsi="宋体"/>
                <w:b/>
                <w:sz w:val="13"/>
                <w:szCs w:val="13"/>
              </w:rPr>
              <w:t>Lift@500</w:t>
            </w:r>
          </w:p>
        </w:tc>
      </w:tr>
      <w:tr w14:paraId="616A422C">
        <w:tblPrEx>
          <w:tblCellMar>
            <w:top w:w="0" w:type="dxa"/>
            <w:left w:w="108" w:type="dxa"/>
            <w:bottom w:w="0" w:type="dxa"/>
            <w:right w:w="108" w:type="dxa"/>
          </w:tblCellMar>
        </w:tblPrEx>
        <w:trPr>
          <w:jc w:val="center"/>
        </w:trPr>
        <w:tc>
          <w:tcPr>
            <w:tcW w:w="776" w:type="dxa"/>
            <w:vAlign w:val="center"/>
          </w:tcPr>
          <w:p w14:paraId="42C2E785">
            <w:pPr>
              <w:spacing w:after="62"/>
              <w:ind w:firstLine="0" w:firstLineChars="0"/>
              <w:jc w:val="center"/>
              <w:rPr>
                <w:sz w:val="13"/>
                <w:szCs w:val="13"/>
              </w:rPr>
            </w:pPr>
            <w:r>
              <w:rPr>
                <w:rFonts w:ascii="宋体" w:hAnsi="宋体"/>
                <w:sz w:val="13"/>
                <w:szCs w:val="13"/>
              </w:rPr>
              <w:t>完整特征组（Full）</w:t>
            </w:r>
          </w:p>
        </w:tc>
        <w:tc>
          <w:tcPr>
            <w:tcW w:w="682" w:type="dxa"/>
            <w:vAlign w:val="center"/>
          </w:tcPr>
          <w:p w14:paraId="1E1D87D5">
            <w:pPr>
              <w:spacing w:after="62"/>
              <w:ind w:firstLine="0" w:firstLineChars="0"/>
              <w:jc w:val="center"/>
              <w:rPr>
                <w:sz w:val="13"/>
                <w:szCs w:val="13"/>
              </w:rPr>
            </w:pPr>
            <w:r>
              <w:rPr>
                <w:rFonts w:ascii="宋体" w:hAnsi="宋体"/>
                <w:sz w:val="13"/>
                <w:szCs w:val="13"/>
              </w:rPr>
              <w:t>1930</w:t>
            </w:r>
          </w:p>
        </w:tc>
        <w:tc>
          <w:tcPr>
            <w:tcW w:w="706" w:type="dxa"/>
            <w:vAlign w:val="center"/>
          </w:tcPr>
          <w:p w14:paraId="62F97891">
            <w:pPr>
              <w:spacing w:after="62"/>
              <w:ind w:firstLine="0" w:firstLineChars="0"/>
              <w:jc w:val="center"/>
              <w:rPr>
                <w:sz w:val="13"/>
                <w:szCs w:val="13"/>
              </w:rPr>
            </w:pPr>
            <w:r>
              <w:rPr>
                <w:rFonts w:ascii="宋体" w:hAnsi="宋体"/>
                <w:sz w:val="13"/>
                <w:szCs w:val="13"/>
              </w:rPr>
              <w:t>0.824</w:t>
            </w:r>
          </w:p>
        </w:tc>
        <w:tc>
          <w:tcPr>
            <w:tcW w:w="718" w:type="dxa"/>
            <w:vAlign w:val="center"/>
          </w:tcPr>
          <w:p w14:paraId="773D7889">
            <w:pPr>
              <w:spacing w:after="62"/>
              <w:ind w:firstLine="0" w:firstLineChars="0"/>
              <w:jc w:val="center"/>
              <w:rPr>
                <w:sz w:val="13"/>
                <w:szCs w:val="13"/>
              </w:rPr>
            </w:pPr>
            <w:r>
              <w:rPr>
                <w:rFonts w:ascii="宋体" w:hAnsi="宋体"/>
                <w:sz w:val="13"/>
                <w:szCs w:val="13"/>
              </w:rPr>
              <w:t>0.972</w:t>
            </w:r>
          </w:p>
        </w:tc>
        <w:tc>
          <w:tcPr>
            <w:tcW w:w="694" w:type="dxa"/>
            <w:vAlign w:val="center"/>
          </w:tcPr>
          <w:p w14:paraId="36B33158">
            <w:pPr>
              <w:spacing w:after="62"/>
              <w:ind w:firstLine="0" w:firstLineChars="0"/>
              <w:jc w:val="center"/>
              <w:rPr>
                <w:sz w:val="13"/>
                <w:szCs w:val="13"/>
              </w:rPr>
            </w:pPr>
            <w:r>
              <w:rPr>
                <w:rFonts w:ascii="宋体" w:hAnsi="宋体"/>
                <w:sz w:val="13"/>
                <w:szCs w:val="13"/>
              </w:rPr>
              <w:t>0.821</w:t>
            </w:r>
          </w:p>
        </w:tc>
        <w:tc>
          <w:tcPr>
            <w:tcW w:w="694" w:type="dxa"/>
            <w:vAlign w:val="center"/>
          </w:tcPr>
          <w:p w14:paraId="01C1060C">
            <w:pPr>
              <w:spacing w:after="62"/>
              <w:ind w:firstLine="0" w:firstLineChars="0"/>
              <w:jc w:val="center"/>
              <w:rPr>
                <w:sz w:val="13"/>
                <w:szCs w:val="13"/>
              </w:rPr>
            </w:pPr>
            <w:r>
              <w:rPr>
                <w:rFonts w:ascii="宋体" w:hAnsi="宋体"/>
                <w:sz w:val="13"/>
                <w:szCs w:val="13"/>
              </w:rPr>
              <w:t>0.763</w:t>
            </w:r>
          </w:p>
        </w:tc>
        <w:tc>
          <w:tcPr>
            <w:tcW w:w="694" w:type="dxa"/>
            <w:vAlign w:val="center"/>
          </w:tcPr>
          <w:p w14:paraId="1BC51141">
            <w:pPr>
              <w:spacing w:after="62"/>
              <w:ind w:firstLine="0" w:firstLineChars="0"/>
              <w:jc w:val="center"/>
              <w:rPr>
                <w:sz w:val="13"/>
                <w:szCs w:val="13"/>
              </w:rPr>
            </w:pPr>
            <w:r>
              <w:rPr>
                <w:rFonts w:ascii="宋体" w:hAnsi="宋体"/>
                <w:sz w:val="13"/>
                <w:szCs w:val="13"/>
              </w:rPr>
              <w:t>0.767</w:t>
            </w:r>
          </w:p>
        </w:tc>
        <w:tc>
          <w:tcPr>
            <w:tcW w:w="694" w:type="dxa"/>
            <w:vAlign w:val="center"/>
          </w:tcPr>
          <w:p w14:paraId="3FFEEFB9">
            <w:pPr>
              <w:spacing w:after="62"/>
              <w:ind w:firstLine="0" w:firstLineChars="0"/>
              <w:jc w:val="center"/>
              <w:rPr>
                <w:sz w:val="13"/>
                <w:szCs w:val="13"/>
              </w:rPr>
            </w:pPr>
            <w:r>
              <w:rPr>
                <w:rFonts w:ascii="宋体" w:hAnsi="宋体"/>
                <w:sz w:val="13"/>
                <w:szCs w:val="13"/>
              </w:rPr>
              <w:t>1.000</w:t>
            </w:r>
          </w:p>
        </w:tc>
        <w:tc>
          <w:tcPr>
            <w:tcW w:w="694" w:type="dxa"/>
            <w:vAlign w:val="center"/>
          </w:tcPr>
          <w:p w14:paraId="6900531F">
            <w:pPr>
              <w:spacing w:after="62"/>
              <w:ind w:firstLine="0" w:firstLineChars="0"/>
              <w:jc w:val="center"/>
              <w:rPr>
                <w:sz w:val="13"/>
                <w:szCs w:val="13"/>
              </w:rPr>
            </w:pPr>
            <w:r>
              <w:rPr>
                <w:rFonts w:ascii="宋体" w:hAnsi="宋体"/>
                <w:sz w:val="13"/>
                <w:szCs w:val="13"/>
              </w:rPr>
              <w:t>0.995</w:t>
            </w:r>
          </w:p>
        </w:tc>
        <w:tc>
          <w:tcPr>
            <w:tcW w:w="694" w:type="dxa"/>
            <w:vAlign w:val="center"/>
          </w:tcPr>
          <w:p w14:paraId="22BF9850">
            <w:pPr>
              <w:spacing w:after="62"/>
              <w:ind w:firstLine="0" w:firstLineChars="0"/>
              <w:jc w:val="center"/>
              <w:rPr>
                <w:sz w:val="13"/>
                <w:szCs w:val="13"/>
              </w:rPr>
            </w:pPr>
            <w:r>
              <w:rPr>
                <w:rFonts w:ascii="宋体" w:hAnsi="宋体"/>
                <w:sz w:val="13"/>
                <w:szCs w:val="13"/>
              </w:rPr>
              <w:t>0.974</w:t>
            </w:r>
          </w:p>
        </w:tc>
        <w:tc>
          <w:tcPr>
            <w:tcW w:w="694" w:type="dxa"/>
            <w:vAlign w:val="center"/>
          </w:tcPr>
          <w:p w14:paraId="519988F2">
            <w:pPr>
              <w:spacing w:after="62"/>
              <w:ind w:firstLine="0" w:firstLineChars="0"/>
              <w:jc w:val="center"/>
              <w:rPr>
                <w:sz w:val="13"/>
                <w:szCs w:val="13"/>
              </w:rPr>
            </w:pPr>
            <w:r>
              <w:rPr>
                <w:rFonts w:ascii="宋体" w:hAnsi="宋体"/>
                <w:sz w:val="13"/>
                <w:szCs w:val="13"/>
              </w:rPr>
              <w:t>0.609</w:t>
            </w:r>
          </w:p>
        </w:tc>
        <w:tc>
          <w:tcPr>
            <w:tcW w:w="782" w:type="dxa"/>
            <w:vAlign w:val="center"/>
          </w:tcPr>
          <w:p w14:paraId="65B78455">
            <w:pPr>
              <w:spacing w:after="62"/>
              <w:ind w:firstLine="0" w:firstLineChars="0"/>
              <w:jc w:val="center"/>
              <w:rPr>
                <w:sz w:val="13"/>
                <w:szCs w:val="13"/>
              </w:rPr>
            </w:pPr>
            <w:r>
              <w:rPr>
                <w:rFonts w:ascii="宋体" w:hAnsi="宋体"/>
                <w:sz w:val="13"/>
                <w:szCs w:val="13"/>
              </w:rPr>
              <w:t>19.693</w:t>
            </w:r>
          </w:p>
        </w:tc>
      </w:tr>
      <w:tr w14:paraId="0DDEAF00">
        <w:tblPrEx>
          <w:tblCellMar>
            <w:top w:w="0" w:type="dxa"/>
            <w:left w:w="108" w:type="dxa"/>
            <w:bottom w:w="0" w:type="dxa"/>
            <w:right w:w="108" w:type="dxa"/>
          </w:tblCellMar>
        </w:tblPrEx>
        <w:trPr>
          <w:jc w:val="center"/>
        </w:trPr>
        <w:tc>
          <w:tcPr>
            <w:tcW w:w="776" w:type="dxa"/>
            <w:vAlign w:val="center"/>
          </w:tcPr>
          <w:p w14:paraId="55AD1EA5">
            <w:pPr>
              <w:spacing w:after="62"/>
              <w:ind w:firstLine="0" w:firstLineChars="0"/>
              <w:jc w:val="center"/>
              <w:rPr>
                <w:sz w:val="13"/>
                <w:szCs w:val="13"/>
              </w:rPr>
            </w:pPr>
            <w:r>
              <w:rPr>
                <w:rFonts w:ascii="宋体" w:hAnsi="宋体"/>
                <w:sz w:val="13"/>
                <w:szCs w:val="13"/>
              </w:rPr>
              <w:t>去除极端风险特征</w:t>
            </w:r>
          </w:p>
        </w:tc>
        <w:tc>
          <w:tcPr>
            <w:tcW w:w="682" w:type="dxa"/>
            <w:vAlign w:val="center"/>
          </w:tcPr>
          <w:p w14:paraId="57063DCF">
            <w:pPr>
              <w:spacing w:after="62"/>
              <w:ind w:firstLine="0" w:firstLineChars="0"/>
              <w:jc w:val="center"/>
              <w:rPr>
                <w:sz w:val="13"/>
                <w:szCs w:val="13"/>
              </w:rPr>
            </w:pPr>
            <w:r>
              <w:rPr>
                <w:rFonts w:ascii="宋体" w:hAnsi="宋体"/>
                <w:sz w:val="13"/>
                <w:szCs w:val="13"/>
              </w:rPr>
              <w:t>1862</w:t>
            </w:r>
          </w:p>
        </w:tc>
        <w:tc>
          <w:tcPr>
            <w:tcW w:w="706" w:type="dxa"/>
            <w:vAlign w:val="center"/>
          </w:tcPr>
          <w:p w14:paraId="0D260982">
            <w:pPr>
              <w:spacing w:after="62"/>
              <w:ind w:firstLine="0" w:firstLineChars="0"/>
              <w:jc w:val="center"/>
              <w:rPr>
                <w:sz w:val="13"/>
                <w:szCs w:val="13"/>
              </w:rPr>
            </w:pPr>
            <w:r>
              <w:rPr>
                <w:rFonts w:ascii="宋体" w:hAnsi="宋体"/>
                <w:sz w:val="13"/>
                <w:szCs w:val="13"/>
              </w:rPr>
              <w:t>0.828</w:t>
            </w:r>
          </w:p>
        </w:tc>
        <w:tc>
          <w:tcPr>
            <w:tcW w:w="718" w:type="dxa"/>
            <w:vAlign w:val="center"/>
          </w:tcPr>
          <w:p w14:paraId="3E091025">
            <w:pPr>
              <w:spacing w:after="62"/>
              <w:ind w:firstLine="0" w:firstLineChars="0"/>
              <w:jc w:val="center"/>
              <w:rPr>
                <w:sz w:val="13"/>
                <w:szCs w:val="13"/>
              </w:rPr>
            </w:pPr>
            <w:r>
              <w:rPr>
                <w:rFonts w:ascii="宋体" w:hAnsi="宋体"/>
                <w:sz w:val="13"/>
                <w:szCs w:val="13"/>
              </w:rPr>
              <w:t>0.972</w:t>
            </w:r>
          </w:p>
        </w:tc>
        <w:tc>
          <w:tcPr>
            <w:tcW w:w="694" w:type="dxa"/>
            <w:vAlign w:val="center"/>
          </w:tcPr>
          <w:p w14:paraId="7628D295">
            <w:pPr>
              <w:spacing w:after="62"/>
              <w:ind w:firstLine="0" w:firstLineChars="0"/>
              <w:jc w:val="center"/>
              <w:rPr>
                <w:sz w:val="13"/>
                <w:szCs w:val="13"/>
              </w:rPr>
            </w:pPr>
            <w:r>
              <w:rPr>
                <w:rFonts w:ascii="宋体" w:hAnsi="宋体"/>
                <w:sz w:val="13"/>
                <w:szCs w:val="13"/>
              </w:rPr>
              <w:t>0.821</w:t>
            </w:r>
          </w:p>
        </w:tc>
        <w:tc>
          <w:tcPr>
            <w:tcW w:w="694" w:type="dxa"/>
            <w:vAlign w:val="center"/>
          </w:tcPr>
          <w:p w14:paraId="78926A7D">
            <w:pPr>
              <w:spacing w:after="62"/>
              <w:ind w:firstLine="0" w:firstLineChars="0"/>
              <w:jc w:val="center"/>
              <w:rPr>
                <w:sz w:val="13"/>
                <w:szCs w:val="13"/>
              </w:rPr>
            </w:pPr>
            <w:r>
              <w:rPr>
                <w:rFonts w:ascii="宋体" w:hAnsi="宋体"/>
                <w:sz w:val="13"/>
                <w:szCs w:val="13"/>
              </w:rPr>
              <w:t>0.769</w:t>
            </w:r>
          </w:p>
        </w:tc>
        <w:tc>
          <w:tcPr>
            <w:tcW w:w="694" w:type="dxa"/>
            <w:vAlign w:val="center"/>
          </w:tcPr>
          <w:p w14:paraId="2D1FEA02">
            <w:pPr>
              <w:spacing w:after="62"/>
              <w:ind w:firstLine="0" w:firstLineChars="0"/>
              <w:jc w:val="center"/>
              <w:rPr>
                <w:sz w:val="13"/>
                <w:szCs w:val="13"/>
              </w:rPr>
            </w:pPr>
            <w:r>
              <w:rPr>
                <w:rFonts w:ascii="宋体" w:hAnsi="宋体"/>
                <w:sz w:val="13"/>
                <w:szCs w:val="13"/>
              </w:rPr>
              <w:t>0.776</w:t>
            </w:r>
          </w:p>
        </w:tc>
        <w:tc>
          <w:tcPr>
            <w:tcW w:w="694" w:type="dxa"/>
            <w:vAlign w:val="center"/>
          </w:tcPr>
          <w:p w14:paraId="6A600C94">
            <w:pPr>
              <w:spacing w:after="62"/>
              <w:ind w:firstLine="0" w:firstLineChars="0"/>
              <w:jc w:val="center"/>
              <w:rPr>
                <w:sz w:val="13"/>
                <w:szCs w:val="13"/>
              </w:rPr>
            </w:pPr>
            <w:r>
              <w:rPr>
                <w:rFonts w:ascii="宋体" w:hAnsi="宋体"/>
                <w:sz w:val="13"/>
                <w:szCs w:val="13"/>
              </w:rPr>
              <w:t>1.000</w:t>
            </w:r>
          </w:p>
        </w:tc>
        <w:tc>
          <w:tcPr>
            <w:tcW w:w="694" w:type="dxa"/>
            <w:vAlign w:val="center"/>
          </w:tcPr>
          <w:p w14:paraId="58B7442C">
            <w:pPr>
              <w:spacing w:after="62"/>
              <w:ind w:firstLine="0" w:firstLineChars="0"/>
              <w:jc w:val="center"/>
              <w:rPr>
                <w:sz w:val="13"/>
                <w:szCs w:val="13"/>
              </w:rPr>
            </w:pPr>
            <w:r>
              <w:rPr>
                <w:rFonts w:ascii="宋体" w:hAnsi="宋体"/>
                <w:sz w:val="13"/>
                <w:szCs w:val="13"/>
              </w:rPr>
              <w:t>0.990</w:t>
            </w:r>
          </w:p>
        </w:tc>
        <w:tc>
          <w:tcPr>
            <w:tcW w:w="694" w:type="dxa"/>
            <w:vAlign w:val="center"/>
          </w:tcPr>
          <w:p w14:paraId="43F0510C">
            <w:pPr>
              <w:spacing w:after="62"/>
              <w:ind w:firstLine="0" w:firstLineChars="0"/>
              <w:jc w:val="center"/>
              <w:rPr>
                <w:sz w:val="13"/>
                <w:szCs w:val="13"/>
              </w:rPr>
            </w:pPr>
            <w:r>
              <w:rPr>
                <w:rFonts w:ascii="宋体" w:hAnsi="宋体"/>
                <w:sz w:val="13"/>
                <w:szCs w:val="13"/>
              </w:rPr>
              <w:t>0.974</w:t>
            </w:r>
          </w:p>
        </w:tc>
        <w:tc>
          <w:tcPr>
            <w:tcW w:w="694" w:type="dxa"/>
            <w:vAlign w:val="center"/>
          </w:tcPr>
          <w:p w14:paraId="39C0A3F2">
            <w:pPr>
              <w:spacing w:after="62"/>
              <w:ind w:firstLine="0" w:firstLineChars="0"/>
              <w:jc w:val="center"/>
              <w:rPr>
                <w:sz w:val="13"/>
                <w:szCs w:val="13"/>
              </w:rPr>
            </w:pPr>
            <w:r>
              <w:rPr>
                <w:rFonts w:ascii="宋体" w:hAnsi="宋体"/>
                <w:sz w:val="13"/>
                <w:szCs w:val="13"/>
              </w:rPr>
              <w:t>0.609</w:t>
            </w:r>
          </w:p>
        </w:tc>
        <w:tc>
          <w:tcPr>
            <w:tcW w:w="782" w:type="dxa"/>
            <w:vAlign w:val="center"/>
          </w:tcPr>
          <w:p w14:paraId="26A7AE62">
            <w:pPr>
              <w:spacing w:after="62"/>
              <w:ind w:firstLine="0" w:firstLineChars="0"/>
              <w:jc w:val="center"/>
              <w:rPr>
                <w:sz w:val="13"/>
                <w:szCs w:val="13"/>
              </w:rPr>
            </w:pPr>
            <w:r>
              <w:rPr>
                <w:rFonts w:ascii="宋体" w:hAnsi="宋体"/>
                <w:sz w:val="13"/>
                <w:szCs w:val="13"/>
              </w:rPr>
              <w:t>19.693</w:t>
            </w:r>
          </w:p>
        </w:tc>
      </w:tr>
      <w:tr w14:paraId="4AC261E2">
        <w:tblPrEx>
          <w:tblCellMar>
            <w:top w:w="0" w:type="dxa"/>
            <w:left w:w="108" w:type="dxa"/>
            <w:bottom w:w="0" w:type="dxa"/>
            <w:right w:w="108" w:type="dxa"/>
          </w:tblCellMar>
        </w:tblPrEx>
        <w:trPr>
          <w:jc w:val="center"/>
        </w:trPr>
        <w:tc>
          <w:tcPr>
            <w:tcW w:w="776" w:type="dxa"/>
            <w:vAlign w:val="center"/>
          </w:tcPr>
          <w:p w14:paraId="453ECB3B">
            <w:pPr>
              <w:spacing w:after="62"/>
              <w:ind w:firstLine="0" w:firstLineChars="0"/>
              <w:jc w:val="center"/>
              <w:rPr>
                <w:sz w:val="13"/>
                <w:szCs w:val="13"/>
              </w:rPr>
            </w:pPr>
            <w:r>
              <w:rPr>
                <w:rFonts w:ascii="宋体" w:hAnsi="宋体"/>
                <w:sz w:val="13"/>
                <w:szCs w:val="13"/>
              </w:rPr>
              <w:t>去除窗口动态特征</w:t>
            </w:r>
          </w:p>
        </w:tc>
        <w:tc>
          <w:tcPr>
            <w:tcW w:w="682" w:type="dxa"/>
            <w:vAlign w:val="center"/>
          </w:tcPr>
          <w:p w14:paraId="600426DA">
            <w:pPr>
              <w:spacing w:after="62"/>
              <w:ind w:firstLine="0" w:firstLineChars="0"/>
              <w:jc w:val="center"/>
              <w:rPr>
                <w:sz w:val="13"/>
                <w:szCs w:val="13"/>
              </w:rPr>
            </w:pPr>
            <w:r>
              <w:rPr>
                <w:rFonts w:ascii="宋体" w:hAnsi="宋体"/>
                <w:sz w:val="13"/>
                <w:szCs w:val="13"/>
              </w:rPr>
              <w:t>1071</w:t>
            </w:r>
          </w:p>
        </w:tc>
        <w:tc>
          <w:tcPr>
            <w:tcW w:w="706" w:type="dxa"/>
            <w:vAlign w:val="center"/>
          </w:tcPr>
          <w:p w14:paraId="46E4148E">
            <w:pPr>
              <w:spacing w:after="62"/>
              <w:ind w:firstLine="0" w:firstLineChars="0"/>
              <w:jc w:val="center"/>
              <w:rPr>
                <w:sz w:val="13"/>
                <w:szCs w:val="13"/>
              </w:rPr>
            </w:pPr>
            <w:r>
              <w:rPr>
                <w:rFonts w:ascii="宋体" w:hAnsi="宋体"/>
                <w:sz w:val="13"/>
                <w:szCs w:val="13"/>
              </w:rPr>
              <w:t>0.828</w:t>
            </w:r>
          </w:p>
        </w:tc>
        <w:tc>
          <w:tcPr>
            <w:tcW w:w="718" w:type="dxa"/>
            <w:vAlign w:val="center"/>
          </w:tcPr>
          <w:p w14:paraId="2777318F">
            <w:pPr>
              <w:spacing w:after="62"/>
              <w:ind w:firstLine="0" w:firstLineChars="0"/>
              <w:jc w:val="center"/>
              <w:rPr>
                <w:sz w:val="13"/>
                <w:szCs w:val="13"/>
              </w:rPr>
            </w:pPr>
            <w:r>
              <w:rPr>
                <w:rFonts w:ascii="宋体" w:hAnsi="宋体"/>
                <w:sz w:val="13"/>
                <w:szCs w:val="13"/>
              </w:rPr>
              <w:t>0.972</w:t>
            </w:r>
          </w:p>
        </w:tc>
        <w:tc>
          <w:tcPr>
            <w:tcW w:w="694" w:type="dxa"/>
            <w:vAlign w:val="center"/>
          </w:tcPr>
          <w:p w14:paraId="0CD13F66">
            <w:pPr>
              <w:spacing w:after="62"/>
              <w:ind w:firstLine="0" w:firstLineChars="0"/>
              <w:jc w:val="center"/>
              <w:rPr>
                <w:sz w:val="13"/>
                <w:szCs w:val="13"/>
              </w:rPr>
            </w:pPr>
            <w:r>
              <w:rPr>
                <w:rFonts w:ascii="宋体" w:hAnsi="宋体"/>
                <w:sz w:val="13"/>
                <w:szCs w:val="13"/>
              </w:rPr>
              <w:t>0.815</w:t>
            </w:r>
          </w:p>
        </w:tc>
        <w:tc>
          <w:tcPr>
            <w:tcW w:w="694" w:type="dxa"/>
            <w:vAlign w:val="center"/>
          </w:tcPr>
          <w:p w14:paraId="74303456">
            <w:pPr>
              <w:spacing w:after="62"/>
              <w:ind w:firstLine="0" w:firstLineChars="0"/>
              <w:jc w:val="center"/>
              <w:rPr>
                <w:sz w:val="13"/>
                <w:szCs w:val="13"/>
              </w:rPr>
            </w:pPr>
            <w:r>
              <w:rPr>
                <w:rFonts w:ascii="宋体" w:hAnsi="宋体"/>
                <w:sz w:val="13"/>
                <w:szCs w:val="13"/>
              </w:rPr>
              <w:t>0.761</w:t>
            </w:r>
          </w:p>
        </w:tc>
        <w:tc>
          <w:tcPr>
            <w:tcW w:w="694" w:type="dxa"/>
            <w:vAlign w:val="center"/>
          </w:tcPr>
          <w:p w14:paraId="2986AAFE">
            <w:pPr>
              <w:spacing w:after="62"/>
              <w:ind w:firstLine="0" w:firstLineChars="0"/>
              <w:jc w:val="center"/>
              <w:rPr>
                <w:sz w:val="13"/>
                <w:szCs w:val="13"/>
              </w:rPr>
            </w:pPr>
            <w:r>
              <w:rPr>
                <w:rFonts w:ascii="宋体" w:hAnsi="宋体"/>
                <w:sz w:val="13"/>
                <w:szCs w:val="13"/>
              </w:rPr>
              <w:t>0.768</w:t>
            </w:r>
          </w:p>
        </w:tc>
        <w:tc>
          <w:tcPr>
            <w:tcW w:w="694" w:type="dxa"/>
            <w:vAlign w:val="center"/>
          </w:tcPr>
          <w:p w14:paraId="1794B53F">
            <w:pPr>
              <w:spacing w:after="62"/>
              <w:ind w:firstLine="0" w:firstLineChars="0"/>
              <w:jc w:val="center"/>
              <w:rPr>
                <w:sz w:val="13"/>
                <w:szCs w:val="13"/>
              </w:rPr>
            </w:pPr>
            <w:r>
              <w:rPr>
                <w:rFonts w:ascii="宋体" w:hAnsi="宋体"/>
                <w:sz w:val="13"/>
                <w:szCs w:val="13"/>
              </w:rPr>
              <w:t>1.000</w:t>
            </w:r>
          </w:p>
        </w:tc>
        <w:tc>
          <w:tcPr>
            <w:tcW w:w="694" w:type="dxa"/>
            <w:vAlign w:val="center"/>
          </w:tcPr>
          <w:p w14:paraId="339D693F">
            <w:pPr>
              <w:spacing w:after="62"/>
              <w:ind w:firstLine="0" w:firstLineChars="0"/>
              <w:jc w:val="center"/>
              <w:rPr>
                <w:sz w:val="13"/>
                <w:szCs w:val="13"/>
              </w:rPr>
            </w:pPr>
            <w:r>
              <w:rPr>
                <w:rFonts w:ascii="宋体" w:hAnsi="宋体"/>
                <w:sz w:val="13"/>
                <w:szCs w:val="13"/>
              </w:rPr>
              <w:t>0.995</w:t>
            </w:r>
          </w:p>
        </w:tc>
        <w:tc>
          <w:tcPr>
            <w:tcW w:w="694" w:type="dxa"/>
            <w:vAlign w:val="center"/>
          </w:tcPr>
          <w:p w14:paraId="1E7537B1">
            <w:pPr>
              <w:spacing w:after="62"/>
              <w:ind w:firstLine="0" w:firstLineChars="0"/>
              <w:jc w:val="center"/>
              <w:rPr>
                <w:sz w:val="13"/>
                <w:szCs w:val="13"/>
              </w:rPr>
            </w:pPr>
            <w:r>
              <w:rPr>
                <w:rFonts w:ascii="宋体" w:hAnsi="宋体"/>
                <w:sz w:val="13"/>
                <w:szCs w:val="13"/>
              </w:rPr>
              <w:t>0.974</w:t>
            </w:r>
          </w:p>
        </w:tc>
        <w:tc>
          <w:tcPr>
            <w:tcW w:w="694" w:type="dxa"/>
            <w:vAlign w:val="center"/>
          </w:tcPr>
          <w:p w14:paraId="760699E8">
            <w:pPr>
              <w:spacing w:after="62"/>
              <w:ind w:firstLine="0" w:firstLineChars="0"/>
              <w:jc w:val="center"/>
              <w:rPr>
                <w:sz w:val="13"/>
                <w:szCs w:val="13"/>
              </w:rPr>
            </w:pPr>
            <w:r>
              <w:rPr>
                <w:rFonts w:ascii="宋体" w:hAnsi="宋体"/>
                <w:sz w:val="13"/>
                <w:szCs w:val="13"/>
              </w:rPr>
              <w:t>0.609</w:t>
            </w:r>
          </w:p>
        </w:tc>
        <w:tc>
          <w:tcPr>
            <w:tcW w:w="782" w:type="dxa"/>
            <w:vAlign w:val="center"/>
          </w:tcPr>
          <w:p w14:paraId="15CBAF46">
            <w:pPr>
              <w:spacing w:after="62"/>
              <w:ind w:firstLine="0" w:firstLineChars="0"/>
              <w:jc w:val="center"/>
              <w:rPr>
                <w:sz w:val="13"/>
                <w:szCs w:val="13"/>
              </w:rPr>
            </w:pPr>
            <w:r>
              <w:rPr>
                <w:rFonts w:ascii="宋体" w:hAnsi="宋体"/>
                <w:sz w:val="13"/>
                <w:szCs w:val="13"/>
              </w:rPr>
              <w:t>19.693</w:t>
            </w:r>
          </w:p>
        </w:tc>
      </w:tr>
      <w:tr w14:paraId="6218C799">
        <w:tblPrEx>
          <w:tblCellMar>
            <w:top w:w="0" w:type="dxa"/>
            <w:left w:w="108" w:type="dxa"/>
            <w:bottom w:w="0" w:type="dxa"/>
            <w:right w:w="108" w:type="dxa"/>
          </w:tblCellMar>
        </w:tblPrEx>
        <w:trPr>
          <w:jc w:val="center"/>
        </w:trPr>
        <w:tc>
          <w:tcPr>
            <w:tcW w:w="776" w:type="dxa"/>
            <w:vAlign w:val="center"/>
          </w:tcPr>
          <w:p w14:paraId="14703BA6">
            <w:pPr>
              <w:spacing w:after="62"/>
              <w:ind w:firstLine="0" w:firstLineChars="0"/>
              <w:jc w:val="center"/>
              <w:rPr>
                <w:sz w:val="13"/>
                <w:szCs w:val="13"/>
              </w:rPr>
            </w:pPr>
            <w:r>
              <w:rPr>
                <w:rFonts w:ascii="宋体" w:hAnsi="宋体"/>
                <w:sz w:val="13"/>
                <w:szCs w:val="13"/>
              </w:rPr>
              <w:t>去除市场、治理与审计特征</w:t>
            </w:r>
          </w:p>
        </w:tc>
        <w:tc>
          <w:tcPr>
            <w:tcW w:w="682" w:type="dxa"/>
            <w:vAlign w:val="center"/>
          </w:tcPr>
          <w:p w14:paraId="7EE88CC7">
            <w:pPr>
              <w:spacing w:after="62"/>
              <w:ind w:firstLine="0" w:firstLineChars="0"/>
              <w:jc w:val="center"/>
              <w:rPr>
                <w:sz w:val="13"/>
                <w:szCs w:val="13"/>
              </w:rPr>
            </w:pPr>
            <w:r>
              <w:rPr>
                <w:rFonts w:ascii="宋体" w:hAnsi="宋体"/>
                <w:sz w:val="13"/>
                <w:szCs w:val="13"/>
              </w:rPr>
              <w:t>1624</w:t>
            </w:r>
          </w:p>
        </w:tc>
        <w:tc>
          <w:tcPr>
            <w:tcW w:w="706" w:type="dxa"/>
            <w:vAlign w:val="center"/>
          </w:tcPr>
          <w:p w14:paraId="6B0D2485">
            <w:pPr>
              <w:spacing w:after="62"/>
              <w:ind w:firstLine="0" w:firstLineChars="0"/>
              <w:jc w:val="center"/>
              <w:rPr>
                <w:sz w:val="13"/>
                <w:szCs w:val="13"/>
              </w:rPr>
            </w:pPr>
            <w:r>
              <w:rPr>
                <w:rFonts w:ascii="宋体" w:hAnsi="宋体"/>
                <w:sz w:val="13"/>
                <w:szCs w:val="13"/>
              </w:rPr>
              <w:t>0.807</w:t>
            </w:r>
          </w:p>
        </w:tc>
        <w:tc>
          <w:tcPr>
            <w:tcW w:w="718" w:type="dxa"/>
            <w:vAlign w:val="center"/>
          </w:tcPr>
          <w:p w14:paraId="027F3A9A">
            <w:pPr>
              <w:spacing w:after="62"/>
              <w:ind w:firstLine="0" w:firstLineChars="0"/>
              <w:jc w:val="center"/>
              <w:rPr>
                <w:sz w:val="13"/>
                <w:szCs w:val="13"/>
              </w:rPr>
            </w:pPr>
            <w:r>
              <w:rPr>
                <w:rFonts w:ascii="宋体" w:hAnsi="宋体"/>
                <w:sz w:val="13"/>
                <w:szCs w:val="13"/>
              </w:rPr>
              <w:t>0.969</w:t>
            </w:r>
          </w:p>
        </w:tc>
        <w:tc>
          <w:tcPr>
            <w:tcW w:w="694" w:type="dxa"/>
            <w:vAlign w:val="center"/>
          </w:tcPr>
          <w:p w14:paraId="64F7E464">
            <w:pPr>
              <w:spacing w:after="62"/>
              <w:ind w:firstLine="0" w:firstLineChars="0"/>
              <w:jc w:val="center"/>
              <w:rPr>
                <w:sz w:val="13"/>
                <w:szCs w:val="13"/>
              </w:rPr>
            </w:pPr>
            <w:r>
              <w:rPr>
                <w:rFonts w:ascii="宋体" w:hAnsi="宋体"/>
                <w:sz w:val="13"/>
                <w:szCs w:val="13"/>
              </w:rPr>
              <w:t>0.815</w:t>
            </w:r>
          </w:p>
        </w:tc>
        <w:tc>
          <w:tcPr>
            <w:tcW w:w="694" w:type="dxa"/>
            <w:vAlign w:val="center"/>
          </w:tcPr>
          <w:p w14:paraId="2FD2D1C8">
            <w:pPr>
              <w:spacing w:after="62"/>
              <w:ind w:firstLine="0" w:firstLineChars="0"/>
              <w:jc w:val="center"/>
              <w:rPr>
                <w:sz w:val="13"/>
                <w:szCs w:val="13"/>
              </w:rPr>
            </w:pPr>
            <w:r>
              <w:rPr>
                <w:rFonts w:ascii="宋体" w:hAnsi="宋体"/>
                <w:sz w:val="13"/>
                <w:szCs w:val="13"/>
              </w:rPr>
              <w:t>0.743</w:t>
            </w:r>
          </w:p>
        </w:tc>
        <w:tc>
          <w:tcPr>
            <w:tcW w:w="694" w:type="dxa"/>
            <w:vAlign w:val="center"/>
          </w:tcPr>
          <w:p w14:paraId="6DA5B782">
            <w:pPr>
              <w:spacing w:after="62"/>
              <w:ind w:firstLine="0" w:firstLineChars="0"/>
              <w:jc w:val="center"/>
              <w:rPr>
                <w:sz w:val="13"/>
                <w:szCs w:val="13"/>
              </w:rPr>
            </w:pPr>
            <w:r>
              <w:rPr>
                <w:rFonts w:ascii="宋体" w:hAnsi="宋体"/>
                <w:sz w:val="13"/>
                <w:szCs w:val="13"/>
              </w:rPr>
              <w:t>0.745</w:t>
            </w:r>
          </w:p>
        </w:tc>
        <w:tc>
          <w:tcPr>
            <w:tcW w:w="694" w:type="dxa"/>
            <w:vAlign w:val="center"/>
          </w:tcPr>
          <w:p w14:paraId="35EDDA68">
            <w:pPr>
              <w:spacing w:after="62"/>
              <w:ind w:firstLine="0" w:firstLineChars="0"/>
              <w:jc w:val="center"/>
              <w:rPr>
                <w:sz w:val="13"/>
                <w:szCs w:val="13"/>
              </w:rPr>
            </w:pPr>
            <w:r>
              <w:rPr>
                <w:rFonts w:ascii="宋体" w:hAnsi="宋体"/>
                <w:sz w:val="13"/>
                <w:szCs w:val="13"/>
              </w:rPr>
              <w:t>1.000</w:t>
            </w:r>
          </w:p>
        </w:tc>
        <w:tc>
          <w:tcPr>
            <w:tcW w:w="694" w:type="dxa"/>
            <w:vAlign w:val="center"/>
          </w:tcPr>
          <w:p w14:paraId="5612594D">
            <w:pPr>
              <w:spacing w:after="62"/>
              <w:ind w:firstLine="0" w:firstLineChars="0"/>
              <w:jc w:val="center"/>
              <w:rPr>
                <w:sz w:val="13"/>
                <w:szCs w:val="13"/>
              </w:rPr>
            </w:pPr>
            <w:r>
              <w:rPr>
                <w:rFonts w:ascii="宋体" w:hAnsi="宋体"/>
                <w:sz w:val="13"/>
                <w:szCs w:val="13"/>
              </w:rPr>
              <w:t>0.990</w:t>
            </w:r>
          </w:p>
        </w:tc>
        <w:tc>
          <w:tcPr>
            <w:tcW w:w="694" w:type="dxa"/>
            <w:vAlign w:val="center"/>
          </w:tcPr>
          <w:p w14:paraId="0820FA1D">
            <w:pPr>
              <w:spacing w:after="62"/>
              <w:ind w:firstLine="0" w:firstLineChars="0"/>
              <w:jc w:val="center"/>
              <w:rPr>
                <w:sz w:val="13"/>
                <w:szCs w:val="13"/>
              </w:rPr>
            </w:pPr>
            <w:r>
              <w:rPr>
                <w:rFonts w:ascii="宋体" w:hAnsi="宋体"/>
                <w:sz w:val="13"/>
                <w:szCs w:val="13"/>
              </w:rPr>
              <w:t>0.968</w:t>
            </w:r>
          </w:p>
        </w:tc>
        <w:tc>
          <w:tcPr>
            <w:tcW w:w="694" w:type="dxa"/>
            <w:vAlign w:val="center"/>
          </w:tcPr>
          <w:p w14:paraId="455EF6A0">
            <w:pPr>
              <w:spacing w:after="62"/>
              <w:ind w:firstLine="0" w:firstLineChars="0"/>
              <w:jc w:val="center"/>
              <w:rPr>
                <w:sz w:val="13"/>
                <w:szCs w:val="13"/>
              </w:rPr>
            </w:pPr>
            <w:r>
              <w:rPr>
                <w:rFonts w:ascii="宋体" w:hAnsi="宋体"/>
                <w:sz w:val="13"/>
                <w:szCs w:val="13"/>
              </w:rPr>
              <w:t>0.605</w:t>
            </w:r>
          </w:p>
        </w:tc>
        <w:tc>
          <w:tcPr>
            <w:tcW w:w="782" w:type="dxa"/>
            <w:vAlign w:val="center"/>
          </w:tcPr>
          <w:p w14:paraId="230767C3">
            <w:pPr>
              <w:spacing w:after="62"/>
              <w:ind w:firstLine="0" w:firstLineChars="0"/>
              <w:jc w:val="center"/>
              <w:rPr>
                <w:sz w:val="13"/>
                <w:szCs w:val="13"/>
              </w:rPr>
            </w:pPr>
            <w:r>
              <w:rPr>
                <w:rFonts w:ascii="宋体" w:hAnsi="宋体"/>
                <w:sz w:val="13"/>
                <w:szCs w:val="13"/>
              </w:rPr>
              <w:t>19.572</w:t>
            </w:r>
          </w:p>
        </w:tc>
      </w:tr>
      <w:tr w14:paraId="3A6FCE58">
        <w:tblPrEx>
          <w:tblCellMar>
            <w:top w:w="0" w:type="dxa"/>
            <w:left w:w="108" w:type="dxa"/>
            <w:bottom w:w="0" w:type="dxa"/>
            <w:right w:w="108" w:type="dxa"/>
          </w:tblCellMar>
        </w:tblPrEx>
        <w:trPr>
          <w:jc w:val="center"/>
        </w:trPr>
        <w:tc>
          <w:tcPr>
            <w:tcW w:w="776" w:type="dxa"/>
            <w:tcBorders>
              <w:bottom w:val="single" w:color="000000" w:sz="12" w:space="0"/>
            </w:tcBorders>
            <w:vAlign w:val="center"/>
          </w:tcPr>
          <w:p w14:paraId="51C4658A">
            <w:pPr>
              <w:spacing w:after="62"/>
              <w:ind w:firstLine="0" w:firstLineChars="0"/>
              <w:jc w:val="center"/>
              <w:rPr>
                <w:sz w:val="13"/>
                <w:szCs w:val="13"/>
              </w:rPr>
            </w:pPr>
            <w:r>
              <w:rPr>
                <w:rFonts w:ascii="宋体" w:hAnsi="宋体"/>
                <w:sz w:val="13"/>
                <w:szCs w:val="13"/>
              </w:rPr>
              <w:t>仅核心基础特征</w:t>
            </w:r>
          </w:p>
        </w:tc>
        <w:tc>
          <w:tcPr>
            <w:tcW w:w="682" w:type="dxa"/>
            <w:tcBorders>
              <w:bottom w:val="single" w:color="000000" w:sz="12" w:space="0"/>
            </w:tcBorders>
            <w:vAlign w:val="center"/>
          </w:tcPr>
          <w:p w14:paraId="73FFF377">
            <w:pPr>
              <w:spacing w:after="62"/>
              <w:ind w:firstLine="0" w:firstLineChars="0"/>
              <w:jc w:val="center"/>
              <w:rPr>
                <w:sz w:val="13"/>
                <w:szCs w:val="13"/>
              </w:rPr>
            </w:pPr>
            <w:r>
              <w:rPr>
                <w:rFonts w:ascii="宋体" w:hAnsi="宋体"/>
                <w:sz w:val="13"/>
                <w:szCs w:val="13"/>
              </w:rPr>
              <w:t>758</w:t>
            </w:r>
          </w:p>
        </w:tc>
        <w:tc>
          <w:tcPr>
            <w:tcW w:w="706" w:type="dxa"/>
            <w:tcBorders>
              <w:bottom w:val="single" w:color="000000" w:sz="12" w:space="0"/>
            </w:tcBorders>
            <w:vAlign w:val="center"/>
          </w:tcPr>
          <w:p w14:paraId="14B1E316">
            <w:pPr>
              <w:spacing w:after="62"/>
              <w:ind w:firstLine="0" w:firstLineChars="0"/>
              <w:jc w:val="center"/>
              <w:rPr>
                <w:sz w:val="13"/>
                <w:szCs w:val="13"/>
              </w:rPr>
            </w:pPr>
            <w:r>
              <w:rPr>
                <w:rFonts w:ascii="宋体" w:hAnsi="宋体"/>
                <w:sz w:val="13"/>
                <w:szCs w:val="13"/>
              </w:rPr>
              <w:t>0.775</w:t>
            </w:r>
          </w:p>
        </w:tc>
        <w:tc>
          <w:tcPr>
            <w:tcW w:w="718" w:type="dxa"/>
            <w:tcBorders>
              <w:bottom w:val="single" w:color="000000" w:sz="12" w:space="0"/>
            </w:tcBorders>
            <w:vAlign w:val="center"/>
          </w:tcPr>
          <w:p w14:paraId="1C443D7B">
            <w:pPr>
              <w:spacing w:after="62"/>
              <w:ind w:firstLine="0" w:firstLineChars="0"/>
              <w:jc w:val="center"/>
              <w:rPr>
                <w:sz w:val="13"/>
                <w:szCs w:val="13"/>
              </w:rPr>
            </w:pPr>
            <w:r>
              <w:rPr>
                <w:rFonts w:ascii="宋体" w:hAnsi="宋体"/>
                <w:sz w:val="13"/>
                <w:szCs w:val="13"/>
              </w:rPr>
              <w:t>0.967</w:t>
            </w:r>
          </w:p>
        </w:tc>
        <w:tc>
          <w:tcPr>
            <w:tcW w:w="694" w:type="dxa"/>
            <w:tcBorders>
              <w:bottom w:val="single" w:color="000000" w:sz="12" w:space="0"/>
            </w:tcBorders>
            <w:vAlign w:val="center"/>
          </w:tcPr>
          <w:p w14:paraId="5FE2C071">
            <w:pPr>
              <w:spacing w:after="62"/>
              <w:ind w:firstLine="0" w:firstLineChars="0"/>
              <w:jc w:val="center"/>
              <w:rPr>
                <w:sz w:val="13"/>
                <w:szCs w:val="13"/>
              </w:rPr>
            </w:pPr>
            <w:r>
              <w:rPr>
                <w:rFonts w:ascii="宋体" w:hAnsi="宋体"/>
                <w:sz w:val="13"/>
                <w:szCs w:val="13"/>
              </w:rPr>
              <w:t>0.771</w:t>
            </w:r>
          </w:p>
        </w:tc>
        <w:tc>
          <w:tcPr>
            <w:tcW w:w="694" w:type="dxa"/>
            <w:tcBorders>
              <w:bottom w:val="single" w:color="000000" w:sz="12" w:space="0"/>
            </w:tcBorders>
            <w:vAlign w:val="center"/>
          </w:tcPr>
          <w:p w14:paraId="0EDC5D97">
            <w:pPr>
              <w:spacing w:after="62"/>
              <w:ind w:firstLine="0" w:firstLineChars="0"/>
              <w:jc w:val="center"/>
              <w:rPr>
                <w:sz w:val="13"/>
                <w:szCs w:val="13"/>
              </w:rPr>
            </w:pPr>
            <w:r>
              <w:rPr>
                <w:rFonts w:ascii="宋体" w:hAnsi="宋体"/>
                <w:sz w:val="13"/>
                <w:szCs w:val="13"/>
              </w:rPr>
              <w:t>0.668</w:t>
            </w:r>
          </w:p>
        </w:tc>
        <w:tc>
          <w:tcPr>
            <w:tcW w:w="694" w:type="dxa"/>
            <w:tcBorders>
              <w:bottom w:val="single" w:color="000000" w:sz="12" w:space="0"/>
            </w:tcBorders>
            <w:vAlign w:val="center"/>
          </w:tcPr>
          <w:p w14:paraId="3A667ACB">
            <w:pPr>
              <w:spacing w:after="62"/>
              <w:ind w:firstLine="0" w:firstLineChars="0"/>
              <w:jc w:val="center"/>
              <w:rPr>
                <w:sz w:val="13"/>
                <w:szCs w:val="13"/>
              </w:rPr>
            </w:pPr>
            <w:r>
              <w:rPr>
                <w:rFonts w:ascii="宋体" w:hAnsi="宋体"/>
                <w:sz w:val="13"/>
                <w:szCs w:val="13"/>
              </w:rPr>
              <w:t>0.673</w:t>
            </w:r>
          </w:p>
        </w:tc>
        <w:tc>
          <w:tcPr>
            <w:tcW w:w="694" w:type="dxa"/>
            <w:tcBorders>
              <w:bottom w:val="single" w:color="000000" w:sz="12" w:space="0"/>
            </w:tcBorders>
            <w:vAlign w:val="center"/>
          </w:tcPr>
          <w:p w14:paraId="13AD2AA0">
            <w:pPr>
              <w:spacing w:after="62"/>
              <w:ind w:firstLine="0" w:firstLineChars="0"/>
              <w:jc w:val="center"/>
              <w:rPr>
                <w:sz w:val="13"/>
                <w:szCs w:val="13"/>
              </w:rPr>
            </w:pPr>
            <w:r>
              <w:rPr>
                <w:rFonts w:ascii="宋体" w:hAnsi="宋体"/>
                <w:sz w:val="13"/>
                <w:szCs w:val="13"/>
              </w:rPr>
              <w:t>1.000</w:t>
            </w:r>
          </w:p>
        </w:tc>
        <w:tc>
          <w:tcPr>
            <w:tcW w:w="694" w:type="dxa"/>
            <w:tcBorders>
              <w:bottom w:val="single" w:color="000000" w:sz="12" w:space="0"/>
            </w:tcBorders>
            <w:vAlign w:val="center"/>
          </w:tcPr>
          <w:p w14:paraId="53EAF39D">
            <w:pPr>
              <w:spacing w:after="62"/>
              <w:ind w:firstLine="0" w:firstLineChars="0"/>
              <w:jc w:val="center"/>
              <w:rPr>
                <w:sz w:val="13"/>
                <w:szCs w:val="13"/>
              </w:rPr>
            </w:pPr>
            <w:r>
              <w:rPr>
                <w:rFonts w:ascii="宋体" w:hAnsi="宋体"/>
                <w:sz w:val="13"/>
                <w:szCs w:val="13"/>
              </w:rPr>
              <w:t>1.000</w:t>
            </w:r>
          </w:p>
        </w:tc>
        <w:tc>
          <w:tcPr>
            <w:tcW w:w="694" w:type="dxa"/>
            <w:tcBorders>
              <w:bottom w:val="single" w:color="000000" w:sz="12" w:space="0"/>
            </w:tcBorders>
            <w:vAlign w:val="center"/>
          </w:tcPr>
          <w:p w14:paraId="4E0F978F">
            <w:pPr>
              <w:spacing w:after="62"/>
              <w:ind w:firstLine="0" w:firstLineChars="0"/>
              <w:jc w:val="center"/>
              <w:rPr>
                <w:sz w:val="13"/>
                <w:szCs w:val="13"/>
              </w:rPr>
            </w:pPr>
            <w:r>
              <w:rPr>
                <w:rFonts w:ascii="宋体" w:hAnsi="宋体"/>
                <w:sz w:val="13"/>
                <w:szCs w:val="13"/>
              </w:rPr>
              <w:t>0.864</w:t>
            </w:r>
          </w:p>
        </w:tc>
        <w:tc>
          <w:tcPr>
            <w:tcW w:w="694" w:type="dxa"/>
            <w:tcBorders>
              <w:bottom w:val="single" w:color="000000" w:sz="12" w:space="0"/>
            </w:tcBorders>
            <w:vAlign w:val="center"/>
          </w:tcPr>
          <w:p w14:paraId="487094B2">
            <w:pPr>
              <w:spacing w:after="62"/>
              <w:ind w:firstLine="0" w:firstLineChars="0"/>
              <w:jc w:val="center"/>
              <w:rPr>
                <w:sz w:val="13"/>
                <w:szCs w:val="13"/>
              </w:rPr>
            </w:pPr>
            <w:r>
              <w:rPr>
                <w:rFonts w:ascii="宋体" w:hAnsi="宋体"/>
                <w:sz w:val="13"/>
                <w:szCs w:val="13"/>
              </w:rPr>
              <w:t>0.540</w:t>
            </w:r>
          </w:p>
        </w:tc>
        <w:tc>
          <w:tcPr>
            <w:tcW w:w="782" w:type="dxa"/>
            <w:tcBorders>
              <w:bottom w:val="single" w:color="000000" w:sz="12" w:space="0"/>
            </w:tcBorders>
            <w:vAlign w:val="center"/>
          </w:tcPr>
          <w:p w14:paraId="3D787FC8">
            <w:pPr>
              <w:spacing w:after="62"/>
              <w:ind w:firstLine="0" w:firstLineChars="0"/>
              <w:jc w:val="center"/>
              <w:rPr>
                <w:sz w:val="13"/>
                <w:szCs w:val="13"/>
              </w:rPr>
            </w:pPr>
            <w:r>
              <w:rPr>
                <w:rFonts w:ascii="宋体" w:hAnsi="宋体"/>
                <w:sz w:val="13"/>
                <w:szCs w:val="13"/>
              </w:rPr>
              <w:t>17.469</w:t>
            </w:r>
          </w:p>
        </w:tc>
      </w:tr>
    </w:tbl>
    <w:p w14:paraId="6999CB74">
      <w:pPr>
        <w:pStyle w:val="9"/>
        <w:bidi w:val="0"/>
        <w:rPr>
          <w:rFonts w:hint="eastAsia"/>
        </w:rPr>
      </w:pPr>
      <w:r>
        <w:t>注：BAcc 表示平衡准确率；P@K 表示 Precision@K；R@K 表示 Recall@K；Lift@K 衡量 Top-K 样本中正样本比例相对于总体正样本比例的提升倍数。</w:t>
      </w:r>
      <w:r>
        <w:rPr>
          <w:rFonts w:hint="eastAsia"/>
        </w:rPr>
        <w:t>为保证不同重排序机制之间的可比性，本表采用固定调参配置，未使用表4-3最终主模型的完整最优参数，因此指标数值与表4-3主结果存在口径差异</w:t>
      </w:r>
    </w:p>
    <w:p w14:paraId="2D750625">
      <w:pPr>
        <w:bidi w:val="0"/>
        <w:rPr>
          <w:rFonts w:hint="eastAsia"/>
          <w:lang w:val="en-US" w:eastAsia="zh-CN"/>
        </w:rPr>
      </w:pPr>
      <w:r>
        <w:t>基于验证集对保护阈值</w:t>
      </w:r>
      <m:oMath>
        <m:r>
          <m:rPr/>
          <w:rPr>
            <w:rFonts w:hint="default" w:ascii="Cambria Math"/>
          </w:rPr>
          <m:t>Kp</m:t>
        </m:r>
      </m:oMath>
      <w:r>
        <w:t>与候选池规模</w:t>
      </w:r>
      <m:oMath>
        <m:r>
          <m:rPr/>
          <w:rPr>
            <w:rFonts w:hint="default" w:ascii="Cambria Math"/>
          </w:rPr>
          <m:t>Kc</m:t>
        </m:r>
      </m:oMath>
      <w:r>
        <w:t>的网格搜索结果，本文最终设定</w:t>
      </w:r>
      <m:oMath>
        <m:r>
          <m:rPr/>
          <w:rPr>
            <w:rFonts w:hint="default" w:ascii="Cambria Math"/>
          </w:rPr>
          <m:t>Kp</m:t>
        </m:r>
      </m:oMath>
      <w:r>
        <w:t>=100、</w:t>
      </w:r>
      <m:oMath>
        <m:r>
          <m:rPr/>
          <w:rPr>
            <w:rFonts w:hint="default" w:ascii="Cambria Math"/>
          </w:rPr>
          <m:t>Kc</m:t>
        </m:r>
      </m:oMath>
      <w:r>
        <w:t>=1500，使二阶段重排序主要集中于中高风险边界区域。排序重叠结果（表4-7）显示，CBRM与单阶段CatBoost在Top-100与Top-200区间的重叠率均为1.000，说明头部高风险名单保持不变。在Top-500区间内，两者重叠率为0.984，即500个样本中有492个保持一致，仅8个样本发生集合替换。进一步分析进出样本结构发现，进入Top-500的8个样本中有5个为真实正样本，移出的8个样本中同样有5个为真实正样本，因此重排序并未改变Top-500内的正样本总量，CBRM的Top-500正样本数仍为486。Top-1000区间的重叠率为1.000，说明CBRM未将Top-1000以外样本纳入前1000风险名单。上述结果表明，CBRM并未对一阶段排序结果进行大范围重写，而是在保持头部名单稳定的基础上，对边界附近样本进行有限调整，符合头部保护、边界细分的设计思路。</w:t>
      </w:r>
    </w:p>
    <w:p w14:paraId="2376D6EF">
      <w:pPr>
        <w:pStyle w:val="7"/>
        <w:bidi w:val="0"/>
        <w:rPr>
          <w:rFonts w:hint="eastAsia"/>
          <w:lang w:val="en-US" w:eastAsia="zh-CN"/>
        </w:rPr>
      </w:pPr>
      <w:r>
        <w:rPr>
          <w:rFonts w:hint="eastAsia"/>
          <w:lang w:val="en-US" w:eastAsia="zh-CN"/>
        </w:rPr>
        <w:t>表4-7 CatBoost与CBRM的Top-K排序重叠情况</w:t>
      </w:r>
    </w:p>
    <w:tbl>
      <w:tblPr>
        <w:tblStyle w:val="27"/>
        <w:tblW w:w="0" w:type="auto"/>
        <w:jc w:val="center"/>
        <w:tblLayout w:type="autofit"/>
        <w:tblCellMar>
          <w:top w:w="0" w:type="dxa"/>
          <w:left w:w="108" w:type="dxa"/>
          <w:bottom w:w="0" w:type="dxa"/>
          <w:right w:w="108" w:type="dxa"/>
        </w:tblCellMar>
      </w:tblPr>
      <w:tblGrid>
        <w:gridCol w:w="1073"/>
        <w:gridCol w:w="1065"/>
        <w:gridCol w:w="1067"/>
        <w:gridCol w:w="1062"/>
        <w:gridCol w:w="1062"/>
        <w:gridCol w:w="1062"/>
        <w:gridCol w:w="1062"/>
        <w:gridCol w:w="1069"/>
      </w:tblGrid>
      <w:tr w14:paraId="6D03234F">
        <w:tblPrEx>
          <w:tblCellMar>
            <w:top w:w="0" w:type="dxa"/>
            <w:left w:w="108" w:type="dxa"/>
            <w:bottom w:w="0" w:type="dxa"/>
            <w:right w:w="108" w:type="dxa"/>
          </w:tblCellMar>
        </w:tblPrEx>
        <w:trPr>
          <w:jc w:val="center"/>
        </w:trPr>
        <w:tc>
          <w:tcPr>
            <w:tcW w:w="1080" w:type="dxa"/>
            <w:tcBorders>
              <w:top w:val="single" w:color="000000" w:sz="12" w:space="0"/>
              <w:bottom w:val="single" w:color="000000" w:sz="8" w:space="0"/>
            </w:tcBorders>
            <w:vAlign w:val="center"/>
          </w:tcPr>
          <w:p w14:paraId="1DFB4D0C">
            <w:pPr>
              <w:spacing w:after="62"/>
              <w:ind w:firstLine="0" w:firstLineChars="0"/>
              <w:jc w:val="center"/>
              <w:rPr>
                <w:sz w:val="15"/>
                <w:szCs w:val="15"/>
              </w:rPr>
            </w:pPr>
            <w:r>
              <w:rPr>
                <w:rFonts w:ascii="宋体" w:hAnsi="宋体"/>
                <w:b/>
                <w:sz w:val="15"/>
                <w:szCs w:val="15"/>
              </w:rPr>
              <w:t>区间</w:t>
            </w:r>
          </w:p>
        </w:tc>
        <w:tc>
          <w:tcPr>
            <w:tcW w:w="1080" w:type="dxa"/>
            <w:tcBorders>
              <w:top w:val="single" w:color="000000" w:sz="12" w:space="0"/>
              <w:bottom w:val="single" w:color="000000" w:sz="8" w:space="0"/>
            </w:tcBorders>
            <w:vAlign w:val="center"/>
          </w:tcPr>
          <w:p w14:paraId="52A9FA14">
            <w:pPr>
              <w:spacing w:after="62"/>
              <w:ind w:firstLine="0" w:firstLineChars="0"/>
              <w:jc w:val="center"/>
              <w:rPr>
                <w:sz w:val="15"/>
                <w:szCs w:val="15"/>
              </w:rPr>
            </w:pPr>
            <w:r>
              <w:rPr>
                <w:rFonts w:ascii="宋体" w:hAnsi="宋体"/>
                <w:b/>
                <w:sz w:val="15"/>
                <w:szCs w:val="15"/>
              </w:rPr>
              <w:t>重叠数</w:t>
            </w:r>
          </w:p>
        </w:tc>
        <w:tc>
          <w:tcPr>
            <w:tcW w:w="1080" w:type="dxa"/>
            <w:tcBorders>
              <w:top w:val="single" w:color="000000" w:sz="12" w:space="0"/>
              <w:bottom w:val="single" w:color="000000" w:sz="8" w:space="0"/>
            </w:tcBorders>
            <w:vAlign w:val="center"/>
          </w:tcPr>
          <w:p w14:paraId="00DA6D60">
            <w:pPr>
              <w:spacing w:after="62"/>
              <w:ind w:firstLine="0" w:firstLineChars="0"/>
              <w:jc w:val="center"/>
              <w:rPr>
                <w:sz w:val="15"/>
                <w:szCs w:val="15"/>
              </w:rPr>
            </w:pPr>
            <w:r>
              <w:rPr>
                <w:rFonts w:ascii="宋体" w:hAnsi="宋体"/>
                <w:b/>
                <w:sz w:val="15"/>
                <w:szCs w:val="15"/>
              </w:rPr>
              <w:t>重叠率</w:t>
            </w:r>
          </w:p>
        </w:tc>
        <w:tc>
          <w:tcPr>
            <w:tcW w:w="1080" w:type="dxa"/>
            <w:tcBorders>
              <w:top w:val="single" w:color="000000" w:sz="12" w:space="0"/>
              <w:bottom w:val="single" w:color="000000" w:sz="8" w:space="0"/>
            </w:tcBorders>
            <w:vAlign w:val="center"/>
          </w:tcPr>
          <w:p w14:paraId="10DA1D27">
            <w:pPr>
              <w:spacing w:after="62"/>
              <w:ind w:firstLine="0" w:firstLineChars="0"/>
              <w:jc w:val="center"/>
              <w:rPr>
                <w:sz w:val="15"/>
                <w:szCs w:val="15"/>
              </w:rPr>
            </w:pPr>
            <w:r>
              <w:rPr>
                <w:rFonts w:ascii="宋体" w:hAnsi="宋体"/>
                <w:b/>
                <w:sz w:val="15"/>
                <w:szCs w:val="15"/>
              </w:rPr>
              <w:t>进入数</w:t>
            </w:r>
          </w:p>
        </w:tc>
        <w:tc>
          <w:tcPr>
            <w:tcW w:w="1080" w:type="dxa"/>
            <w:tcBorders>
              <w:top w:val="single" w:color="000000" w:sz="12" w:space="0"/>
              <w:bottom w:val="single" w:color="000000" w:sz="8" w:space="0"/>
            </w:tcBorders>
            <w:vAlign w:val="center"/>
          </w:tcPr>
          <w:p w14:paraId="07130912">
            <w:pPr>
              <w:spacing w:after="62"/>
              <w:ind w:firstLine="0" w:firstLineChars="0"/>
              <w:jc w:val="center"/>
              <w:rPr>
                <w:sz w:val="15"/>
                <w:szCs w:val="15"/>
              </w:rPr>
            </w:pPr>
            <w:r>
              <w:rPr>
                <w:rFonts w:ascii="宋体" w:hAnsi="宋体"/>
                <w:b/>
                <w:sz w:val="15"/>
                <w:szCs w:val="15"/>
              </w:rPr>
              <w:t>进入正样本</w:t>
            </w:r>
          </w:p>
        </w:tc>
        <w:tc>
          <w:tcPr>
            <w:tcW w:w="1080" w:type="dxa"/>
            <w:tcBorders>
              <w:top w:val="single" w:color="000000" w:sz="12" w:space="0"/>
              <w:bottom w:val="single" w:color="000000" w:sz="8" w:space="0"/>
            </w:tcBorders>
            <w:vAlign w:val="center"/>
          </w:tcPr>
          <w:p w14:paraId="6BEFE594">
            <w:pPr>
              <w:spacing w:after="62"/>
              <w:ind w:firstLine="0" w:firstLineChars="0"/>
              <w:jc w:val="center"/>
              <w:rPr>
                <w:sz w:val="15"/>
                <w:szCs w:val="15"/>
              </w:rPr>
            </w:pPr>
            <w:r>
              <w:rPr>
                <w:rFonts w:ascii="宋体" w:hAnsi="宋体"/>
                <w:b/>
                <w:sz w:val="15"/>
                <w:szCs w:val="15"/>
              </w:rPr>
              <w:t>移出数</w:t>
            </w:r>
          </w:p>
        </w:tc>
        <w:tc>
          <w:tcPr>
            <w:tcW w:w="1080" w:type="dxa"/>
            <w:tcBorders>
              <w:top w:val="single" w:color="000000" w:sz="12" w:space="0"/>
              <w:bottom w:val="single" w:color="000000" w:sz="8" w:space="0"/>
            </w:tcBorders>
            <w:vAlign w:val="center"/>
          </w:tcPr>
          <w:p w14:paraId="6B535C30">
            <w:pPr>
              <w:spacing w:after="62"/>
              <w:ind w:firstLine="0" w:firstLineChars="0"/>
              <w:jc w:val="center"/>
              <w:rPr>
                <w:sz w:val="15"/>
                <w:szCs w:val="15"/>
              </w:rPr>
            </w:pPr>
            <w:r>
              <w:rPr>
                <w:rFonts w:ascii="宋体" w:hAnsi="宋体"/>
                <w:b/>
                <w:sz w:val="15"/>
                <w:szCs w:val="15"/>
              </w:rPr>
              <w:t>移出正样本</w:t>
            </w:r>
          </w:p>
        </w:tc>
        <w:tc>
          <w:tcPr>
            <w:tcW w:w="1080" w:type="dxa"/>
            <w:tcBorders>
              <w:top w:val="single" w:color="000000" w:sz="12" w:space="0"/>
              <w:bottom w:val="single" w:color="000000" w:sz="8" w:space="0"/>
            </w:tcBorders>
            <w:vAlign w:val="center"/>
          </w:tcPr>
          <w:p w14:paraId="11213F71">
            <w:pPr>
              <w:spacing w:after="62"/>
              <w:ind w:firstLine="0" w:firstLineChars="0"/>
              <w:jc w:val="center"/>
              <w:rPr>
                <w:sz w:val="15"/>
                <w:szCs w:val="15"/>
              </w:rPr>
            </w:pPr>
            <w:r>
              <w:rPr>
                <w:rFonts w:hint="eastAsia" w:ascii="宋体" w:hAnsi="宋体"/>
                <w:b/>
                <w:sz w:val="15"/>
                <w:szCs w:val="15"/>
              </w:rPr>
              <w:t>CBRM Hits@K</w:t>
            </w:r>
          </w:p>
        </w:tc>
      </w:tr>
      <w:tr w14:paraId="6E763CE9">
        <w:tblPrEx>
          <w:tblCellMar>
            <w:top w:w="0" w:type="dxa"/>
            <w:left w:w="108" w:type="dxa"/>
            <w:bottom w:w="0" w:type="dxa"/>
            <w:right w:w="108" w:type="dxa"/>
          </w:tblCellMar>
        </w:tblPrEx>
        <w:trPr>
          <w:jc w:val="center"/>
        </w:trPr>
        <w:tc>
          <w:tcPr>
            <w:tcW w:w="1080" w:type="dxa"/>
            <w:vAlign w:val="center"/>
          </w:tcPr>
          <w:p w14:paraId="6065A875">
            <w:pPr>
              <w:spacing w:after="62"/>
              <w:ind w:firstLine="0" w:firstLineChars="0"/>
              <w:jc w:val="center"/>
              <w:rPr>
                <w:sz w:val="15"/>
                <w:szCs w:val="15"/>
              </w:rPr>
            </w:pPr>
            <w:r>
              <w:rPr>
                <w:rFonts w:ascii="宋体" w:hAnsi="宋体"/>
                <w:sz w:val="15"/>
                <w:szCs w:val="15"/>
              </w:rPr>
              <w:t>Top-100</w:t>
            </w:r>
          </w:p>
        </w:tc>
        <w:tc>
          <w:tcPr>
            <w:tcW w:w="1080" w:type="dxa"/>
            <w:vAlign w:val="center"/>
          </w:tcPr>
          <w:p w14:paraId="3165E6B6">
            <w:pPr>
              <w:spacing w:after="62"/>
              <w:ind w:firstLine="0" w:firstLineChars="0"/>
              <w:jc w:val="center"/>
              <w:rPr>
                <w:sz w:val="15"/>
                <w:szCs w:val="15"/>
              </w:rPr>
            </w:pPr>
            <w:r>
              <w:rPr>
                <w:rFonts w:ascii="宋体" w:hAnsi="宋体"/>
                <w:sz w:val="15"/>
                <w:szCs w:val="15"/>
              </w:rPr>
              <w:t>100</w:t>
            </w:r>
          </w:p>
        </w:tc>
        <w:tc>
          <w:tcPr>
            <w:tcW w:w="1080" w:type="dxa"/>
            <w:vAlign w:val="center"/>
          </w:tcPr>
          <w:p w14:paraId="05B70204">
            <w:pPr>
              <w:spacing w:after="62"/>
              <w:ind w:firstLine="0" w:firstLineChars="0"/>
              <w:jc w:val="center"/>
              <w:rPr>
                <w:sz w:val="15"/>
                <w:szCs w:val="15"/>
              </w:rPr>
            </w:pPr>
            <w:r>
              <w:rPr>
                <w:rFonts w:ascii="宋体" w:hAnsi="宋体"/>
                <w:sz w:val="15"/>
                <w:szCs w:val="15"/>
              </w:rPr>
              <w:t>1.000</w:t>
            </w:r>
          </w:p>
        </w:tc>
        <w:tc>
          <w:tcPr>
            <w:tcW w:w="1080" w:type="dxa"/>
            <w:vAlign w:val="center"/>
          </w:tcPr>
          <w:p w14:paraId="18740DED">
            <w:pPr>
              <w:spacing w:after="62"/>
              <w:ind w:firstLine="0" w:firstLineChars="0"/>
              <w:jc w:val="center"/>
              <w:rPr>
                <w:sz w:val="15"/>
                <w:szCs w:val="15"/>
              </w:rPr>
            </w:pPr>
            <w:r>
              <w:rPr>
                <w:rFonts w:ascii="宋体" w:hAnsi="宋体"/>
                <w:sz w:val="15"/>
                <w:szCs w:val="15"/>
              </w:rPr>
              <w:t>0</w:t>
            </w:r>
          </w:p>
        </w:tc>
        <w:tc>
          <w:tcPr>
            <w:tcW w:w="1080" w:type="dxa"/>
            <w:vAlign w:val="center"/>
          </w:tcPr>
          <w:p w14:paraId="2C290DBE">
            <w:pPr>
              <w:spacing w:after="62"/>
              <w:ind w:firstLine="0" w:firstLineChars="0"/>
              <w:jc w:val="center"/>
              <w:rPr>
                <w:sz w:val="15"/>
                <w:szCs w:val="15"/>
              </w:rPr>
            </w:pPr>
            <w:r>
              <w:rPr>
                <w:rFonts w:ascii="宋体" w:hAnsi="宋体"/>
                <w:sz w:val="15"/>
                <w:szCs w:val="15"/>
              </w:rPr>
              <w:t>0</w:t>
            </w:r>
          </w:p>
        </w:tc>
        <w:tc>
          <w:tcPr>
            <w:tcW w:w="1080" w:type="dxa"/>
            <w:vAlign w:val="center"/>
          </w:tcPr>
          <w:p w14:paraId="650B92F6">
            <w:pPr>
              <w:spacing w:after="62"/>
              <w:ind w:firstLine="0" w:firstLineChars="0"/>
              <w:jc w:val="center"/>
              <w:rPr>
                <w:sz w:val="15"/>
                <w:szCs w:val="15"/>
              </w:rPr>
            </w:pPr>
            <w:r>
              <w:rPr>
                <w:rFonts w:ascii="宋体" w:hAnsi="宋体"/>
                <w:sz w:val="15"/>
                <w:szCs w:val="15"/>
              </w:rPr>
              <w:t>0</w:t>
            </w:r>
          </w:p>
        </w:tc>
        <w:tc>
          <w:tcPr>
            <w:tcW w:w="1080" w:type="dxa"/>
            <w:vAlign w:val="center"/>
          </w:tcPr>
          <w:p w14:paraId="5E9A42E2">
            <w:pPr>
              <w:spacing w:after="62"/>
              <w:ind w:firstLine="0" w:firstLineChars="0"/>
              <w:jc w:val="center"/>
              <w:rPr>
                <w:sz w:val="15"/>
                <w:szCs w:val="15"/>
              </w:rPr>
            </w:pPr>
            <w:r>
              <w:rPr>
                <w:rFonts w:ascii="宋体" w:hAnsi="宋体"/>
                <w:sz w:val="15"/>
                <w:szCs w:val="15"/>
              </w:rPr>
              <w:t>0</w:t>
            </w:r>
          </w:p>
        </w:tc>
        <w:tc>
          <w:tcPr>
            <w:tcW w:w="1080" w:type="dxa"/>
            <w:vAlign w:val="center"/>
          </w:tcPr>
          <w:p w14:paraId="621EA94C">
            <w:pPr>
              <w:spacing w:after="62"/>
              <w:ind w:firstLine="0" w:firstLineChars="0"/>
              <w:jc w:val="center"/>
              <w:rPr>
                <w:sz w:val="15"/>
                <w:szCs w:val="15"/>
              </w:rPr>
            </w:pPr>
            <w:r>
              <w:rPr>
                <w:rFonts w:ascii="宋体" w:hAnsi="宋体"/>
                <w:sz w:val="15"/>
                <w:szCs w:val="15"/>
              </w:rPr>
              <w:t>100</w:t>
            </w:r>
          </w:p>
        </w:tc>
      </w:tr>
      <w:tr w14:paraId="486E84AD">
        <w:tblPrEx>
          <w:tblCellMar>
            <w:top w:w="0" w:type="dxa"/>
            <w:left w:w="108" w:type="dxa"/>
            <w:bottom w:w="0" w:type="dxa"/>
            <w:right w:w="108" w:type="dxa"/>
          </w:tblCellMar>
        </w:tblPrEx>
        <w:trPr>
          <w:jc w:val="center"/>
        </w:trPr>
        <w:tc>
          <w:tcPr>
            <w:tcW w:w="1080" w:type="dxa"/>
            <w:vAlign w:val="center"/>
          </w:tcPr>
          <w:p w14:paraId="6B3D72D4">
            <w:pPr>
              <w:spacing w:after="62"/>
              <w:ind w:firstLine="0" w:firstLineChars="0"/>
              <w:jc w:val="center"/>
              <w:rPr>
                <w:sz w:val="15"/>
                <w:szCs w:val="15"/>
              </w:rPr>
            </w:pPr>
            <w:r>
              <w:rPr>
                <w:rFonts w:ascii="宋体" w:hAnsi="宋体"/>
                <w:sz w:val="15"/>
                <w:szCs w:val="15"/>
              </w:rPr>
              <w:t>Top-200</w:t>
            </w:r>
          </w:p>
        </w:tc>
        <w:tc>
          <w:tcPr>
            <w:tcW w:w="1080" w:type="dxa"/>
            <w:vAlign w:val="center"/>
          </w:tcPr>
          <w:p w14:paraId="63235B09">
            <w:pPr>
              <w:spacing w:after="62"/>
              <w:ind w:firstLine="0" w:firstLineChars="0"/>
              <w:jc w:val="center"/>
              <w:rPr>
                <w:sz w:val="15"/>
                <w:szCs w:val="15"/>
              </w:rPr>
            </w:pPr>
            <w:r>
              <w:rPr>
                <w:rFonts w:ascii="宋体" w:hAnsi="宋体"/>
                <w:sz w:val="15"/>
                <w:szCs w:val="15"/>
              </w:rPr>
              <w:t>200</w:t>
            </w:r>
          </w:p>
        </w:tc>
        <w:tc>
          <w:tcPr>
            <w:tcW w:w="1080" w:type="dxa"/>
            <w:vAlign w:val="center"/>
          </w:tcPr>
          <w:p w14:paraId="13A08EEF">
            <w:pPr>
              <w:spacing w:after="62"/>
              <w:ind w:firstLine="0" w:firstLineChars="0"/>
              <w:jc w:val="center"/>
              <w:rPr>
                <w:sz w:val="15"/>
                <w:szCs w:val="15"/>
              </w:rPr>
            </w:pPr>
            <w:r>
              <w:rPr>
                <w:rFonts w:ascii="宋体" w:hAnsi="宋体"/>
                <w:sz w:val="15"/>
                <w:szCs w:val="15"/>
              </w:rPr>
              <w:t>1.000</w:t>
            </w:r>
          </w:p>
        </w:tc>
        <w:tc>
          <w:tcPr>
            <w:tcW w:w="1080" w:type="dxa"/>
            <w:vAlign w:val="center"/>
          </w:tcPr>
          <w:p w14:paraId="176710AB">
            <w:pPr>
              <w:spacing w:after="62"/>
              <w:ind w:firstLine="0" w:firstLineChars="0"/>
              <w:jc w:val="center"/>
              <w:rPr>
                <w:sz w:val="15"/>
                <w:szCs w:val="15"/>
              </w:rPr>
            </w:pPr>
            <w:r>
              <w:rPr>
                <w:rFonts w:ascii="宋体" w:hAnsi="宋体"/>
                <w:sz w:val="15"/>
                <w:szCs w:val="15"/>
              </w:rPr>
              <w:t>0</w:t>
            </w:r>
          </w:p>
        </w:tc>
        <w:tc>
          <w:tcPr>
            <w:tcW w:w="1080" w:type="dxa"/>
            <w:vAlign w:val="center"/>
          </w:tcPr>
          <w:p w14:paraId="3B290ABB">
            <w:pPr>
              <w:spacing w:after="62"/>
              <w:ind w:firstLine="0" w:firstLineChars="0"/>
              <w:jc w:val="center"/>
              <w:rPr>
                <w:sz w:val="15"/>
                <w:szCs w:val="15"/>
              </w:rPr>
            </w:pPr>
            <w:r>
              <w:rPr>
                <w:rFonts w:ascii="宋体" w:hAnsi="宋体"/>
                <w:sz w:val="15"/>
                <w:szCs w:val="15"/>
              </w:rPr>
              <w:t>0</w:t>
            </w:r>
          </w:p>
        </w:tc>
        <w:tc>
          <w:tcPr>
            <w:tcW w:w="1080" w:type="dxa"/>
            <w:vAlign w:val="center"/>
          </w:tcPr>
          <w:p w14:paraId="5F92FCD7">
            <w:pPr>
              <w:spacing w:after="62"/>
              <w:ind w:firstLine="0" w:firstLineChars="0"/>
              <w:jc w:val="center"/>
              <w:rPr>
                <w:sz w:val="15"/>
                <w:szCs w:val="15"/>
              </w:rPr>
            </w:pPr>
            <w:r>
              <w:rPr>
                <w:rFonts w:ascii="宋体" w:hAnsi="宋体"/>
                <w:sz w:val="15"/>
                <w:szCs w:val="15"/>
              </w:rPr>
              <w:t>0</w:t>
            </w:r>
          </w:p>
        </w:tc>
        <w:tc>
          <w:tcPr>
            <w:tcW w:w="1080" w:type="dxa"/>
            <w:vAlign w:val="center"/>
          </w:tcPr>
          <w:p w14:paraId="66868B68">
            <w:pPr>
              <w:spacing w:after="62"/>
              <w:ind w:firstLine="0" w:firstLineChars="0"/>
              <w:jc w:val="center"/>
              <w:rPr>
                <w:sz w:val="15"/>
                <w:szCs w:val="15"/>
              </w:rPr>
            </w:pPr>
            <w:r>
              <w:rPr>
                <w:rFonts w:ascii="宋体" w:hAnsi="宋体"/>
                <w:sz w:val="15"/>
                <w:szCs w:val="15"/>
              </w:rPr>
              <w:t>0</w:t>
            </w:r>
          </w:p>
        </w:tc>
        <w:tc>
          <w:tcPr>
            <w:tcW w:w="1080" w:type="dxa"/>
            <w:vAlign w:val="center"/>
          </w:tcPr>
          <w:p w14:paraId="5269BAD1">
            <w:pPr>
              <w:spacing w:after="62"/>
              <w:ind w:firstLine="0" w:firstLineChars="0"/>
              <w:jc w:val="center"/>
              <w:rPr>
                <w:sz w:val="15"/>
                <w:szCs w:val="15"/>
              </w:rPr>
            </w:pPr>
            <w:r>
              <w:rPr>
                <w:rFonts w:ascii="宋体" w:hAnsi="宋体"/>
                <w:sz w:val="15"/>
                <w:szCs w:val="15"/>
              </w:rPr>
              <w:t>200</w:t>
            </w:r>
          </w:p>
        </w:tc>
      </w:tr>
      <w:tr w14:paraId="332789D3">
        <w:tblPrEx>
          <w:tblCellMar>
            <w:top w:w="0" w:type="dxa"/>
            <w:left w:w="108" w:type="dxa"/>
            <w:bottom w:w="0" w:type="dxa"/>
            <w:right w:w="108" w:type="dxa"/>
          </w:tblCellMar>
        </w:tblPrEx>
        <w:trPr>
          <w:jc w:val="center"/>
        </w:trPr>
        <w:tc>
          <w:tcPr>
            <w:tcW w:w="1080" w:type="dxa"/>
            <w:vAlign w:val="center"/>
          </w:tcPr>
          <w:p w14:paraId="3F066BE3">
            <w:pPr>
              <w:spacing w:after="62"/>
              <w:ind w:firstLine="0" w:firstLineChars="0"/>
              <w:jc w:val="center"/>
              <w:rPr>
                <w:sz w:val="15"/>
                <w:szCs w:val="15"/>
              </w:rPr>
            </w:pPr>
            <w:r>
              <w:rPr>
                <w:rFonts w:ascii="宋体" w:hAnsi="宋体"/>
                <w:sz w:val="15"/>
                <w:szCs w:val="15"/>
              </w:rPr>
              <w:t>Top-300</w:t>
            </w:r>
          </w:p>
        </w:tc>
        <w:tc>
          <w:tcPr>
            <w:tcW w:w="1080" w:type="dxa"/>
            <w:vAlign w:val="center"/>
          </w:tcPr>
          <w:p w14:paraId="0D9AD435">
            <w:pPr>
              <w:spacing w:after="62"/>
              <w:ind w:firstLine="0" w:firstLineChars="0"/>
              <w:jc w:val="center"/>
              <w:rPr>
                <w:sz w:val="15"/>
                <w:szCs w:val="15"/>
              </w:rPr>
            </w:pPr>
            <w:r>
              <w:rPr>
                <w:rFonts w:ascii="宋体" w:hAnsi="宋体"/>
                <w:sz w:val="15"/>
                <w:szCs w:val="15"/>
              </w:rPr>
              <w:t>298</w:t>
            </w:r>
          </w:p>
        </w:tc>
        <w:tc>
          <w:tcPr>
            <w:tcW w:w="1080" w:type="dxa"/>
            <w:vAlign w:val="center"/>
          </w:tcPr>
          <w:p w14:paraId="0714A861">
            <w:pPr>
              <w:spacing w:after="62"/>
              <w:ind w:firstLine="0" w:firstLineChars="0"/>
              <w:jc w:val="center"/>
              <w:rPr>
                <w:sz w:val="15"/>
                <w:szCs w:val="15"/>
              </w:rPr>
            </w:pPr>
            <w:r>
              <w:rPr>
                <w:rFonts w:ascii="宋体" w:hAnsi="宋体"/>
                <w:sz w:val="15"/>
                <w:szCs w:val="15"/>
              </w:rPr>
              <w:t>0.993</w:t>
            </w:r>
          </w:p>
        </w:tc>
        <w:tc>
          <w:tcPr>
            <w:tcW w:w="1080" w:type="dxa"/>
            <w:vAlign w:val="center"/>
          </w:tcPr>
          <w:p w14:paraId="7FE25AE1">
            <w:pPr>
              <w:spacing w:after="62"/>
              <w:ind w:firstLine="0" w:firstLineChars="0"/>
              <w:jc w:val="center"/>
              <w:rPr>
                <w:sz w:val="15"/>
                <w:szCs w:val="15"/>
              </w:rPr>
            </w:pPr>
            <w:r>
              <w:rPr>
                <w:rFonts w:ascii="宋体" w:hAnsi="宋体"/>
                <w:sz w:val="15"/>
                <w:szCs w:val="15"/>
              </w:rPr>
              <w:t>2</w:t>
            </w:r>
          </w:p>
        </w:tc>
        <w:tc>
          <w:tcPr>
            <w:tcW w:w="1080" w:type="dxa"/>
            <w:vAlign w:val="center"/>
          </w:tcPr>
          <w:p w14:paraId="3AFB4EC1">
            <w:pPr>
              <w:spacing w:after="62"/>
              <w:ind w:firstLine="0" w:firstLineChars="0"/>
              <w:jc w:val="center"/>
              <w:rPr>
                <w:sz w:val="15"/>
                <w:szCs w:val="15"/>
              </w:rPr>
            </w:pPr>
            <w:r>
              <w:rPr>
                <w:rFonts w:ascii="宋体" w:hAnsi="宋体"/>
                <w:sz w:val="15"/>
                <w:szCs w:val="15"/>
              </w:rPr>
              <w:t>2</w:t>
            </w:r>
          </w:p>
        </w:tc>
        <w:tc>
          <w:tcPr>
            <w:tcW w:w="1080" w:type="dxa"/>
            <w:vAlign w:val="center"/>
          </w:tcPr>
          <w:p w14:paraId="4CCCAFBA">
            <w:pPr>
              <w:spacing w:after="62"/>
              <w:ind w:firstLine="0" w:firstLineChars="0"/>
              <w:jc w:val="center"/>
              <w:rPr>
                <w:sz w:val="15"/>
                <w:szCs w:val="15"/>
              </w:rPr>
            </w:pPr>
            <w:r>
              <w:rPr>
                <w:rFonts w:ascii="宋体" w:hAnsi="宋体"/>
                <w:sz w:val="15"/>
                <w:szCs w:val="15"/>
              </w:rPr>
              <w:t>2</w:t>
            </w:r>
          </w:p>
        </w:tc>
        <w:tc>
          <w:tcPr>
            <w:tcW w:w="1080" w:type="dxa"/>
            <w:vAlign w:val="center"/>
          </w:tcPr>
          <w:p w14:paraId="0D7CF7F4">
            <w:pPr>
              <w:spacing w:after="62"/>
              <w:ind w:firstLine="0" w:firstLineChars="0"/>
              <w:jc w:val="center"/>
              <w:rPr>
                <w:sz w:val="15"/>
                <w:szCs w:val="15"/>
              </w:rPr>
            </w:pPr>
            <w:r>
              <w:rPr>
                <w:rFonts w:ascii="宋体" w:hAnsi="宋体"/>
                <w:sz w:val="15"/>
                <w:szCs w:val="15"/>
              </w:rPr>
              <w:t>2</w:t>
            </w:r>
          </w:p>
        </w:tc>
        <w:tc>
          <w:tcPr>
            <w:tcW w:w="1080" w:type="dxa"/>
            <w:vAlign w:val="center"/>
          </w:tcPr>
          <w:p w14:paraId="6AE131DD">
            <w:pPr>
              <w:spacing w:after="62"/>
              <w:ind w:firstLine="0" w:firstLineChars="0"/>
              <w:jc w:val="center"/>
              <w:rPr>
                <w:sz w:val="15"/>
                <w:szCs w:val="15"/>
              </w:rPr>
            </w:pPr>
            <w:r>
              <w:rPr>
                <w:rFonts w:ascii="宋体" w:hAnsi="宋体"/>
                <w:sz w:val="15"/>
                <w:szCs w:val="15"/>
              </w:rPr>
              <w:t>296</w:t>
            </w:r>
          </w:p>
        </w:tc>
      </w:tr>
      <w:tr w14:paraId="0BE00F7F">
        <w:tblPrEx>
          <w:tblCellMar>
            <w:top w:w="0" w:type="dxa"/>
            <w:left w:w="108" w:type="dxa"/>
            <w:bottom w:w="0" w:type="dxa"/>
            <w:right w:w="108" w:type="dxa"/>
          </w:tblCellMar>
        </w:tblPrEx>
        <w:trPr>
          <w:trHeight w:val="90" w:hRule="atLeast"/>
          <w:jc w:val="center"/>
        </w:trPr>
        <w:tc>
          <w:tcPr>
            <w:tcW w:w="1080" w:type="dxa"/>
            <w:vAlign w:val="center"/>
          </w:tcPr>
          <w:p w14:paraId="11DBCC7E">
            <w:pPr>
              <w:spacing w:after="62"/>
              <w:ind w:firstLine="0" w:firstLineChars="0"/>
              <w:jc w:val="center"/>
              <w:rPr>
                <w:sz w:val="15"/>
                <w:szCs w:val="15"/>
              </w:rPr>
            </w:pPr>
            <w:r>
              <w:rPr>
                <w:rFonts w:ascii="宋体" w:hAnsi="宋体"/>
                <w:sz w:val="15"/>
                <w:szCs w:val="15"/>
              </w:rPr>
              <w:t>Top-500</w:t>
            </w:r>
          </w:p>
        </w:tc>
        <w:tc>
          <w:tcPr>
            <w:tcW w:w="1080" w:type="dxa"/>
            <w:vAlign w:val="center"/>
          </w:tcPr>
          <w:p w14:paraId="7B3C4030">
            <w:pPr>
              <w:spacing w:after="62"/>
              <w:ind w:firstLine="0" w:firstLineChars="0"/>
              <w:jc w:val="center"/>
              <w:rPr>
                <w:sz w:val="15"/>
                <w:szCs w:val="15"/>
              </w:rPr>
            </w:pPr>
            <w:r>
              <w:rPr>
                <w:rFonts w:ascii="宋体" w:hAnsi="宋体"/>
                <w:sz w:val="15"/>
                <w:szCs w:val="15"/>
              </w:rPr>
              <w:t>492</w:t>
            </w:r>
          </w:p>
        </w:tc>
        <w:tc>
          <w:tcPr>
            <w:tcW w:w="1080" w:type="dxa"/>
            <w:vAlign w:val="center"/>
          </w:tcPr>
          <w:p w14:paraId="634DF732">
            <w:pPr>
              <w:spacing w:after="62"/>
              <w:ind w:firstLine="0" w:firstLineChars="0"/>
              <w:jc w:val="center"/>
              <w:rPr>
                <w:sz w:val="15"/>
                <w:szCs w:val="15"/>
              </w:rPr>
            </w:pPr>
            <w:r>
              <w:rPr>
                <w:rFonts w:ascii="宋体" w:hAnsi="宋体"/>
                <w:sz w:val="15"/>
                <w:szCs w:val="15"/>
              </w:rPr>
              <w:t>0.984</w:t>
            </w:r>
          </w:p>
        </w:tc>
        <w:tc>
          <w:tcPr>
            <w:tcW w:w="1080" w:type="dxa"/>
            <w:vAlign w:val="center"/>
          </w:tcPr>
          <w:p w14:paraId="0D62BD9D">
            <w:pPr>
              <w:spacing w:after="62"/>
              <w:ind w:firstLine="0" w:firstLineChars="0"/>
              <w:jc w:val="center"/>
              <w:rPr>
                <w:sz w:val="15"/>
                <w:szCs w:val="15"/>
              </w:rPr>
            </w:pPr>
            <w:r>
              <w:rPr>
                <w:rFonts w:ascii="宋体" w:hAnsi="宋体"/>
                <w:sz w:val="15"/>
                <w:szCs w:val="15"/>
              </w:rPr>
              <w:t>8</w:t>
            </w:r>
          </w:p>
        </w:tc>
        <w:tc>
          <w:tcPr>
            <w:tcW w:w="1080" w:type="dxa"/>
            <w:vAlign w:val="center"/>
          </w:tcPr>
          <w:p w14:paraId="2CD1E5EC">
            <w:pPr>
              <w:spacing w:after="62"/>
              <w:ind w:firstLine="0" w:firstLineChars="0"/>
              <w:jc w:val="center"/>
              <w:rPr>
                <w:sz w:val="15"/>
                <w:szCs w:val="15"/>
              </w:rPr>
            </w:pPr>
            <w:r>
              <w:rPr>
                <w:rFonts w:ascii="宋体" w:hAnsi="宋体"/>
                <w:sz w:val="15"/>
                <w:szCs w:val="15"/>
              </w:rPr>
              <w:t>5</w:t>
            </w:r>
          </w:p>
        </w:tc>
        <w:tc>
          <w:tcPr>
            <w:tcW w:w="1080" w:type="dxa"/>
            <w:vAlign w:val="center"/>
          </w:tcPr>
          <w:p w14:paraId="0ECB065B">
            <w:pPr>
              <w:spacing w:after="62"/>
              <w:ind w:firstLine="0" w:firstLineChars="0"/>
              <w:jc w:val="center"/>
              <w:rPr>
                <w:sz w:val="15"/>
                <w:szCs w:val="15"/>
              </w:rPr>
            </w:pPr>
            <w:r>
              <w:rPr>
                <w:rFonts w:ascii="宋体" w:hAnsi="宋体"/>
                <w:sz w:val="15"/>
                <w:szCs w:val="15"/>
              </w:rPr>
              <w:t>8</w:t>
            </w:r>
          </w:p>
        </w:tc>
        <w:tc>
          <w:tcPr>
            <w:tcW w:w="1080" w:type="dxa"/>
            <w:vAlign w:val="center"/>
          </w:tcPr>
          <w:p w14:paraId="204DF127">
            <w:pPr>
              <w:spacing w:after="62"/>
              <w:ind w:firstLine="0" w:firstLineChars="0"/>
              <w:jc w:val="center"/>
              <w:rPr>
                <w:sz w:val="15"/>
                <w:szCs w:val="15"/>
              </w:rPr>
            </w:pPr>
            <w:r>
              <w:rPr>
                <w:rFonts w:ascii="宋体" w:hAnsi="宋体"/>
                <w:sz w:val="15"/>
                <w:szCs w:val="15"/>
              </w:rPr>
              <w:t>5</w:t>
            </w:r>
          </w:p>
        </w:tc>
        <w:tc>
          <w:tcPr>
            <w:tcW w:w="1080" w:type="dxa"/>
            <w:vAlign w:val="center"/>
          </w:tcPr>
          <w:p w14:paraId="2CB240B5">
            <w:pPr>
              <w:spacing w:after="62"/>
              <w:ind w:firstLine="0" w:firstLineChars="0"/>
              <w:jc w:val="center"/>
              <w:rPr>
                <w:sz w:val="15"/>
                <w:szCs w:val="15"/>
              </w:rPr>
            </w:pPr>
            <w:r>
              <w:rPr>
                <w:rFonts w:ascii="宋体" w:hAnsi="宋体"/>
                <w:sz w:val="15"/>
                <w:szCs w:val="15"/>
              </w:rPr>
              <w:t>486</w:t>
            </w:r>
          </w:p>
        </w:tc>
      </w:tr>
      <w:tr w14:paraId="00F1B881">
        <w:tblPrEx>
          <w:tblCellMar>
            <w:top w:w="0" w:type="dxa"/>
            <w:left w:w="108" w:type="dxa"/>
            <w:bottom w:w="0" w:type="dxa"/>
            <w:right w:w="108" w:type="dxa"/>
          </w:tblCellMar>
        </w:tblPrEx>
        <w:trPr>
          <w:trHeight w:val="90" w:hRule="atLeast"/>
          <w:jc w:val="center"/>
        </w:trPr>
        <w:tc>
          <w:tcPr>
            <w:tcW w:w="1080" w:type="dxa"/>
            <w:tcBorders>
              <w:bottom w:val="single" w:color="000000" w:sz="12" w:space="0"/>
            </w:tcBorders>
            <w:vAlign w:val="center"/>
          </w:tcPr>
          <w:p w14:paraId="2A0B4368">
            <w:pPr>
              <w:spacing w:after="62"/>
              <w:ind w:firstLine="0" w:firstLineChars="0"/>
              <w:jc w:val="center"/>
              <w:rPr>
                <w:sz w:val="15"/>
                <w:szCs w:val="15"/>
              </w:rPr>
            </w:pPr>
            <w:r>
              <w:rPr>
                <w:rFonts w:ascii="宋体" w:hAnsi="宋体"/>
                <w:sz w:val="15"/>
                <w:szCs w:val="15"/>
              </w:rPr>
              <w:t>Top-1000</w:t>
            </w:r>
          </w:p>
        </w:tc>
        <w:tc>
          <w:tcPr>
            <w:tcW w:w="1080" w:type="dxa"/>
            <w:tcBorders>
              <w:bottom w:val="single" w:color="000000" w:sz="12" w:space="0"/>
            </w:tcBorders>
            <w:vAlign w:val="center"/>
          </w:tcPr>
          <w:p w14:paraId="700EB4E4">
            <w:pPr>
              <w:spacing w:after="62"/>
              <w:ind w:firstLine="0" w:firstLineChars="0"/>
              <w:jc w:val="center"/>
              <w:rPr>
                <w:sz w:val="15"/>
                <w:szCs w:val="15"/>
              </w:rPr>
            </w:pPr>
            <w:r>
              <w:rPr>
                <w:rFonts w:ascii="宋体" w:hAnsi="宋体"/>
                <w:sz w:val="15"/>
                <w:szCs w:val="15"/>
              </w:rPr>
              <w:t>1000</w:t>
            </w:r>
          </w:p>
        </w:tc>
        <w:tc>
          <w:tcPr>
            <w:tcW w:w="1080" w:type="dxa"/>
            <w:tcBorders>
              <w:bottom w:val="single" w:color="000000" w:sz="12" w:space="0"/>
            </w:tcBorders>
            <w:vAlign w:val="center"/>
          </w:tcPr>
          <w:p w14:paraId="31854782">
            <w:pPr>
              <w:spacing w:after="62"/>
              <w:ind w:firstLine="0" w:firstLineChars="0"/>
              <w:jc w:val="center"/>
              <w:rPr>
                <w:sz w:val="15"/>
                <w:szCs w:val="15"/>
              </w:rPr>
            </w:pPr>
            <w:r>
              <w:rPr>
                <w:rFonts w:ascii="宋体" w:hAnsi="宋体"/>
                <w:sz w:val="15"/>
                <w:szCs w:val="15"/>
              </w:rPr>
              <w:t>1.000</w:t>
            </w:r>
          </w:p>
        </w:tc>
        <w:tc>
          <w:tcPr>
            <w:tcW w:w="1080" w:type="dxa"/>
            <w:tcBorders>
              <w:bottom w:val="single" w:color="000000" w:sz="12" w:space="0"/>
            </w:tcBorders>
            <w:vAlign w:val="center"/>
          </w:tcPr>
          <w:p w14:paraId="364CC7B1">
            <w:pPr>
              <w:spacing w:after="62"/>
              <w:ind w:firstLine="0" w:firstLineChars="0"/>
              <w:jc w:val="center"/>
              <w:rPr>
                <w:sz w:val="15"/>
                <w:szCs w:val="15"/>
              </w:rPr>
            </w:pPr>
            <w:r>
              <w:rPr>
                <w:rFonts w:ascii="宋体" w:hAnsi="宋体"/>
                <w:sz w:val="15"/>
                <w:szCs w:val="15"/>
              </w:rPr>
              <w:t>0</w:t>
            </w:r>
          </w:p>
        </w:tc>
        <w:tc>
          <w:tcPr>
            <w:tcW w:w="1080" w:type="dxa"/>
            <w:tcBorders>
              <w:bottom w:val="single" w:color="000000" w:sz="12" w:space="0"/>
            </w:tcBorders>
            <w:vAlign w:val="center"/>
          </w:tcPr>
          <w:p w14:paraId="4124FD11">
            <w:pPr>
              <w:spacing w:after="62"/>
              <w:ind w:firstLine="0" w:firstLineChars="0"/>
              <w:jc w:val="center"/>
              <w:rPr>
                <w:sz w:val="15"/>
                <w:szCs w:val="15"/>
              </w:rPr>
            </w:pPr>
            <w:r>
              <w:rPr>
                <w:rFonts w:ascii="宋体" w:hAnsi="宋体"/>
                <w:sz w:val="15"/>
                <w:szCs w:val="15"/>
              </w:rPr>
              <w:t>0</w:t>
            </w:r>
          </w:p>
        </w:tc>
        <w:tc>
          <w:tcPr>
            <w:tcW w:w="1080" w:type="dxa"/>
            <w:tcBorders>
              <w:bottom w:val="single" w:color="000000" w:sz="12" w:space="0"/>
            </w:tcBorders>
            <w:vAlign w:val="center"/>
          </w:tcPr>
          <w:p w14:paraId="7A7F3CE2">
            <w:pPr>
              <w:spacing w:after="62"/>
              <w:ind w:firstLine="0" w:firstLineChars="0"/>
              <w:jc w:val="center"/>
              <w:rPr>
                <w:sz w:val="15"/>
                <w:szCs w:val="15"/>
              </w:rPr>
            </w:pPr>
            <w:r>
              <w:rPr>
                <w:rFonts w:ascii="宋体" w:hAnsi="宋体"/>
                <w:sz w:val="15"/>
                <w:szCs w:val="15"/>
              </w:rPr>
              <w:t>0</w:t>
            </w:r>
          </w:p>
        </w:tc>
        <w:tc>
          <w:tcPr>
            <w:tcW w:w="1080" w:type="dxa"/>
            <w:tcBorders>
              <w:bottom w:val="single" w:color="000000" w:sz="12" w:space="0"/>
            </w:tcBorders>
            <w:vAlign w:val="center"/>
          </w:tcPr>
          <w:p w14:paraId="189DA438">
            <w:pPr>
              <w:spacing w:after="62"/>
              <w:ind w:firstLine="0" w:firstLineChars="0"/>
              <w:jc w:val="center"/>
              <w:rPr>
                <w:sz w:val="15"/>
                <w:szCs w:val="15"/>
              </w:rPr>
            </w:pPr>
            <w:r>
              <w:rPr>
                <w:rFonts w:ascii="宋体" w:hAnsi="宋体"/>
                <w:sz w:val="15"/>
                <w:szCs w:val="15"/>
              </w:rPr>
              <w:t>0</w:t>
            </w:r>
          </w:p>
        </w:tc>
        <w:tc>
          <w:tcPr>
            <w:tcW w:w="1080" w:type="dxa"/>
            <w:tcBorders>
              <w:bottom w:val="single" w:color="000000" w:sz="12" w:space="0"/>
            </w:tcBorders>
            <w:vAlign w:val="center"/>
          </w:tcPr>
          <w:p w14:paraId="730ED722">
            <w:pPr>
              <w:spacing w:after="62"/>
              <w:ind w:firstLine="0" w:firstLineChars="0"/>
              <w:jc w:val="center"/>
              <w:rPr>
                <w:sz w:val="15"/>
                <w:szCs w:val="15"/>
              </w:rPr>
            </w:pPr>
            <w:r>
              <w:rPr>
                <w:rFonts w:ascii="宋体" w:hAnsi="宋体"/>
                <w:sz w:val="15"/>
                <w:szCs w:val="15"/>
              </w:rPr>
              <w:t>623</w:t>
            </w:r>
          </w:p>
        </w:tc>
      </w:tr>
    </w:tbl>
    <w:p w14:paraId="189169F6">
      <w:pPr>
        <w:pStyle w:val="3"/>
        <w:bidi w:val="0"/>
        <w:rPr>
          <w:rFonts w:hint="eastAsia"/>
        </w:rPr>
      </w:pPr>
      <w:r>
        <w:rPr>
          <w:rFonts w:hint="eastAsia"/>
        </w:rPr>
        <w:t>4.4 特征重要性与经济解释</w:t>
      </w:r>
    </w:p>
    <w:p w14:paraId="6440BF44">
      <w:pPr>
        <w:rPr>
          <w:rFonts w:hint="eastAsia"/>
        </w:rPr>
      </w:pPr>
      <w:r>
        <w:rPr>
          <w:rFonts w:hint="eastAsia"/>
        </w:rPr>
        <w:t>本节基于一阶段 CatBoost 主排序器，解析模型识别风险企业的经济逻辑。表 4-</w:t>
      </w:r>
      <w:r>
        <w:rPr>
          <w:rFonts w:hint="eastAsia"/>
          <w:lang w:val="en-US" w:eastAsia="zh-CN"/>
        </w:rPr>
        <w:t>8</w:t>
      </w:r>
      <w:r>
        <w:rPr>
          <w:rFonts w:hint="eastAsia"/>
        </w:rPr>
        <w:t xml:space="preserve"> 显示，特征重要性分布与财务困境的经济机制高度吻合。</w:t>
      </w:r>
    </w:p>
    <w:p w14:paraId="7DC0A520">
      <w:pPr>
        <w:pStyle w:val="7"/>
        <w:bidi w:val="0"/>
        <w:rPr>
          <w:rFonts w:hint="eastAsia"/>
        </w:rPr>
      </w:pPr>
      <w:r>
        <w:rPr>
          <w:rFonts w:hint="eastAsia"/>
        </w:rPr>
        <w:t>表 4-</w:t>
      </w:r>
      <w:r>
        <w:rPr>
          <w:rFonts w:hint="eastAsia"/>
          <w:lang w:val="en-US" w:eastAsia="zh-CN"/>
        </w:rPr>
        <w:t>8</w:t>
      </w:r>
      <w:r>
        <w:rPr>
          <w:rFonts w:hint="eastAsia"/>
        </w:rPr>
        <w:t xml:space="preserve"> 特征组重要性与经济含义</w:t>
      </w:r>
    </w:p>
    <w:tbl>
      <w:tblPr>
        <w:tblStyle w:val="27"/>
        <w:tblW w:w="0" w:type="auto"/>
        <w:jc w:val="center"/>
        <w:tblLayout w:type="autofit"/>
        <w:tblCellMar>
          <w:top w:w="0" w:type="dxa"/>
          <w:left w:w="108" w:type="dxa"/>
          <w:bottom w:w="0" w:type="dxa"/>
          <w:right w:w="108" w:type="dxa"/>
        </w:tblCellMar>
      </w:tblPr>
      <w:tblGrid>
        <w:gridCol w:w="2127"/>
        <w:gridCol w:w="2133"/>
        <w:gridCol w:w="2132"/>
        <w:gridCol w:w="2130"/>
      </w:tblGrid>
      <w:tr w14:paraId="52D718C5">
        <w:tblPrEx>
          <w:tblCellMar>
            <w:top w:w="0" w:type="dxa"/>
            <w:left w:w="108" w:type="dxa"/>
            <w:bottom w:w="0" w:type="dxa"/>
            <w:right w:w="108" w:type="dxa"/>
          </w:tblCellMar>
        </w:tblPrEx>
        <w:trPr>
          <w:jc w:val="center"/>
        </w:trPr>
        <w:tc>
          <w:tcPr>
            <w:tcW w:w="2160" w:type="dxa"/>
            <w:tcBorders>
              <w:top w:val="single" w:color="000000" w:sz="12" w:space="0"/>
              <w:bottom w:val="single" w:color="000000" w:sz="8" w:space="0"/>
            </w:tcBorders>
            <w:vAlign w:val="center"/>
          </w:tcPr>
          <w:p w14:paraId="456A705F">
            <w:pPr>
              <w:spacing w:after="62"/>
              <w:ind w:firstLine="0" w:firstLineChars="0"/>
              <w:jc w:val="center"/>
              <w:rPr>
                <w:sz w:val="15"/>
                <w:szCs w:val="15"/>
              </w:rPr>
            </w:pPr>
            <w:r>
              <w:rPr>
                <w:rFonts w:ascii="宋体" w:hAnsi="宋体"/>
                <w:b/>
                <w:sz w:val="15"/>
                <w:szCs w:val="15"/>
              </w:rPr>
              <w:t>特征组</w:t>
            </w:r>
          </w:p>
        </w:tc>
        <w:tc>
          <w:tcPr>
            <w:tcW w:w="2160" w:type="dxa"/>
            <w:tcBorders>
              <w:top w:val="single" w:color="000000" w:sz="12" w:space="0"/>
              <w:bottom w:val="single" w:color="000000" w:sz="8" w:space="0"/>
            </w:tcBorders>
            <w:vAlign w:val="center"/>
          </w:tcPr>
          <w:p w14:paraId="04F0F17F">
            <w:pPr>
              <w:spacing w:after="62"/>
              <w:ind w:firstLine="0" w:firstLineChars="0"/>
              <w:jc w:val="center"/>
              <w:rPr>
                <w:sz w:val="15"/>
                <w:szCs w:val="15"/>
              </w:rPr>
            </w:pPr>
            <w:r>
              <w:rPr>
                <w:rFonts w:ascii="宋体" w:hAnsi="宋体"/>
                <w:b/>
                <w:sz w:val="15"/>
                <w:szCs w:val="15"/>
              </w:rPr>
              <w:t>重要性合计</w:t>
            </w:r>
          </w:p>
        </w:tc>
        <w:tc>
          <w:tcPr>
            <w:tcW w:w="2160" w:type="dxa"/>
            <w:tcBorders>
              <w:top w:val="single" w:color="000000" w:sz="12" w:space="0"/>
              <w:bottom w:val="single" w:color="000000" w:sz="8" w:space="0"/>
            </w:tcBorders>
            <w:vAlign w:val="center"/>
          </w:tcPr>
          <w:p w14:paraId="362AB5C0">
            <w:pPr>
              <w:spacing w:after="62"/>
              <w:ind w:firstLine="0" w:firstLineChars="0"/>
              <w:jc w:val="center"/>
              <w:rPr>
                <w:sz w:val="15"/>
                <w:szCs w:val="15"/>
              </w:rPr>
            </w:pPr>
            <w:r>
              <w:rPr>
                <w:rFonts w:ascii="宋体" w:hAnsi="宋体"/>
                <w:b/>
                <w:sz w:val="15"/>
                <w:szCs w:val="15"/>
              </w:rPr>
              <w:t>占比</w:t>
            </w:r>
          </w:p>
        </w:tc>
        <w:tc>
          <w:tcPr>
            <w:tcW w:w="2160" w:type="dxa"/>
            <w:tcBorders>
              <w:top w:val="single" w:color="000000" w:sz="12" w:space="0"/>
              <w:bottom w:val="single" w:color="000000" w:sz="8" w:space="0"/>
            </w:tcBorders>
            <w:vAlign w:val="center"/>
          </w:tcPr>
          <w:p w14:paraId="2A1FF68E">
            <w:pPr>
              <w:spacing w:after="62"/>
              <w:ind w:firstLine="0" w:firstLineChars="0"/>
              <w:jc w:val="center"/>
              <w:rPr>
                <w:sz w:val="15"/>
                <w:szCs w:val="15"/>
              </w:rPr>
            </w:pPr>
            <w:r>
              <w:rPr>
                <w:rFonts w:ascii="宋体" w:hAnsi="宋体"/>
                <w:b/>
                <w:sz w:val="15"/>
                <w:szCs w:val="15"/>
              </w:rPr>
              <w:t>经济含义</w:t>
            </w:r>
          </w:p>
        </w:tc>
      </w:tr>
      <w:tr w14:paraId="08931369">
        <w:tblPrEx>
          <w:tblCellMar>
            <w:top w:w="0" w:type="dxa"/>
            <w:left w:w="108" w:type="dxa"/>
            <w:bottom w:w="0" w:type="dxa"/>
            <w:right w:w="108" w:type="dxa"/>
          </w:tblCellMar>
        </w:tblPrEx>
        <w:trPr>
          <w:jc w:val="center"/>
        </w:trPr>
        <w:tc>
          <w:tcPr>
            <w:tcW w:w="2160" w:type="dxa"/>
            <w:vAlign w:val="center"/>
          </w:tcPr>
          <w:p w14:paraId="3B0FE40D">
            <w:pPr>
              <w:spacing w:after="62"/>
              <w:ind w:firstLine="0" w:firstLineChars="0"/>
              <w:jc w:val="center"/>
              <w:rPr>
                <w:sz w:val="15"/>
                <w:szCs w:val="15"/>
              </w:rPr>
            </w:pPr>
            <w:r>
              <w:rPr>
                <w:rFonts w:ascii="宋体" w:hAnsi="宋体"/>
                <w:sz w:val="15"/>
                <w:szCs w:val="15"/>
              </w:rPr>
              <w:t>其他核心结构化特征</w:t>
            </w:r>
          </w:p>
        </w:tc>
        <w:tc>
          <w:tcPr>
            <w:tcW w:w="2160" w:type="dxa"/>
            <w:vAlign w:val="center"/>
          </w:tcPr>
          <w:p w14:paraId="0195BD7C">
            <w:pPr>
              <w:spacing w:after="62"/>
              <w:ind w:firstLine="0" w:firstLineChars="0"/>
              <w:jc w:val="center"/>
              <w:rPr>
                <w:sz w:val="15"/>
                <w:szCs w:val="15"/>
              </w:rPr>
            </w:pPr>
            <w:r>
              <w:rPr>
                <w:rFonts w:ascii="宋体" w:hAnsi="宋体"/>
                <w:sz w:val="15"/>
                <w:szCs w:val="15"/>
              </w:rPr>
              <w:t>39.675</w:t>
            </w:r>
          </w:p>
        </w:tc>
        <w:tc>
          <w:tcPr>
            <w:tcW w:w="2160" w:type="dxa"/>
            <w:vAlign w:val="center"/>
          </w:tcPr>
          <w:p w14:paraId="3A4B4431">
            <w:pPr>
              <w:spacing w:after="62"/>
              <w:ind w:firstLine="0" w:firstLineChars="0"/>
              <w:jc w:val="center"/>
              <w:rPr>
                <w:sz w:val="15"/>
                <w:szCs w:val="15"/>
              </w:rPr>
            </w:pPr>
            <w:r>
              <w:rPr>
                <w:rFonts w:ascii="宋体" w:hAnsi="宋体"/>
                <w:sz w:val="15"/>
                <w:szCs w:val="15"/>
              </w:rPr>
              <w:t>0.397</w:t>
            </w:r>
          </w:p>
        </w:tc>
        <w:tc>
          <w:tcPr>
            <w:tcW w:w="2160" w:type="dxa"/>
            <w:vAlign w:val="center"/>
          </w:tcPr>
          <w:p w14:paraId="5393DBC2">
            <w:pPr>
              <w:spacing w:after="62"/>
              <w:ind w:firstLine="0" w:firstLineChars="0"/>
              <w:jc w:val="center"/>
              <w:rPr>
                <w:sz w:val="15"/>
                <w:szCs w:val="15"/>
              </w:rPr>
            </w:pPr>
            <w:r>
              <w:rPr>
                <w:rFonts w:ascii="宋体" w:hAnsi="宋体"/>
                <w:sz w:val="15"/>
                <w:szCs w:val="15"/>
              </w:rPr>
              <w:t>包含未归入上述类别的基础财务和结构化数值变量。</w:t>
            </w:r>
          </w:p>
        </w:tc>
      </w:tr>
      <w:tr w14:paraId="7F2F765A">
        <w:tblPrEx>
          <w:tblCellMar>
            <w:top w:w="0" w:type="dxa"/>
            <w:left w:w="108" w:type="dxa"/>
            <w:bottom w:w="0" w:type="dxa"/>
            <w:right w:w="108" w:type="dxa"/>
          </w:tblCellMar>
        </w:tblPrEx>
        <w:trPr>
          <w:jc w:val="center"/>
        </w:trPr>
        <w:tc>
          <w:tcPr>
            <w:tcW w:w="2160" w:type="dxa"/>
            <w:vAlign w:val="center"/>
          </w:tcPr>
          <w:p w14:paraId="27684CCF">
            <w:pPr>
              <w:spacing w:after="62"/>
              <w:ind w:firstLine="0" w:firstLineChars="0"/>
              <w:jc w:val="center"/>
              <w:rPr>
                <w:sz w:val="15"/>
                <w:szCs w:val="15"/>
              </w:rPr>
            </w:pPr>
            <w:r>
              <w:rPr>
                <w:rFonts w:ascii="宋体" w:hAnsi="宋体"/>
                <w:sz w:val="15"/>
                <w:szCs w:val="15"/>
              </w:rPr>
              <w:t>历史状态特征</w:t>
            </w:r>
          </w:p>
        </w:tc>
        <w:tc>
          <w:tcPr>
            <w:tcW w:w="2160" w:type="dxa"/>
            <w:vAlign w:val="center"/>
          </w:tcPr>
          <w:p w14:paraId="293DD7A6">
            <w:pPr>
              <w:spacing w:after="62"/>
              <w:ind w:firstLine="0" w:firstLineChars="0"/>
              <w:jc w:val="center"/>
              <w:rPr>
                <w:sz w:val="15"/>
                <w:szCs w:val="15"/>
              </w:rPr>
            </w:pPr>
            <w:r>
              <w:rPr>
                <w:rFonts w:ascii="宋体" w:hAnsi="宋体"/>
                <w:sz w:val="15"/>
                <w:szCs w:val="15"/>
              </w:rPr>
              <w:t>27.676</w:t>
            </w:r>
          </w:p>
        </w:tc>
        <w:tc>
          <w:tcPr>
            <w:tcW w:w="2160" w:type="dxa"/>
            <w:vAlign w:val="center"/>
          </w:tcPr>
          <w:p w14:paraId="524E25CD">
            <w:pPr>
              <w:spacing w:after="62"/>
              <w:ind w:firstLine="0" w:firstLineChars="0"/>
              <w:jc w:val="center"/>
              <w:rPr>
                <w:sz w:val="15"/>
                <w:szCs w:val="15"/>
              </w:rPr>
            </w:pPr>
            <w:r>
              <w:rPr>
                <w:rFonts w:ascii="宋体" w:hAnsi="宋体"/>
                <w:sz w:val="15"/>
                <w:szCs w:val="15"/>
              </w:rPr>
              <w:t>0.277</w:t>
            </w:r>
          </w:p>
        </w:tc>
        <w:tc>
          <w:tcPr>
            <w:tcW w:w="2160" w:type="dxa"/>
            <w:vAlign w:val="center"/>
          </w:tcPr>
          <w:p w14:paraId="7E108AF4">
            <w:pPr>
              <w:spacing w:after="62"/>
              <w:ind w:firstLine="0" w:firstLineChars="0"/>
              <w:jc w:val="center"/>
              <w:rPr>
                <w:sz w:val="15"/>
                <w:szCs w:val="15"/>
              </w:rPr>
            </w:pPr>
            <w:r>
              <w:rPr>
                <w:rFonts w:ascii="宋体" w:hAnsi="宋体"/>
                <w:sz w:val="15"/>
                <w:szCs w:val="15"/>
              </w:rPr>
              <w:t>反映企业既有困境状态、历史风险持续性和状态路径依赖。</w:t>
            </w:r>
          </w:p>
        </w:tc>
      </w:tr>
      <w:tr w14:paraId="2514D1AC">
        <w:tblPrEx>
          <w:tblCellMar>
            <w:top w:w="0" w:type="dxa"/>
            <w:left w:w="108" w:type="dxa"/>
            <w:bottom w:w="0" w:type="dxa"/>
            <w:right w:w="108" w:type="dxa"/>
          </w:tblCellMar>
        </w:tblPrEx>
        <w:trPr>
          <w:jc w:val="center"/>
        </w:trPr>
        <w:tc>
          <w:tcPr>
            <w:tcW w:w="2160" w:type="dxa"/>
            <w:vAlign w:val="center"/>
          </w:tcPr>
          <w:p w14:paraId="62619907">
            <w:pPr>
              <w:spacing w:after="62"/>
              <w:ind w:firstLine="0" w:firstLineChars="0"/>
              <w:jc w:val="center"/>
              <w:rPr>
                <w:sz w:val="15"/>
                <w:szCs w:val="15"/>
              </w:rPr>
            </w:pPr>
            <w:r>
              <w:rPr>
                <w:rFonts w:ascii="宋体" w:hAnsi="宋体"/>
                <w:sz w:val="15"/>
                <w:szCs w:val="15"/>
              </w:rPr>
              <w:t>行业相对特征</w:t>
            </w:r>
          </w:p>
        </w:tc>
        <w:tc>
          <w:tcPr>
            <w:tcW w:w="2160" w:type="dxa"/>
            <w:vAlign w:val="center"/>
          </w:tcPr>
          <w:p w14:paraId="2CDCC435">
            <w:pPr>
              <w:spacing w:after="62"/>
              <w:ind w:firstLine="0" w:firstLineChars="0"/>
              <w:jc w:val="center"/>
              <w:rPr>
                <w:sz w:val="15"/>
                <w:szCs w:val="15"/>
              </w:rPr>
            </w:pPr>
            <w:r>
              <w:rPr>
                <w:rFonts w:ascii="宋体" w:hAnsi="宋体"/>
                <w:sz w:val="15"/>
                <w:szCs w:val="15"/>
              </w:rPr>
              <w:t>11.916</w:t>
            </w:r>
          </w:p>
        </w:tc>
        <w:tc>
          <w:tcPr>
            <w:tcW w:w="2160" w:type="dxa"/>
            <w:vAlign w:val="center"/>
          </w:tcPr>
          <w:p w14:paraId="3FBDCCA7">
            <w:pPr>
              <w:spacing w:after="62"/>
              <w:ind w:firstLine="0" w:firstLineChars="0"/>
              <w:jc w:val="center"/>
              <w:rPr>
                <w:sz w:val="15"/>
                <w:szCs w:val="15"/>
              </w:rPr>
            </w:pPr>
            <w:r>
              <w:rPr>
                <w:rFonts w:ascii="宋体" w:hAnsi="宋体"/>
                <w:sz w:val="15"/>
                <w:szCs w:val="15"/>
              </w:rPr>
              <w:t>0.119</w:t>
            </w:r>
          </w:p>
        </w:tc>
        <w:tc>
          <w:tcPr>
            <w:tcW w:w="2160" w:type="dxa"/>
            <w:vAlign w:val="center"/>
          </w:tcPr>
          <w:p w14:paraId="676CEE02">
            <w:pPr>
              <w:spacing w:after="62"/>
              <w:ind w:firstLine="0" w:firstLineChars="0"/>
              <w:jc w:val="center"/>
              <w:rPr>
                <w:sz w:val="15"/>
                <w:szCs w:val="15"/>
              </w:rPr>
            </w:pPr>
            <w:r>
              <w:rPr>
                <w:rFonts w:ascii="宋体" w:hAnsi="宋体"/>
                <w:sz w:val="15"/>
                <w:szCs w:val="15"/>
              </w:rPr>
              <w:t>刻画企业相对同行的盈利、偿债和成长能力弱化程度。</w:t>
            </w:r>
          </w:p>
        </w:tc>
      </w:tr>
      <w:tr w14:paraId="0F1D37B1">
        <w:tblPrEx>
          <w:tblCellMar>
            <w:top w:w="0" w:type="dxa"/>
            <w:left w:w="108" w:type="dxa"/>
            <w:bottom w:w="0" w:type="dxa"/>
            <w:right w:w="108" w:type="dxa"/>
          </w:tblCellMar>
        </w:tblPrEx>
        <w:trPr>
          <w:jc w:val="center"/>
        </w:trPr>
        <w:tc>
          <w:tcPr>
            <w:tcW w:w="2160" w:type="dxa"/>
            <w:vAlign w:val="center"/>
          </w:tcPr>
          <w:p w14:paraId="2011B489">
            <w:pPr>
              <w:spacing w:after="62"/>
              <w:ind w:firstLine="0" w:firstLineChars="0"/>
              <w:jc w:val="center"/>
              <w:rPr>
                <w:sz w:val="15"/>
                <w:szCs w:val="15"/>
              </w:rPr>
            </w:pPr>
            <w:r>
              <w:rPr>
                <w:rFonts w:ascii="宋体" w:hAnsi="宋体"/>
                <w:sz w:val="15"/>
                <w:szCs w:val="15"/>
              </w:rPr>
              <w:t>市场交易特征</w:t>
            </w:r>
          </w:p>
        </w:tc>
        <w:tc>
          <w:tcPr>
            <w:tcW w:w="2160" w:type="dxa"/>
            <w:vAlign w:val="center"/>
          </w:tcPr>
          <w:p w14:paraId="7B5D0E2E">
            <w:pPr>
              <w:spacing w:after="62"/>
              <w:ind w:firstLine="0" w:firstLineChars="0"/>
              <w:jc w:val="center"/>
              <w:rPr>
                <w:sz w:val="15"/>
                <w:szCs w:val="15"/>
              </w:rPr>
            </w:pPr>
            <w:r>
              <w:rPr>
                <w:rFonts w:ascii="宋体" w:hAnsi="宋体"/>
                <w:sz w:val="15"/>
                <w:szCs w:val="15"/>
              </w:rPr>
              <w:t>7.721</w:t>
            </w:r>
          </w:p>
        </w:tc>
        <w:tc>
          <w:tcPr>
            <w:tcW w:w="2160" w:type="dxa"/>
            <w:vAlign w:val="center"/>
          </w:tcPr>
          <w:p w14:paraId="7BBADD80">
            <w:pPr>
              <w:spacing w:after="62"/>
              <w:ind w:firstLine="0" w:firstLineChars="0"/>
              <w:jc w:val="center"/>
              <w:rPr>
                <w:sz w:val="15"/>
                <w:szCs w:val="15"/>
              </w:rPr>
            </w:pPr>
            <w:r>
              <w:rPr>
                <w:rFonts w:ascii="宋体" w:hAnsi="宋体"/>
                <w:sz w:val="15"/>
                <w:szCs w:val="15"/>
              </w:rPr>
              <w:t>0.077</w:t>
            </w:r>
          </w:p>
        </w:tc>
        <w:tc>
          <w:tcPr>
            <w:tcW w:w="2160" w:type="dxa"/>
            <w:vAlign w:val="center"/>
          </w:tcPr>
          <w:p w14:paraId="62E96DE2">
            <w:pPr>
              <w:spacing w:after="62"/>
              <w:ind w:firstLine="0" w:firstLineChars="0"/>
              <w:jc w:val="center"/>
              <w:rPr>
                <w:sz w:val="15"/>
                <w:szCs w:val="15"/>
              </w:rPr>
            </w:pPr>
            <w:r>
              <w:rPr>
                <w:rFonts w:ascii="宋体" w:hAnsi="宋体"/>
                <w:sz w:val="15"/>
                <w:szCs w:val="15"/>
              </w:rPr>
              <w:t>反映投资者交易行为、市值规模、流动性和市场风险信号。</w:t>
            </w:r>
          </w:p>
        </w:tc>
      </w:tr>
      <w:tr w14:paraId="4BE4D77C">
        <w:tblPrEx>
          <w:tblCellMar>
            <w:top w:w="0" w:type="dxa"/>
            <w:left w:w="108" w:type="dxa"/>
            <w:bottom w:w="0" w:type="dxa"/>
            <w:right w:w="108" w:type="dxa"/>
          </w:tblCellMar>
        </w:tblPrEx>
        <w:trPr>
          <w:trHeight w:val="90" w:hRule="atLeast"/>
          <w:jc w:val="center"/>
        </w:trPr>
        <w:tc>
          <w:tcPr>
            <w:tcW w:w="2160" w:type="dxa"/>
            <w:vAlign w:val="center"/>
          </w:tcPr>
          <w:p w14:paraId="62AF5508">
            <w:pPr>
              <w:spacing w:after="62"/>
              <w:ind w:firstLine="0" w:firstLineChars="0"/>
              <w:jc w:val="center"/>
              <w:rPr>
                <w:sz w:val="15"/>
                <w:szCs w:val="15"/>
              </w:rPr>
            </w:pPr>
            <w:r>
              <w:rPr>
                <w:rFonts w:ascii="宋体" w:hAnsi="宋体"/>
                <w:sz w:val="15"/>
                <w:szCs w:val="15"/>
              </w:rPr>
              <w:t>窗口动态特征</w:t>
            </w:r>
          </w:p>
        </w:tc>
        <w:tc>
          <w:tcPr>
            <w:tcW w:w="2160" w:type="dxa"/>
            <w:vAlign w:val="center"/>
          </w:tcPr>
          <w:p w14:paraId="0F43A070">
            <w:pPr>
              <w:spacing w:after="62"/>
              <w:ind w:firstLine="0" w:firstLineChars="0"/>
              <w:jc w:val="center"/>
              <w:rPr>
                <w:sz w:val="15"/>
                <w:szCs w:val="15"/>
              </w:rPr>
            </w:pPr>
            <w:r>
              <w:rPr>
                <w:rFonts w:ascii="宋体" w:hAnsi="宋体"/>
                <w:sz w:val="15"/>
                <w:szCs w:val="15"/>
              </w:rPr>
              <w:t>5.893</w:t>
            </w:r>
          </w:p>
        </w:tc>
        <w:tc>
          <w:tcPr>
            <w:tcW w:w="2160" w:type="dxa"/>
            <w:vAlign w:val="center"/>
          </w:tcPr>
          <w:p w14:paraId="3AAD16A2">
            <w:pPr>
              <w:spacing w:after="62"/>
              <w:ind w:firstLine="0" w:firstLineChars="0"/>
              <w:jc w:val="center"/>
              <w:rPr>
                <w:sz w:val="15"/>
                <w:szCs w:val="15"/>
              </w:rPr>
            </w:pPr>
            <w:r>
              <w:rPr>
                <w:rFonts w:ascii="宋体" w:hAnsi="宋体"/>
                <w:sz w:val="15"/>
                <w:szCs w:val="15"/>
              </w:rPr>
              <w:t>0.059</w:t>
            </w:r>
          </w:p>
        </w:tc>
        <w:tc>
          <w:tcPr>
            <w:tcW w:w="2160" w:type="dxa"/>
            <w:vAlign w:val="center"/>
          </w:tcPr>
          <w:p w14:paraId="45C992F0">
            <w:pPr>
              <w:spacing w:after="62"/>
              <w:ind w:firstLine="0" w:firstLineChars="0"/>
              <w:jc w:val="center"/>
              <w:rPr>
                <w:sz w:val="15"/>
                <w:szCs w:val="15"/>
              </w:rPr>
            </w:pPr>
            <w:r>
              <w:rPr>
                <w:rFonts w:ascii="宋体" w:hAnsi="宋体"/>
                <w:sz w:val="15"/>
                <w:szCs w:val="15"/>
              </w:rPr>
              <w:t>描述风险指标的滞后、趋势、滚动均值和波动变化。</w:t>
            </w:r>
          </w:p>
        </w:tc>
      </w:tr>
      <w:tr w14:paraId="4CDA075C">
        <w:tblPrEx>
          <w:tblCellMar>
            <w:top w:w="0" w:type="dxa"/>
            <w:left w:w="108" w:type="dxa"/>
            <w:bottom w:w="0" w:type="dxa"/>
            <w:right w:w="108" w:type="dxa"/>
          </w:tblCellMar>
        </w:tblPrEx>
        <w:trPr>
          <w:jc w:val="center"/>
        </w:trPr>
        <w:tc>
          <w:tcPr>
            <w:tcW w:w="2160" w:type="dxa"/>
            <w:vAlign w:val="center"/>
          </w:tcPr>
          <w:p w14:paraId="12191922">
            <w:pPr>
              <w:spacing w:after="62"/>
              <w:ind w:firstLine="0" w:firstLineChars="0"/>
              <w:jc w:val="center"/>
              <w:rPr>
                <w:sz w:val="15"/>
                <w:szCs w:val="15"/>
              </w:rPr>
            </w:pPr>
            <w:r>
              <w:rPr>
                <w:rFonts w:ascii="宋体" w:hAnsi="宋体"/>
                <w:sz w:val="15"/>
                <w:szCs w:val="15"/>
              </w:rPr>
              <w:t>公司治理特征</w:t>
            </w:r>
          </w:p>
        </w:tc>
        <w:tc>
          <w:tcPr>
            <w:tcW w:w="2160" w:type="dxa"/>
            <w:vAlign w:val="center"/>
          </w:tcPr>
          <w:p w14:paraId="1F97F3C9">
            <w:pPr>
              <w:spacing w:after="62"/>
              <w:ind w:firstLine="0" w:firstLineChars="0"/>
              <w:jc w:val="center"/>
              <w:rPr>
                <w:sz w:val="15"/>
                <w:szCs w:val="15"/>
              </w:rPr>
            </w:pPr>
            <w:r>
              <w:rPr>
                <w:rFonts w:ascii="宋体" w:hAnsi="宋体"/>
                <w:sz w:val="15"/>
                <w:szCs w:val="15"/>
              </w:rPr>
              <w:t>3.575</w:t>
            </w:r>
          </w:p>
        </w:tc>
        <w:tc>
          <w:tcPr>
            <w:tcW w:w="2160" w:type="dxa"/>
            <w:vAlign w:val="center"/>
          </w:tcPr>
          <w:p w14:paraId="267F9FE1">
            <w:pPr>
              <w:spacing w:after="62"/>
              <w:ind w:firstLine="0" w:firstLineChars="0"/>
              <w:jc w:val="center"/>
              <w:rPr>
                <w:sz w:val="15"/>
                <w:szCs w:val="15"/>
              </w:rPr>
            </w:pPr>
            <w:r>
              <w:rPr>
                <w:rFonts w:ascii="宋体" w:hAnsi="宋体"/>
                <w:sz w:val="15"/>
                <w:szCs w:val="15"/>
              </w:rPr>
              <w:t>0.036</w:t>
            </w:r>
          </w:p>
        </w:tc>
        <w:tc>
          <w:tcPr>
            <w:tcW w:w="2160" w:type="dxa"/>
            <w:vAlign w:val="center"/>
          </w:tcPr>
          <w:p w14:paraId="69AA50B5">
            <w:pPr>
              <w:spacing w:after="62"/>
              <w:ind w:firstLine="0" w:firstLineChars="0"/>
              <w:jc w:val="center"/>
              <w:rPr>
                <w:sz w:val="15"/>
                <w:szCs w:val="15"/>
              </w:rPr>
            </w:pPr>
            <w:r>
              <w:rPr>
                <w:rFonts w:ascii="宋体" w:hAnsi="宋体"/>
                <w:sz w:val="15"/>
                <w:szCs w:val="15"/>
              </w:rPr>
              <w:t>反映股权结构、董事会和治理制衡机制。</w:t>
            </w:r>
          </w:p>
        </w:tc>
      </w:tr>
      <w:tr w14:paraId="563AC17D">
        <w:tblPrEx>
          <w:tblCellMar>
            <w:top w:w="0" w:type="dxa"/>
            <w:left w:w="108" w:type="dxa"/>
            <w:bottom w:w="0" w:type="dxa"/>
            <w:right w:w="108" w:type="dxa"/>
          </w:tblCellMar>
        </w:tblPrEx>
        <w:trPr>
          <w:jc w:val="center"/>
        </w:trPr>
        <w:tc>
          <w:tcPr>
            <w:tcW w:w="2160" w:type="dxa"/>
            <w:vAlign w:val="center"/>
          </w:tcPr>
          <w:p w14:paraId="570B7523">
            <w:pPr>
              <w:spacing w:after="62"/>
              <w:ind w:firstLine="0" w:firstLineChars="0"/>
              <w:jc w:val="center"/>
              <w:rPr>
                <w:sz w:val="15"/>
                <w:szCs w:val="15"/>
              </w:rPr>
            </w:pPr>
            <w:r>
              <w:rPr>
                <w:rFonts w:ascii="宋体" w:hAnsi="宋体"/>
                <w:sz w:val="15"/>
                <w:szCs w:val="15"/>
              </w:rPr>
              <w:t>审计意见特征</w:t>
            </w:r>
          </w:p>
        </w:tc>
        <w:tc>
          <w:tcPr>
            <w:tcW w:w="2160" w:type="dxa"/>
            <w:vAlign w:val="center"/>
          </w:tcPr>
          <w:p w14:paraId="12F477E1">
            <w:pPr>
              <w:spacing w:after="62"/>
              <w:ind w:firstLine="0" w:firstLineChars="0"/>
              <w:jc w:val="center"/>
              <w:rPr>
                <w:sz w:val="15"/>
                <w:szCs w:val="15"/>
              </w:rPr>
            </w:pPr>
            <w:r>
              <w:rPr>
                <w:rFonts w:ascii="宋体" w:hAnsi="宋体"/>
                <w:sz w:val="15"/>
                <w:szCs w:val="15"/>
              </w:rPr>
              <w:t>3.511</w:t>
            </w:r>
          </w:p>
        </w:tc>
        <w:tc>
          <w:tcPr>
            <w:tcW w:w="2160" w:type="dxa"/>
            <w:vAlign w:val="center"/>
          </w:tcPr>
          <w:p w14:paraId="5AF59542">
            <w:pPr>
              <w:spacing w:after="62"/>
              <w:ind w:firstLine="0" w:firstLineChars="0"/>
              <w:jc w:val="center"/>
              <w:rPr>
                <w:sz w:val="15"/>
                <w:szCs w:val="15"/>
              </w:rPr>
            </w:pPr>
            <w:r>
              <w:rPr>
                <w:rFonts w:ascii="宋体" w:hAnsi="宋体"/>
                <w:sz w:val="15"/>
                <w:szCs w:val="15"/>
              </w:rPr>
              <w:t>0.035</w:t>
            </w:r>
          </w:p>
        </w:tc>
        <w:tc>
          <w:tcPr>
            <w:tcW w:w="2160" w:type="dxa"/>
            <w:vAlign w:val="center"/>
          </w:tcPr>
          <w:p w14:paraId="345C53E1">
            <w:pPr>
              <w:spacing w:after="62"/>
              <w:ind w:firstLine="0" w:firstLineChars="0"/>
              <w:jc w:val="center"/>
              <w:rPr>
                <w:sz w:val="15"/>
                <w:szCs w:val="15"/>
              </w:rPr>
            </w:pPr>
            <w:r>
              <w:rPr>
                <w:rFonts w:ascii="宋体" w:hAnsi="宋体"/>
                <w:sz w:val="15"/>
                <w:szCs w:val="15"/>
              </w:rPr>
              <w:t>捕捉审计意见、非标审计和会计风险相关信号。</w:t>
            </w:r>
          </w:p>
        </w:tc>
      </w:tr>
      <w:tr w14:paraId="73DAE0E3">
        <w:tblPrEx>
          <w:tblCellMar>
            <w:top w:w="0" w:type="dxa"/>
            <w:left w:w="108" w:type="dxa"/>
            <w:bottom w:w="0" w:type="dxa"/>
            <w:right w:w="108" w:type="dxa"/>
          </w:tblCellMar>
        </w:tblPrEx>
        <w:trPr>
          <w:jc w:val="center"/>
        </w:trPr>
        <w:tc>
          <w:tcPr>
            <w:tcW w:w="2160" w:type="dxa"/>
            <w:tcBorders>
              <w:bottom w:val="single" w:color="000000" w:sz="12" w:space="0"/>
            </w:tcBorders>
            <w:vAlign w:val="center"/>
          </w:tcPr>
          <w:p w14:paraId="3BCA2B80">
            <w:pPr>
              <w:spacing w:after="62"/>
              <w:ind w:firstLine="0" w:firstLineChars="0"/>
              <w:jc w:val="center"/>
              <w:rPr>
                <w:sz w:val="15"/>
                <w:szCs w:val="15"/>
              </w:rPr>
            </w:pPr>
            <w:r>
              <w:rPr>
                <w:rFonts w:ascii="宋体" w:hAnsi="宋体"/>
                <w:sz w:val="15"/>
                <w:szCs w:val="15"/>
              </w:rPr>
              <w:t>极端风险特征</w:t>
            </w:r>
          </w:p>
        </w:tc>
        <w:tc>
          <w:tcPr>
            <w:tcW w:w="2160" w:type="dxa"/>
            <w:tcBorders>
              <w:bottom w:val="single" w:color="000000" w:sz="12" w:space="0"/>
            </w:tcBorders>
            <w:vAlign w:val="center"/>
          </w:tcPr>
          <w:p w14:paraId="0E1414A5">
            <w:pPr>
              <w:spacing w:after="62"/>
              <w:ind w:firstLine="0" w:firstLineChars="0"/>
              <w:jc w:val="center"/>
              <w:rPr>
                <w:sz w:val="15"/>
                <w:szCs w:val="15"/>
              </w:rPr>
            </w:pPr>
            <w:r>
              <w:rPr>
                <w:rFonts w:ascii="宋体" w:hAnsi="宋体"/>
                <w:sz w:val="15"/>
                <w:szCs w:val="15"/>
              </w:rPr>
              <w:t>0.034</w:t>
            </w:r>
          </w:p>
        </w:tc>
        <w:tc>
          <w:tcPr>
            <w:tcW w:w="2160" w:type="dxa"/>
            <w:tcBorders>
              <w:bottom w:val="single" w:color="000000" w:sz="12" w:space="0"/>
            </w:tcBorders>
            <w:vAlign w:val="center"/>
          </w:tcPr>
          <w:p w14:paraId="49B13DA3">
            <w:pPr>
              <w:spacing w:after="62"/>
              <w:ind w:firstLine="0" w:firstLineChars="0"/>
              <w:jc w:val="center"/>
              <w:rPr>
                <w:sz w:val="15"/>
                <w:szCs w:val="15"/>
              </w:rPr>
            </w:pPr>
            <w:r>
              <w:rPr>
                <w:rFonts w:ascii="宋体" w:hAnsi="宋体"/>
                <w:sz w:val="15"/>
                <w:szCs w:val="15"/>
              </w:rPr>
              <w:t>0.000</w:t>
            </w:r>
          </w:p>
        </w:tc>
        <w:tc>
          <w:tcPr>
            <w:tcW w:w="2160" w:type="dxa"/>
            <w:tcBorders>
              <w:bottom w:val="single" w:color="000000" w:sz="12" w:space="0"/>
            </w:tcBorders>
            <w:vAlign w:val="center"/>
          </w:tcPr>
          <w:p w14:paraId="16D8B601">
            <w:pPr>
              <w:spacing w:after="62"/>
              <w:ind w:firstLine="0" w:firstLineChars="0"/>
              <w:jc w:val="center"/>
              <w:rPr>
                <w:sz w:val="15"/>
                <w:szCs w:val="15"/>
              </w:rPr>
            </w:pPr>
            <w:r>
              <w:rPr>
                <w:rFonts w:ascii="宋体" w:hAnsi="宋体"/>
                <w:sz w:val="15"/>
                <w:szCs w:val="15"/>
              </w:rPr>
              <w:t>捕捉尾部异常、极端财务恶化和高风险综合评分。</w:t>
            </w:r>
          </w:p>
        </w:tc>
      </w:tr>
    </w:tbl>
    <w:p w14:paraId="06A8BEE9">
      <w:pPr>
        <w:bidi w:val="0"/>
      </w:pPr>
      <w:r>
        <w:t>具体而言，历史状态特征具有最高的单项重要性，证实了财务困境的持续性特征。其次是基础财务指标（如 ROA、现金比率），这是风险识别的基石。此外，行业相对特征与市场交易特征的重要性表明，模型不仅关注企业自身，还关注其在行业中的相对位置及市场投资者的预期变化。审计与治理特征虽权重较低，但提供了关于信息披露质量与内部控制风险的补充信号。</w:t>
      </w:r>
    </w:p>
    <w:p w14:paraId="3DB8FD36">
      <w:pPr>
        <w:bidi w:val="0"/>
      </w:pPr>
      <w:r>
        <w:t>综上，CBRM 的预测结果建立在财务状况恶化、风险状态持续、行业相对弱化及市场信号变化等多维经济机制之上，而非单纯的统计相关性拟合，这为模型在监管审查与投资风控中的应用提供了坚实的解释性基础。</w:t>
      </w:r>
    </w:p>
    <w:p w14:paraId="4342B598">
      <w:pPr>
        <w:pStyle w:val="2"/>
        <w:bidi w:val="0"/>
      </w:pPr>
      <w:r>
        <w:t>进一步讨论</w:t>
      </w:r>
    </w:p>
    <w:p w14:paraId="3F0EFCC4">
      <w:pPr>
        <w:pStyle w:val="3"/>
        <w:bidi w:val="0"/>
        <w:rPr>
          <w:rFonts w:hint="eastAsia"/>
          <w:lang w:val="en-US" w:eastAsia="zh-CN"/>
        </w:rPr>
      </w:pPr>
      <w:r>
        <w:rPr>
          <w:rFonts w:hint="eastAsia"/>
          <w:lang w:val="en-US" w:eastAsia="zh-CN"/>
        </w:rPr>
        <w:t>5</w:t>
      </w:r>
      <w:r>
        <w:t>.</w:t>
      </w:r>
      <w:r>
        <w:rPr>
          <w:rFonts w:hint="eastAsia"/>
          <w:lang w:val="en-US" w:eastAsia="zh-CN"/>
        </w:rPr>
        <w:t>1</w:t>
      </w:r>
      <w:r>
        <w:t xml:space="preserve"> 稳健性</w:t>
      </w:r>
      <w:r>
        <w:rPr>
          <w:rFonts w:hint="eastAsia"/>
          <w:lang w:val="en-US" w:eastAsia="zh-CN"/>
        </w:rPr>
        <w:t>分析</w:t>
      </w:r>
    </w:p>
    <w:p w14:paraId="4D1BD865">
      <w:pPr>
        <w:spacing w:line="360" w:lineRule="auto"/>
      </w:pPr>
      <w:r>
        <w:rPr>
          <w:rFonts w:ascii="Times New Roman" w:hAnsi="Times New Roman" w:eastAsia="宋体"/>
          <w:sz w:val="21"/>
        </w:rPr>
        <w:t>为确保研究结论不依赖于特定指标选择、审查规模或特征构造，本文从多指标表现、不同审查资源规模下的 Top-K 稳定性、特征体系消融以及 Current-normal 子样本四个维度进行稳健性检验。鉴于测试集正样本占比不足 5%，全局 Accuracy 在类别不平衡场景下容易受到大量真负样本影响而虚高，本文仍以 PR-AUC、Precision@K 和 Recall@K 作为核心评价指标，F1、MCC 和 BAcc 作为辅助指标。</w:t>
      </w:r>
    </w:p>
    <w:p w14:paraId="6C4BEAE6">
      <w:pPr>
        <w:spacing w:line="360" w:lineRule="auto"/>
      </w:pPr>
      <w:r>
        <w:rPr>
          <w:rFonts w:ascii="Times New Roman" w:hAnsi="Times New Roman" w:eastAsia="宋体"/>
          <w:sz w:val="21"/>
        </w:rPr>
        <w:t>多指标稳健性方面，表 4-3 显示，CBRM 在主测试集上取得 PR-AUC=0.8524，高于单阶段 CatBoost 的 0.8315；同时，CBRM 的 F1 和 MCC 分别为 0.7339 和 0.7226，BAcc 为 0.8987，说明级联边界重排序机制在保持全局判别力的同时改善了分类均衡性。</w:t>
      </w:r>
    </w:p>
    <w:p w14:paraId="5DD17D01">
      <w:pPr>
        <w:spacing w:line="360" w:lineRule="auto"/>
      </w:pPr>
      <w:r>
        <w:rPr>
          <w:rFonts w:ascii="Times New Roman" w:hAnsi="Times New Roman" w:eastAsia="宋体"/>
          <w:sz w:val="21"/>
        </w:rPr>
        <w:t>不同审查规模下的 Top-K 稳定性结果见表 5-1。在最严格的 Top-50 和 Top-100 区间，CBRM 与单阶段 CatBoost 均达到 1.000 的 Precision，说明两类模型均能稳定识别头部高风险企业。扩展至 Top-200 时，CBRM 的 P@200 为 0.995，高于 CatBoost 的 0.990；在 Top-500 区间，二者均达到 P@500=0.982、R@500=0.614。该结果表明，CBRM 在保持头部名单稳定性的同时，对中高风险边界区具有一定局部修正作用。</w:t>
      </w:r>
    </w:p>
    <w:p w14:paraId="465E5A3D">
      <w:pPr>
        <w:pStyle w:val="7"/>
        <w:bidi w:val="0"/>
        <w:rPr>
          <w:rFonts w:hint="eastAsia"/>
        </w:rPr>
      </w:pPr>
      <w:r>
        <w:rPr>
          <w:rFonts w:hint="eastAsia"/>
        </w:rPr>
        <w:t>表 5-1 CBRM 与单阶段 CatBoost 的 Top-K 稳健性检验</w:t>
      </w:r>
    </w:p>
    <w:tbl>
      <w:tblPr>
        <w:tblStyle w:val="27"/>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01"/>
        <w:gridCol w:w="785"/>
        <w:gridCol w:w="786"/>
        <w:gridCol w:w="786"/>
        <w:gridCol w:w="786"/>
        <w:gridCol w:w="903"/>
        <w:gridCol w:w="903"/>
        <w:gridCol w:w="786"/>
        <w:gridCol w:w="786"/>
        <w:gridCol w:w="904"/>
      </w:tblGrid>
      <w:tr w14:paraId="39E63E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200" w:type="dxa"/>
            <w:tcBorders>
              <w:bottom w:val="single" w:color="000000" w:sz="8" w:space="0"/>
            </w:tcBorders>
            <w:vAlign w:val="center"/>
          </w:tcPr>
          <w:p w14:paraId="182B4F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模型</w:t>
            </w:r>
          </w:p>
        </w:tc>
        <w:tc>
          <w:tcPr>
            <w:tcW w:w="1200" w:type="dxa"/>
            <w:tcBorders>
              <w:bottom w:val="single" w:color="000000" w:sz="8" w:space="0"/>
            </w:tcBorders>
            <w:vAlign w:val="center"/>
          </w:tcPr>
          <w:p w14:paraId="0D3F9B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P@50</w:t>
            </w:r>
          </w:p>
        </w:tc>
        <w:tc>
          <w:tcPr>
            <w:tcW w:w="1200" w:type="dxa"/>
            <w:tcBorders>
              <w:bottom w:val="single" w:color="000000" w:sz="8" w:space="0"/>
            </w:tcBorders>
            <w:vAlign w:val="center"/>
          </w:tcPr>
          <w:p w14:paraId="7C9C73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P@100</w:t>
            </w:r>
          </w:p>
        </w:tc>
        <w:tc>
          <w:tcPr>
            <w:tcW w:w="1200" w:type="dxa"/>
            <w:tcBorders>
              <w:bottom w:val="single" w:color="000000" w:sz="8" w:space="0"/>
            </w:tcBorders>
            <w:vAlign w:val="center"/>
          </w:tcPr>
          <w:p w14:paraId="32B6AE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P@200</w:t>
            </w:r>
          </w:p>
        </w:tc>
        <w:tc>
          <w:tcPr>
            <w:tcW w:w="1200" w:type="dxa"/>
            <w:tcBorders>
              <w:bottom w:val="single" w:color="000000" w:sz="8" w:space="0"/>
            </w:tcBorders>
            <w:vAlign w:val="center"/>
          </w:tcPr>
          <w:p w14:paraId="471EB3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P@500</w:t>
            </w:r>
          </w:p>
        </w:tc>
        <w:tc>
          <w:tcPr>
            <w:tcW w:w="1200" w:type="dxa"/>
            <w:tcBorders>
              <w:bottom w:val="single" w:color="000000" w:sz="8" w:space="0"/>
            </w:tcBorders>
            <w:vAlign w:val="center"/>
          </w:tcPr>
          <w:p w14:paraId="0A2D4BB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Hits@200</w:t>
            </w:r>
          </w:p>
        </w:tc>
        <w:tc>
          <w:tcPr>
            <w:tcW w:w="1200" w:type="dxa"/>
            <w:tcBorders>
              <w:bottom w:val="single" w:color="000000" w:sz="8" w:space="0"/>
            </w:tcBorders>
            <w:vAlign w:val="center"/>
          </w:tcPr>
          <w:p w14:paraId="16F4FD2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Hits@500</w:t>
            </w:r>
          </w:p>
        </w:tc>
        <w:tc>
          <w:tcPr>
            <w:tcW w:w="1200" w:type="dxa"/>
            <w:tcBorders>
              <w:bottom w:val="single" w:color="000000" w:sz="8" w:space="0"/>
            </w:tcBorders>
            <w:vAlign w:val="center"/>
          </w:tcPr>
          <w:p w14:paraId="2771E4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R@200</w:t>
            </w:r>
          </w:p>
        </w:tc>
        <w:tc>
          <w:tcPr>
            <w:tcW w:w="1200" w:type="dxa"/>
            <w:tcBorders>
              <w:bottom w:val="single" w:color="000000" w:sz="8" w:space="0"/>
            </w:tcBorders>
            <w:vAlign w:val="center"/>
          </w:tcPr>
          <w:p w14:paraId="5B4FFFB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R@500</w:t>
            </w:r>
          </w:p>
        </w:tc>
        <w:tc>
          <w:tcPr>
            <w:tcW w:w="1200" w:type="dxa"/>
            <w:tcBorders>
              <w:bottom w:val="single" w:color="000000" w:sz="8" w:space="0"/>
            </w:tcBorders>
            <w:vAlign w:val="center"/>
          </w:tcPr>
          <w:p w14:paraId="1B87277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b/>
                <w:bCs/>
                <w:sz w:val="15"/>
                <w:szCs w:val="15"/>
              </w:rPr>
              <w:t>Lift@500</w:t>
            </w:r>
          </w:p>
        </w:tc>
      </w:tr>
      <w:tr w14:paraId="4BE4FB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200" w:type="dxa"/>
            <w:vAlign w:val="center"/>
          </w:tcPr>
          <w:p w14:paraId="0B8899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CBRM</w:t>
            </w:r>
          </w:p>
        </w:tc>
        <w:tc>
          <w:tcPr>
            <w:tcW w:w="1200" w:type="dxa"/>
            <w:vAlign w:val="center"/>
          </w:tcPr>
          <w:p w14:paraId="315D82B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1.000</w:t>
            </w:r>
          </w:p>
        </w:tc>
        <w:tc>
          <w:tcPr>
            <w:tcW w:w="1200" w:type="dxa"/>
            <w:vAlign w:val="center"/>
          </w:tcPr>
          <w:p w14:paraId="2AD9D0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1.000</w:t>
            </w:r>
          </w:p>
        </w:tc>
        <w:tc>
          <w:tcPr>
            <w:tcW w:w="1200" w:type="dxa"/>
            <w:vAlign w:val="center"/>
          </w:tcPr>
          <w:p w14:paraId="62A4728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0.995</w:t>
            </w:r>
          </w:p>
        </w:tc>
        <w:tc>
          <w:tcPr>
            <w:tcW w:w="1200" w:type="dxa"/>
            <w:vAlign w:val="center"/>
          </w:tcPr>
          <w:p w14:paraId="49F5B4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0.982</w:t>
            </w:r>
          </w:p>
        </w:tc>
        <w:tc>
          <w:tcPr>
            <w:tcW w:w="1200" w:type="dxa"/>
            <w:vAlign w:val="center"/>
          </w:tcPr>
          <w:p w14:paraId="731D2E0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199</w:t>
            </w:r>
          </w:p>
        </w:tc>
        <w:tc>
          <w:tcPr>
            <w:tcW w:w="1200" w:type="dxa"/>
            <w:vAlign w:val="center"/>
          </w:tcPr>
          <w:p w14:paraId="1597EE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491</w:t>
            </w:r>
          </w:p>
        </w:tc>
        <w:tc>
          <w:tcPr>
            <w:tcW w:w="1200" w:type="dxa"/>
            <w:vAlign w:val="center"/>
          </w:tcPr>
          <w:p w14:paraId="0BFAD4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0.249</w:t>
            </w:r>
          </w:p>
        </w:tc>
        <w:tc>
          <w:tcPr>
            <w:tcW w:w="1200" w:type="dxa"/>
            <w:vAlign w:val="center"/>
          </w:tcPr>
          <w:p w14:paraId="6DAA37F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0.614</w:t>
            </w:r>
          </w:p>
        </w:tc>
        <w:tc>
          <w:tcPr>
            <w:tcW w:w="1200" w:type="dxa"/>
            <w:vAlign w:val="center"/>
          </w:tcPr>
          <w:p w14:paraId="3C34786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19.855</w:t>
            </w:r>
          </w:p>
        </w:tc>
      </w:tr>
      <w:tr w14:paraId="0D07F2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200" w:type="dxa"/>
            <w:vAlign w:val="center"/>
          </w:tcPr>
          <w:p w14:paraId="70DFADB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CatBoost</w:t>
            </w:r>
          </w:p>
        </w:tc>
        <w:tc>
          <w:tcPr>
            <w:tcW w:w="1200" w:type="dxa"/>
            <w:vAlign w:val="center"/>
          </w:tcPr>
          <w:p w14:paraId="0EADF43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1.000</w:t>
            </w:r>
          </w:p>
        </w:tc>
        <w:tc>
          <w:tcPr>
            <w:tcW w:w="1200" w:type="dxa"/>
            <w:vAlign w:val="center"/>
          </w:tcPr>
          <w:p w14:paraId="1AD2501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1.000</w:t>
            </w:r>
          </w:p>
        </w:tc>
        <w:tc>
          <w:tcPr>
            <w:tcW w:w="1200" w:type="dxa"/>
            <w:vAlign w:val="center"/>
          </w:tcPr>
          <w:p w14:paraId="6E4849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0.990</w:t>
            </w:r>
          </w:p>
        </w:tc>
        <w:tc>
          <w:tcPr>
            <w:tcW w:w="1200" w:type="dxa"/>
            <w:vAlign w:val="center"/>
          </w:tcPr>
          <w:p w14:paraId="5B9E89E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0.980</w:t>
            </w:r>
          </w:p>
        </w:tc>
        <w:tc>
          <w:tcPr>
            <w:tcW w:w="1200" w:type="dxa"/>
            <w:vAlign w:val="center"/>
          </w:tcPr>
          <w:p w14:paraId="2D7B74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198</w:t>
            </w:r>
          </w:p>
        </w:tc>
        <w:tc>
          <w:tcPr>
            <w:tcW w:w="1200" w:type="dxa"/>
            <w:vAlign w:val="center"/>
          </w:tcPr>
          <w:p w14:paraId="79426D7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490</w:t>
            </w:r>
          </w:p>
        </w:tc>
        <w:tc>
          <w:tcPr>
            <w:tcW w:w="1200" w:type="dxa"/>
            <w:vAlign w:val="center"/>
          </w:tcPr>
          <w:p w14:paraId="25F62DB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0.248</w:t>
            </w:r>
          </w:p>
        </w:tc>
        <w:tc>
          <w:tcPr>
            <w:tcW w:w="1200" w:type="dxa"/>
            <w:vAlign w:val="center"/>
          </w:tcPr>
          <w:p w14:paraId="615516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0.613</w:t>
            </w:r>
          </w:p>
        </w:tc>
        <w:tc>
          <w:tcPr>
            <w:tcW w:w="1200" w:type="dxa"/>
            <w:vAlign w:val="center"/>
          </w:tcPr>
          <w:p w14:paraId="03B2D1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ind w:left="0" w:leftChars="0" w:firstLine="0" w:firstLineChars="0"/>
              <w:jc w:val="center"/>
              <w:textAlignment w:val="auto"/>
              <w:rPr>
                <w:rFonts w:hint="eastAsia" w:ascii="宋体" w:hAnsi="宋体" w:eastAsia="宋体" w:cs="宋体"/>
                <w:sz w:val="15"/>
                <w:szCs w:val="15"/>
              </w:rPr>
            </w:pPr>
            <w:r>
              <w:rPr>
                <w:rFonts w:hint="eastAsia" w:ascii="宋体" w:hAnsi="宋体" w:eastAsia="宋体" w:cs="宋体"/>
                <w:sz w:val="15"/>
                <w:szCs w:val="15"/>
              </w:rPr>
              <w:t>19.826</w:t>
            </w:r>
          </w:p>
        </w:tc>
      </w:tr>
    </w:tbl>
    <w:p w14:paraId="0800CCE5">
      <w:pPr>
        <w:pStyle w:val="9"/>
        <w:bidi w:val="0"/>
      </w:pPr>
      <w:r>
        <w:rPr>
          <w:lang w:val="en-US" w:eastAsia="zh-CN"/>
        </w:rPr>
        <w:t>注：P@K 表示 Precision@K（前K名中正样本比例）；Hits@K 表示前K名中命中的正样本数；R@K 表示 Recall@K（命中正样本占全体正样本的比例）；Lift@K 表示 Top-K 中正样本密度相对于全体样本的提升倍数（Lift@500 = (Hits@500/500) / (800/16175)）。</w:t>
      </w:r>
    </w:p>
    <w:p w14:paraId="32E9CCEB">
      <w:pPr>
        <w:pStyle w:val="3"/>
        <w:bidi w:val="0"/>
        <w:rPr>
          <w:rFonts w:hint="eastAsia"/>
        </w:rPr>
      </w:pPr>
      <w:r>
        <w:rPr>
          <w:rFonts w:hint="eastAsia"/>
          <w:lang w:val="en-US" w:eastAsia="zh-CN"/>
        </w:rPr>
        <w:t>5.2 应用场景与模型边界</w:t>
      </w:r>
    </w:p>
    <w:p w14:paraId="0EE2ABF2">
      <w:pPr>
        <w:bidi w:val="0"/>
        <w:rPr>
          <w:rFonts w:hint="eastAsia"/>
        </w:rPr>
      </w:pPr>
      <w:r>
        <w:rPr>
          <w:rFonts w:hint="eastAsia"/>
        </w:rPr>
        <w:t>在监管筛查与信贷审查场景中，CBRM 的核心价值在于为有限审查资源下的风险排序提供支持。实证结果显示，Top-100 名单的 Precision@100 达 1.000，风险样本密度约为总体样本正样本比例的 20 倍，适合作为监管问询或信贷强复检的重点对象；Top-500 名单可覆盖测试集中 61.4% 的真实风险样本，适合作为常态化风险监测池。实际应用中，可根据资源丰裕度构建分层预警机制：Top-100 执行高优先级干预，Top-500 实施重点监控，Top-1000 以上进行趋势观察。需强调的是，模型输出应作为辅助筛查工具，最终决策仍需结合人工尽调与企业基本面分析。</w:t>
      </w:r>
    </w:p>
    <w:p w14:paraId="69D12EC6">
      <w:pPr>
        <w:bidi w:val="0"/>
        <w:rPr>
          <w:rFonts w:hint="eastAsia"/>
        </w:rPr>
      </w:pPr>
      <w:r>
        <w:rPr>
          <w:rFonts w:hint="eastAsia"/>
        </w:rPr>
        <w:t>值得注意的是，CBRM 对当前尚未进入困境状态、未来才发生风险的 Onset 样本识别难度更大。由于此类子样本需要同时包含未来发生困境和未发生困境的企业才能构成标准二分类评价，其识别任务比常规预测更具挑战性。现有模型虽能识别头部高风险企业，但在中高风险边界区域对隐性风险的捕捉能力仍有限。未来研究可通过引入更高频的经营现金流、舆情及宏观环境变量，或结合生存分析框架，进一步提升早期预警能力。</w:t>
      </w:r>
    </w:p>
    <w:p w14:paraId="5E5D3CC4">
      <w:pPr>
        <w:bidi w:val="0"/>
        <w:rPr>
          <w:rFonts w:hint="eastAsia"/>
        </w:rPr>
      </w:pPr>
      <w:r>
        <w:rPr>
          <w:rFonts w:hint="eastAsia"/>
        </w:rPr>
        <w:t>CBRM 通过级联结构设计，在性能与可审计性之间取得了平衡。一阶段 CatBoost 提供基于特征重要性的全局解释（如历史状态、财务结构等），二阶段重排序通过“头部保护、边界细分”提供机制解释。实验设计上，关键参数均基于验证集调优，且本文对特征构造过程进行信息泄露审查，未发现疑似未来信息泄露特征，增强了模型结果的可复现性与可审计性。尽管非线性集成模型难以像线性模型那样提供简单的系数解释，但其清晰的训练策略、参数选择记录及特征审计轨迹，能够为金融监管场景下的模型解释、复核与审计提供支持。</w:t>
      </w:r>
    </w:p>
    <w:p w14:paraId="435FF12A">
      <w:pPr>
        <w:pStyle w:val="2"/>
        <w:bidi w:val="0"/>
        <w:rPr>
          <w:rFonts w:hint="eastAsia"/>
        </w:rPr>
      </w:pPr>
      <w:r>
        <w:rPr>
          <w:rFonts w:hint="eastAsia"/>
        </w:rPr>
        <w:t>结语</w:t>
      </w:r>
    </w:p>
    <w:p w14:paraId="3035F24A">
      <w:pPr>
        <w:bidi w:val="0"/>
      </w:pPr>
      <w:r>
        <w:t>综上，本文立足于中国资本市场财务困境事件稀有性与监管审查资源有限性的现实背景，突破传统二元分类范式，将财务困境预警重构为高风险优先级排序问题，并提出基于 CatBoost 的级联边界重排序模型（CBRM）。该模型融合纵向恶化轨迹、行业相对偏离和历史风险状态等多源结构化特征，在一阶段主排序基础上引入高置信保护机制与边界候选重排序机制，实现了对中高风险临界样本的局部修正。时序阻断样本外测试表明，CBRM 的 PR-AUC 达到 0.8524，较单阶段 CatBoost 提高 0.0209；在 P@500 达到 0.9820 的同时，F1 值由 0.6441 提升至 0.7339。进一步分析表明，模型增益主要来源于对排名 101 至 1500 临界区域的局部误排修正，而非对全样本排序的无差别扰动。本文从范式上确立了有限资源约束下的高风险排序导向，从方法上构建了“头部保护—边界细分—尾部降噪”的可审计级联框架，并从解释上融合特征逻辑与机制逻辑，增强了模型在监管科技场景下的可追溯性。</w:t>
      </w:r>
    </w:p>
    <w:p w14:paraId="4D71316D">
      <w:pPr>
        <w:bidi w:val="0"/>
        <w:rPr>
          <w:rFonts w:hint="eastAsia"/>
        </w:rPr>
      </w:pPr>
      <w:r>
        <w:t>尽管本文模型在样本外测试中表现出较好的预测能力和实务适配性，但仍存在一定局限。首先，本文的财务困境标签主要基于 ST/*ST 制度构建，虽具有明确的监管含义和数据可得性优势，但仍难以完全覆盖企业真实风险状态，未来可进一步融合债务违约、信用评级下调、重大诉讼、债券展期和经营性现金流断裂等事件，构建多维复合风险标签。其次，current-normal onset 早期预警任务仍具有较高难度，未来可引入更高频的经营现金流、舆情文本、供应链和宏观行业变量，并结合生存分析或离散时间风险模型，以刻画风险发生概率及其时间分布。最后，CBRM 虽通过特征重要性和级联机制增强了可解释性，但其核心仍属于非线性集成模型，未来可结合因果推断与可解释人工智能方法，进一步提升关键风险特征解释的因果说服力和跨场景适应性。</w:t>
      </w:r>
    </w:p>
    <w:p w14:paraId="20AF4778">
      <w:pPr>
        <w:adjustRightInd/>
        <w:snapToGrid/>
        <w:spacing w:after="0" w:afterLines="-2147483648" w:line="360" w:lineRule="auto"/>
        <w:ind w:left="0" w:leftChars="0" w:firstLine="0" w:firstLineChars="0"/>
        <w:jc w:val="both"/>
        <w:rPr>
          <w:rFonts w:ascii="黑体" w:hAnsi="黑体" w:eastAsia="黑体" w:cs="Times New Roman"/>
          <w:sz w:val="28"/>
          <w:szCs w:val="28"/>
          <w14:ligatures w14:val="standardContextual"/>
        </w:rPr>
      </w:pPr>
      <w:r>
        <w:rPr>
          <w:rFonts w:ascii="黑体" w:hAnsi="黑体" w:eastAsia="黑体" w:cs="Times New Roman"/>
          <w:sz w:val="28"/>
          <w:szCs w:val="28"/>
          <w14:ligatures w14:val="standardContextual"/>
        </w:rPr>
        <w:t>参考文献</w:t>
      </w:r>
    </w:p>
    <w:p w14:paraId="77B1D3C7">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吴世农, 卢贤义. 我国上市公司财务困境的预测模型研究[J]. 经济研究, 2001(6): 46-55.</w:t>
      </w:r>
    </w:p>
    <w:p w14:paraId="72ECFBF5">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BEAVER W H. Financial ratios as predictors of failure[J]. Journal of Accounting Research, 1966, 4(Supplement): 71-111.</w:t>
      </w:r>
    </w:p>
    <w:p w14:paraId="46CAF472">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ALTMAN E I. Financial ratios, discriminant analysis and the prediction of corporate bankruptcy[J]. The Journal of Finance, 1968, 23(4): 589-609.</w:t>
      </w:r>
    </w:p>
    <w:p w14:paraId="2231850E">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OHLSON J A. Financial ratios and the probabilistic prediction of bankruptcy[J]. Journal of Accounting Research, 1980, 18(1): 109-131.</w:t>
      </w:r>
    </w:p>
    <w:p w14:paraId="66897EC0">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ZMIJEWSKI M E. Methodological issues related to the estimation of financial distress prediction models[J]. Journal of Accounting Research, 1984, 22: 59-82.</w:t>
      </w:r>
    </w:p>
    <w:p w14:paraId="43A2B54B">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SHUMWAY T. Forecasting bankruptcy more accurately: a simple hazard model[J]. The Journal of Business, 2001, 74(1): 101-124.</w:t>
      </w:r>
    </w:p>
    <w:p w14:paraId="66805AF1">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CAMPBELL J Y, HILSCHER J, SZILAGYI J. In search of distress risk[J]. The Journal of Finance, 2008, 63(6): 2899-2939.</w:t>
      </w:r>
    </w:p>
    <w:p w14:paraId="4EC3AA93">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BARBOZA F, KIMURA H, ALTMAN E. Machine learning models and bankruptcy prediction[J]. Expert Systems with Applications, 2017, 83: 405-417.</w:t>
      </w:r>
    </w:p>
    <w:p w14:paraId="45D6CCFE">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PINDADO J, RODRIGUES L, DE LA TORRE C. Estimating financial distress likelihood[J]. Journal of Business Research, 2008, 61(9): 995-1003.</w:t>
      </w:r>
    </w:p>
    <w:p w14:paraId="4B72452B">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CHAWLA N V, BOWYER K W, HALL L O, et al. SMOTE: synthetic minority over-sampling technique[J]. Journal of Artificial Intelligence Research, 2002, 16: 321-357.</w:t>
      </w:r>
    </w:p>
    <w:p w14:paraId="6E9E0A99">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SAITO T, REHMSMEIER M. The precision-recall plot is more informative than the ROC plot when evaluating binary classifiers on imbalanced datasets[J]. PLOS ONE, 2015, 10(3): e0118432.</w:t>
      </w:r>
    </w:p>
    <w:p w14:paraId="085926FA">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HAN H, WANG W Y, MAO B H. Borderline-SMOTE: a new over-sampling method in imbalanced data sets learning[M]//HUANG D S, ZHANG X P, HUANG G B, eds. Advances in Intelligent Computing. Lecture Notes in Computer Science, vol. 3642. Berlin: Springer, 2005: 878-887.</w:t>
      </w:r>
    </w:p>
    <w:p w14:paraId="1F6E999C">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PROKHORENKOVA L, GUSEV G, VOROBEV A, et al. CatBoost: unbiased boosting with categorical features[C]//Advances in Neural Information Processing Systems (NeurIPS 2018), vol. 31. 2018: 6638-6648.</w:t>
      </w:r>
    </w:p>
    <w:p w14:paraId="5F21CDA5">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CAO Y, XU J, LIU T Y, et al. Adapting ranking SVM to document retrieval[C]//Proceedings of the 29th Annual International ACM SIGIR Conference (SIGIR 2006). New York: ACM, 2006: 186-193.</w:t>
      </w:r>
    </w:p>
    <w:p w14:paraId="458E5882">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杨子晖, 张平淼, 林师涵. 系统性风险与企业财务危机预警——基于前沿机器学习的新视角[J]. 金融研究, 2022(8): 152-170.</w:t>
      </w:r>
    </w:p>
    <w:p w14:paraId="5A0EC037">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邢凯, 盛利琴, 张盼, 等. 基于非平衡数据处理和多变量筛选方法的上市公司财务困境预测研究[J]. 计量经济学报, 2024, 4(1): 274-300.</w:t>
      </w:r>
    </w:p>
    <w:p w14:paraId="13F3215A">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SONG Y, JIANG M, LI S, et al. Class-imbalanced financial distress prediction with machine learning: incorporating financial, management, textual, and social responsibility features into index system[J]. Journal of Forecasting, 2024, 43(3): 593-614.</w:t>
      </w:r>
    </w:p>
    <w:p w14:paraId="1A8AF654">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李大元, 颜卓惠, 曾阳艳. 基于代价敏感学习的上市公司财务困境动态预测模型[J/OL]. 系统工程, 2025, 43(2): 1-14[2025-03-01].</w:t>
      </w:r>
    </w:p>
    <w:p w14:paraId="37F5520A">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HE H, GARCIA E A. Learning from imbalanced data[J]. IEEE Transactions on Knowledge and Data Engineering, 2009, 21(9): 1263-1284.</w:t>
      </w:r>
    </w:p>
    <w:p w14:paraId="4DB946E1">
      <w:pPr>
        <w:pStyle w:val="46"/>
        <w:numPr>
          <w:ilvl w:val="0"/>
          <w:numId w:val="2"/>
        </w:numPr>
        <w:adjustRightInd/>
        <w:snapToGrid/>
        <w:spacing w:after="0" w:afterLines="-2147483648" w:line="360" w:lineRule="auto"/>
        <w:ind w:left="0" w:leftChars="0" w:firstLineChars="0"/>
        <w:jc w:val="both"/>
        <w:rPr>
          <w:rFonts w:hint="eastAsia"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LESSMANN S, BAESENS B, SEOW H V, et al. Benchmarking state-of-the-art classification algorithms for credit scoring: an update of research[J]. European Journal of Operational Research, 2015, 247(1): 124-136.</w:t>
      </w:r>
    </w:p>
    <w:p w14:paraId="3F9017F3">
      <w:pPr>
        <w:pStyle w:val="46"/>
        <w:numPr>
          <w:ilvl w:val="0"/>
          <w:numId w:val="2"/>
        </w:numPr>
        <w:adjustRightInd/>
        <w:snapToGrid/>
        <w:spacing w:after="0" w:afterLines="-2147483648" w:line="360" w:lineRule="auto"/>
        <w:ind w:left="0" w:leftChars="0" w:firstLineChars="0"/>
        <w:jc w:val="both"/>
        <w:rPr>
          <w:rFonts w:ascii="Times New Roman" w:hAnsi="Times New Roman" w:eastAsia="宋体" w:cs="Times New Roman"/>
          <w:sz w:val="18"/>
          <w:szCs w:val="18"/>
          <w14:ligatures w14:val="standardContextual"/>
        </w:rPr>
      </w:pPr>
      <w:r>
        <w:rPr>
          <w:rFonts w:hint="eastAsia" w:ascii="Times New Roman" w:hAnsi="Times New Roman" w:eastAsia="宋体" w:cs="Times New Roman"/>
          <w:sz w:val="18"/>
          <w:szCs w:val="18"/>
          <w14:ligatures w14:val="standardContextual"/>
        </w:rPr>
        <w:t>MANNING C D, RAGHAVAN P, SCHÜTZE H. Introduction to information retrieval[M]. Cambridge: Cambridge University Press, 2008.</w:t>
      </w:r>
    </w:p>
    <w:p w14:paraId="19CFE03C">
      <w:pPr>
        <w:pStyle w:val="4"/>
        <w:keepNext w:val="0"/>
        <w:keepLines w:val="0"/>
        <w:widowControl/>
        <w:suppressLineNumbers w:val="0"/>
        <w:ind w:left="0" w:leftChars="0" w:firstLine="0" w:firstLineChars="0"/>
        <w:jc w:val="center"/>
        <w:rPr>
          <w:rFonts w:hint="default" w:ascii="Times New Roman" w:hAnsi="Times New Roman" w:eastAsia="黑体" w:cs="Times New Roman"/>
          <w:kern w:val="2"/>
          <w:sz w:val="22"/>
          <w:szCs w:val="22"/>
          <w:lang w:val="en-US" w:eastAsia="zh-CN" w:bidi="ar-SA"/>
          <w14:ligatures w14:val="standardContextual"/>
        </w:rPr>
      </w:pPr>
      <w:r>
        <w:rPr>
          <w:rFonts w:hint="default" w:ascii="Times New Roman" w:hAnsi="Times New Roman" w:eastAsia="黑体" w:cs="Times New Roman"/>
          <w:kern w:val="2"/>
          <w:sz w:val="22"/>
          <w:szCs w:val="22"/>
          <w:lang w:val="en-US" w:eastAsia="zh-CN" w:bidi="ar-SA"/>
          <w14:ligatures w14:val="standardContextual"/>
        </w:rPr>
        <w:t xml:space="preserve">Cascaded Boundary Reranking Model for Corporate Financial Distress </w:t>
      </w:r>
    </w:p>
    <w:p w14:paraId="71E9B621">
      <w:pPr>
        <w:pStyle w:val="4"/>
        <w:keepNext w:val="0"/>
        <w:keepLines w:val="0"/>
        <w:widowControl/>
        <w:suppressLineNumbers w:val="0"/>
        <w:ind w:left="0" w:leftChars="0" w:firstLine="0" w:firstLineChars="0"/>
        <w:jc w:val="center"/>
        <w:rPr>
          <w:rFonts w:hint="default" w:ascii="Times New Roman" w:hAnsi="Times New Roman" w:cs="Times New Roman"/>
          <w:sz w:val="28"/>
          <w:szCs w:val="22"/>
        </w:rPr>
      </w:pPr>
      <w:r>
        <w:rPr>
          <w:rFonts w:hint="default" w:ascii="Times New Roman" w:hAnsi="Times New Roman" w:eastAsia="黑体" w:cs="Times New Roman"/>
          <w:kern w:val="2"/>
          <w:sz w:val="22"/>
          <w:szCs w:val="22"/>
          <w:lang w:val="en-US" w:eastAsia="zh-CN" w:bidi="ar-SA"/>
          <w14:ligatures w14:val="standardContextual"/>
        </w:rPr>
        <w:t>Early Warning Based on CatBoost</w:t>
      </w:r>
      <w:r>
        <w:rPr>
          <w:rFonts w:hint="default" w:ascii="Times New Roman" w:hAnsi="Times New Roman" w:cs="Times New Roman"/>
          <w:sz w:val="28"/>
          <w:szCs w:val="22"/>
        </w:rPr>
        <w:t>​</w:t>
      </w:r>
    </w:p>
    <w:p w14:paraId="69E1949D">
      <w:pPr>
        <w:bidi w:val="0"/>
        <w:ind w:left="0" w:leftChars="0" w:firstLine="0" w:firstLineChars="0"/>
      </w:pPr>
      <w:r>
        <w:rPr>
          <w:rFonts w:hint="eastAsia" w:ascii="Times New Roman" w:hAnsi="Times New Roman" w:eastAsia="宋体" w:cs="Times New Roman"/>
          <w:b/>
          <w:bCs/>
          <w:sz w:val="21"/>
          <w:szCs w:val="21"/>
          <w14:ligatures w14:val="standardContextual"/>
        </w:rPr>
        <w:t>Abstract:</w:t>
      </w:r>
      <w:r>
        <w:t>Corporate financial distress early warning is critical for capital market regulation, credit risk screening, and investment risk management. Improving the identification of high-risk firms under severe class imbalance remains a central challenge. To address the limited ability of single-stage models to rank firms near the high-risk decision boundary, this paper proposes a CatBoost-based Cascaded Boundary Reranking Model (CBRM). The model first assesses overall corporate risk via a primary ranker, then preserves top-ranked high-confidence firms through a Top-K protection mechanism, and finally refines marginal samples via a secondary reranker within a candidate boundary region. Empirical results from Chinese listed firms show that CBRM achieves a PR-AUC of 0.8524, outperforming the single-stage CatBoost (0.8315), with F1 and MCC increasing to 0.7339 and 0.7226, respectively. Top-K analysis, mechanism ablation, and feature interpretation further demonstrate that CBRM enhances high-risk firm prioritization under class imbalance, providing decision support for regulators, creditors, and risk managers.</w:t>
      </w:r>
    </w:p>
    <w:p w14:paraId="416A0AB2">
      <w:pPr>
        <w:bidi w:val="0"/>
        <w:ind w:left="0" w:leftChars="0" w:firstLine="0" w:firstLineChars="0"/>
        <w:rPr>
          <w:rFonts w:hint="default" w:cs="Times New Roman"/>
          <w:sz w:val="21"/>
          <w:szCs w:val="21"/>
          <w14:ligatures w14:val="standardContextual"/>
        </w:rPr>
      </w:pPr>
      <w:r>
        <w:rPr>
          <w:rFonts w:hint="eastAsia" w:ascii="Times New Roman" w:hAnsi="Times New Roman" w:eastAsia="宋体" w:cs="Times New Roman"/>
          <w:b/>
          <w:bCs/>
          <w:sz w:val="21"/>
          <w:szCs w:val="21"/>
          <w14:ligatures w14:val="standardContextual"/>
        </w:rPr>
        <w:t>Keywords:</w:t>
      </w:r>
      <w:r>
        <w:t>Corporate financial distress early warning; High-risk ranking; Class imbalance; CatBoost; Cascaded boundary reranking</w:t>
      </w:r>
    </w:p>
    <w:p w14:paraId="7998F9F3">
      <w:pPr>
        <w:spacing w:after="62" w:line="360" w:lineRule="auto"/>
        <w:ind w:left="0" w:leftChars="0" w:firstLine="0" w:firstLineChars="0"/>
      </w:pPr>
      <w:bookmarkStart w:id="0" w:name="_GoBack"/>
      <w:bookmarkEnd w:id="0"/>
    </w:p>
    <w:p w14:paraId="3BB22DF9">
      <w:pPr>
        <w:pStyle w:val="2"/>
        <w:numPr>
          <w:numId w:val="0"/>
        </w:numPr>
        <w:bidi w:val="0"/>
        <w:ind w:leftChars="0"/>
        <w:rPr>
          <w:rFonts w:hint="default"/>
          <w:lang w:val="en-US" w:eastAsia="zh-CN"/>
        </w:rPr>
      </w:pPr>
      <w:r>
        <w:rPr>
          <w:rFonts w:hint="eastAsia"/>
          <w:lang w:val="en-US" w:eastAsia="zh-CN"/>
        </w:rPr>
        <w:t>附录A</w:t>
      </w:r>
    </w:p>
    <w:p w14:paraId="6C9B73B4">
      <w:pPr>
        <w:pStyle w:val="7"/>
        <w:bidi w:val="0"/>
      </w:pPr>
      <w:r>
        <w:t>附表</w:t>
      </w:r>
      <w:r>
        <w:rPr>
          <w:rFonts w:hint="eastAsia"/>
          <w:lang w:val="en-US" w:eastAsia="zh-CN"/>
        </w:rPr>
        <w:t>A1</w:t>
      </w:r>
      <w:r>
        <w:t xml:space="preserve"> 特征组定义与特征数量</w:t>
      </w:r>
    </w:p>
    <w:tbl>
      <w:tblPr>
        <w:tblStyle w:val="27"/>
        <w:tblW w:w="0" w:type="auto"/>
        <w:jc w:val="center"/>
        <w:tblLayout w:type="autofit"/>
        <w:tblCellMar>
          <w:top w:w="0" w:type="dxa"/>
          <w:left w:w="108" w:type="dxa"/>
          <w:bottom w:w="0" w:type="dxa"/>
          <w:right w:w="108" w:type="dxa"/>
        </w:tblCellMar>
      </w:tblPr>
      <w:tblGrid>
        <w:gridCol w:w="2839"/>
        <w:gridCol w:w="2840"/>
        <w:gridCol w:w="2843"/>
      </w:tblGrid>
      <w:tr w14:paraId="041EDE23">
        <w:tblPrEx>
          <w:tblCellMar>
            <w:top w:w="0" w:type="dxa"/>
            <w:left w:w="108" w:type="dxa"/>
            <w:bottom w:w="0" w:type="dxa"/>
            <w:right w:w="108" w:type="dxa"/>
          </w:tblCellMar>
        </w:tblPrEx>
        <w:trPr>
          <w:jc w:val="center"/>
        </w:trPr>
        <w:tc>
          <w:tcPr>
            <w:tcW w:w="2880" w:type="dxa"/>
            <w:tcBorders>
              <w:top w:val="single" w:color="000000" w:sz="12" w:space="0"/>
              <w:bottom w:val="single" w:color="000000" w:sz="8" w:space="0"/>
            </w:tcBorders>
            <w:vAlign w:val="center"/>
          </w:tcPr>
          <w:p w14:paraId="3D9FD282">
            <w:pPr>
              <w:spacing w:after="62"/>
              <w:ind w:firstLine="0" w:firstLineChars="0"/>
              <w:jc w:val="center"/>
              <w:rPr>
                <w:sz w:val="13"/>
                <w:szCs w:val="13"/>
              </w:rPr>
            </w:pPr>
            <w:r>
              <w:rPr>
                <w:rFonts w:ascii="宋体" w:hAnsi="宋体"/>
                <w:b/>
                <w:sz w:val="13"/>
                <w:szCs w:val="13"/>
              </w:rPr>
              <w:t>特征组</w:t>
            </w:r>
          </w:p>
        </w:tc>
        <w:tc>
          <w:tcPr>
            <w:tcW w:w="2880" w:type="dxa"/>
            <w:tcBorders>
              <w:top w:val="single" w:color="000000" w:sz="12" w:space="0"/>
              <w:bottom w:val="single" w:color="000000" w:sz="8" w:space="0"/>
            </w:tcBorders>
            <w:vAlign w:val="center"/>
          </w:tcPr>
          <w:p w14:paraId="67EF5D32">
            <w:pPr>
              <w:spacing w:after="62"/>
              <w:ind w:firstLine="0" w:firstLineChars="0"/>
              <w:jc w:val="center"/>
              <w:rPr>
                <w:sz w:val="13"/>
                <w:szCs w:val="13"/>
              </w:rPr>
            </w:pPr>
            <w:r>
              <w:rPr>
                <w:rFonts w:ascii="宋体" w:hAnsi="宋体"/>
                <w:b/>
                <w:sz w:val="13"/>
                <w:szCs w:val="13"/>
              </w:rPr>
              <w:t>特征数量</w:t>
            </w:r>
          </w:p>
        </w:tc>
        <w:tc>
          <w:tcPr>
            <w:tcW w:w="2880" w:type="dxa"/>
            <w:tcBorders>
              <w:top w:val="single" w:color="000000" w:sz="12" w:space="0"/>
              <w:bottom w:val="single" w:color="000000" w:sz="8" w:space="0"/>
            </w:tcBorders>
            <w:vAlign w:val="center"/>
          </w:tcPr>
          <w:p w14:paraId="669B521A">
            <w:pPr>
              <w:spacing w:after="62"/>
              <w:ind w:firstLine="0" w:firstLineChars="0"/>
              <w:jc w:val="center"/>
              <w:rPr>
                <w:sz w:val="13"/>
                <w:szCs w:val="13"/>
              </w:rPr>
            </w:pPr>
            <w:r>
              <w:rPr>
                <w:rFonts w:ascii="宋体" w:hAnsi="宋体"/>
                <w:b/>
                <w:sz w:val="13"/>
                <w:szCs w:val="13"/>
              </w:rPr>
              <w:t>定义</w:t>
            </w:r>
          </w:p>
        </w:tc>
      </w:tr>
      <w:tr w14:paraId="57E0B3CC">
        <w:tblPrEx>
          <w:tblCellMar>
            <w:top w:w="0" w:type="dxa"/>
            <w:left w:w="108" w:type="dxa"/>
            <w:bottom w:w="0" w:type="dxa"/>
            <w:right w:w="108" w:type="dxa"/>
          </w:tblCellMar>
        </w:tblPrEx>
        <w:trPr>
          <w:jc w:val="center"/>
        </w:trPr>
        <w:tc>
          <w:tcPr>
            <w:tcW w:w="2880" w:type="dxa"/>
            <w:vAlign w:val="center"/>
          </w:tcPr>
          <w:p w14:paraId="21E619A4">
            <w:pPr>
              <w:spacing w:after="62"/>
              <w:ind w:firstLine="0" w:firstLineChars="0"/>
              <w:jc w:val="center"/>
              <w:rPr>
                <w:sz w:val="13"/>
                <w:szCs w:val="13"/>
              </w:rPr>
            </w:pPr>
            <w:r>
              <w:rPr>
                <w:rFonts w:ascii="宋体" w:hAnsi="宋体"/>
                <w:sz w:val="13"/>
                <w:szCs w:val="13"/>
              </w:rPr>
              <w:t>窗口动态特征</w:t>
            </w:r>
          </w:p>
        </w:tc>
        <w:tc>
          <w:tcPr>
            <w:tcW w:w="2880" w:type="dxa"/>
            <w:vAlign w:val="center"/>
          </w:tcPr>
          <w:p w14:paraId="066C89E0">
            <w:pPr>
              <w:spacing w:after="62"/>
              <w:ind w:firstLine="0" w:firstLineChars="0"/>
              <w:jc w:val="center"/>
              <w:rPr>
                <w:sz w:val="13"/>
                <w:szCs w:val="13"/>
              </w:rPr>
            </w:pPr>
            <w:r>
              <w:rPr>
                <w:rFonts w:ascii="宋体" w:hAnsi="宋体"/>
                <w:sz w:val="13"/>
                <w:szCs w:val="13"/>
              </w:rPr>
              <w:t>859</w:t>
            </w:r>
          </w:p>
        </w:tc>
        <w:tc>
          <w:tcPr>
            <w:tcW w:w="2880" w:type="dxa"/>
            <w:vAlign w:val="center"/>
          </w:tcPr>
          <w:p w14:paraId="4B6C7927">
            <w:pPr>
              <w:spacing w:after="62"/>
              <w:ind w:firstLine="0" w:firstLineChars="0"/>
              <w:jc w:val="center"/>
              <w:rPr>
                <w:sz w:val="13"/>
                <w:szCs w:val="13"/>
              </w:rPr>
            </w:pPr>
            <w:r>
              <w:rPr>
                <w:rFonts w:ascii="宋体" w:hAnsi="宋体"/>
                <w:sz w:val="13"/>
                <w:szCs w:val="13"/>
              </w:rPr>
              <w:t>滞后项、滚动均值、趋势、波动率及时间差分特征，用于刻画企业风险随时间演化的动态过程。</w:t>
            </w:r>
          </w:p>
        </w:tc>
      </w:tr>
      <w:tr w14:paraId="6A763B6B">
        <w:tblPrEx>
          <w:tblCellMar>
            <w:top w:w="0" w:type="dxa"/>
            <w:left w:w="108" w:type="dxa"/>
            <w:bottom w:w="0" w:type="dxa"/>
            <w:right w:w="108" w:type="dxa"/>
          </w:tblCellMar>
        </w:tblPrEx>
        <w:trPr>
          <w:jc w:val="center"/>
        </w:trPr>
        <w:tc>
          <w:tcPr>
            <w:tcW w:w="2880" w:type="dxa"/>
            <w:vAlign w:val="center"/>
          </w:tcPr>
          <w:p w14:paraId="55192422">
            <w:pPr>
              <w:spacing w:after="62"/>
              <w:ind w:firstLine="0" w:firstLineChars="0"/>
              <w:jc w:val="center"/>
              <w:rPr>
                <w:sz w:val="13"/>
                <w:szCs w:val="13"/>
              </w:rPr>
            </w:pPr>
            <w:r>
              <w:rPr>
                <w:rFonts w:ascii="宋体" w:hAnsi="宋体"/>
                <w:sz w:val="13"/>
                <w:szCs w:val="13"/>
              </w:rPr>
              <w:t>极端风险特征</w:t>
            </w:r>
          </w:p>
        </w:tc>
        <w:tc>
          <w:tcPr>
            <w:tcW w:w="2880" w:type="dxa"/>
            <w:vAlign w:val="center"/>
          </w:tcPr>
          <w:p w14:paraId="652697C8">
            <w:pPr>
              <w:spacing w:after="62"/>
              <w:ind w:firstLine="0" w:firstLineChars="0"/>
              <w:jc w:val="center"/>
              <w:rPr>
                <w:sz w:val="13"/>
                <w:szCs w:val="13"/>
              </w:rPr>
            </w:pPr>
            <w:r>
              <w:rPr>
                <w:rFonts w:ascii="宋体" w:hAnsi="宋体"/>
                <w:sz w:val="13"/>
                <w:szCs w:val="13"/>
              </w:rPr>
              <w:t>68</w:t>
            </w:r>
          </w:p>
        </w:tc>
        <w:tc>
          <w:tcPr>
            <w:tcW w:w="2880" w:type="dxa"/>
            <w:vAlign w:val="center"/>
          </w:tcPr>
          <w:p w14:paraId="11DDD3A6">
            <w:pPr>
              <w:spacing w:after="62"/>
              <w:ind w:firstLine="0" w:firstLineChars="0"/>
              <w:jc w:val="center"/>
              <w:rPr>
                <w:sz w:val="13"/>
                <w:szCs w:val="13"/>
              </w:rPr>
            </w:pPr>
            <w:r>
              <w:rPr>
                <w:rFonts w:ascii="宋体" w:hAnsi="宋体"/>
                <w:sz w:val="13"/>
                <w:szCs w:val="13"/>
              </w:rPr>
              <w:t>尾部风险、极端值、异常值及高风险评分特征，用于捕捉异常财务状态。</w:t>
            </w:r>
          </w:p>
        </w:tc>
      </w:tr>
      <w:tr w14:paraId="66444ED4">
        <w:tblPrEx>
          <w:tblCellMar>
            <w:top w:w="0" w:type="dxa"/>
            <w:left w:w="108" w:type="dxa"/>
            <w:bottom w:w="0" w:type="dxa"/>
            <w:right w:w="108" w:type="dxa"/>
          </w:tblCellMar>
        </w:tblPrEx>
        <w:trPr>
          <w:jc w:val="center"/>
        </w:trPr>
        <w:tc>
          <w:tcPr>
            <w:tcW w:w="2880" w:type="dxa"/>
            <w:vAlign w:val="center"/>
          </w:tcPr>
          <w:p w14:paraId="017069C1">
            <w:pPr>
              <w:spacing w:after="62"/>
              <w:ind w:firstLine="0" w:firstLineChars="0"/>
              <w:jc w:val="center"/>
              <w:rPr>
                <w:sz w:val="13"/>
                <w:szCs w:val="13"/>
              </w:rPr>
            </w:pPr>
            <w:r>
              <w:rPr>
                <w:rFonts w:ascii="宋体" w:hAnsi="宋体"/>
                <w:sz w:val="13"/>
                <w:szCs w:val="13"/>
              </w:rPr>
              <w:t>市场交易特征</w:t>
            </w:r>
          </w:p>
        </w:tc>
        <w:tc>
          <w:tcPr>
            <w:tcW w:w="2880" w:type="dxa"/>
            <w:vAlign w:val="center"/>
          </w:tcPr>
          <w:p w14:paraId="464D2384">
            <w:pPr>
              <w:spacing w:after="62"/>
              <w:ind w:firstLine="0" w:firstLineChars="0"/>
              <w:jc w:val="center"/>
              <w:rPr>
                <w:sz w:val="13"/>
                <w:szCs w:val="13"/>
              </w:rPr>
            </w:pPr>
            <w:r>
              <w:rPr>
                <w:rFonts w:ascii="宋体" w:hAnsi="宋体"/>
                <w:sz w:val="13"/>
                <w:szCs w:val="13"/>
              </w:rPr>
              <w:t>193</w:t>
            </w:r>
          </w:p>
        </w:tc>
        <w:tc>
          <w:tcPr>
            <w:tcW w:w="2880" w:type="dxa"/>
            <w:vAlign w:val="center"/>
          </w:tcPr>
          <w:p w14:paraId="481CDEFF">
            <w:pPr>
              <w:spacing w:after="62"/>
              <w:ind w:firstLine="0" w:firstLineChars="0"/>
              <w:jc w:val="center"/>
              <w:rPr>
                <w:sz w:val="13"/>
                <w:szCs w:val="13"/>
              </w:rPr>
            </w:pPr>
            <w:r>
              <w:rPr>
                <w:rFonts w:ascii="宋体" w:hAnsi="宋体"/>
                <w:sz w:val="13"/>
                <w:szCs w:val="13"/>
              </w:rPr>
              <w:t>市值、收益率、换手率、成交量、beta 等市场交易相关指标。</w:t>
            </w:r>
          </w:p>
        </w:tc>
      </w:tr>
      <w:tr w14:paraId="07D03F2B">
        <w:tblPrEx>
          <w:tblCellMar>
            <w:top w:w="0" w:type="dxa"/>
            <w:left w:w="108" w:type="dxa"/>
            <w:bottom w:w="0" w:type="dxa"/>
            <w:right w:w="108" w:type="dxa"/>
          </w:tblCellMar>
        </w:tblPrEx>
        <w:trPr>
          <w:jc w:val="center"/>
        </w:trPr>
        <w:tc>
          <w:tcPr>
            <w:tcW w:w="2880" w:type="dxa"/>
            <w:vAlign w:val="center"/>
          </w:tcPr>
          <w:p w14:paraId="325FD5AF">
            <w:pPr>
              <w:spacing w:after="62"/>
              <w:ind w:firstLine="0" w:firstLineChars="0"/>
              <w:jc w:val="center"/>
              <w:rPr>
                <w:sz w:val="13"/>
                <w:szCs w:val="13"/>
              </w:rPr>
            </w:pPr>
            <w:r>
              <w:rPr>
                <w:rFonts w:ascii="宋体" w:hAnsi="宋体"/>
                <w:sz w:val="13"/>
                <w:szCs w:val="13"/>
              </w:rPr>
              <w:t>公司治理特征</w:t>
            </w:r>
          </w:p>
        </w:tc>
        <w:tc>
          <w:tcPr>
            <w:tcW w:w="2880" w:type="dxa"/>
            <w:vAlign w:val="center"/>
          </w:tcPr>
          <w:p w14:paraId="6E874A82">
            <w:pPr>
              <w:spacing w:after="62"/>
              <w:ind w:firstLine="0" w:firstLineChars="0"/>
              <w:jc w:val="center"/>
              <w:rPr>
                <w:sz w:val="13"/>
                <w:szCs w:val="13"/>
              </w:rPr>
            </w:pPr>
            <w:r>
              <w:rPr>
                <w:rFonts w:ascii="宋体" w:hAnsi="宋体"/>
                <w:sz w:val="13"/>
                <w:szCs w:val="13"/>
              </w:rPr>
              <w:t>2</w:t>
            </w:r>
          </w:p>
        </w:tc>
        <w:tc>
          <w:tcPr>
            <w:tcW w:w="2880" w:type="dxa"/>
            <w:vAlign w:val="center"/>
          </w:tcPr>
          <w:p w14:paraId="5DC99265">
            <w:pPr>
              <w:spacing w:after="62"/>
              <w:ind w:firstLine="0" w:firstLineChars="0"/>
              <w:jc w:val="center"/>
              <w:rPr>
                <w:sz w:val="13"/>
                <w:szCs w:val="13"/>
              </w:rPr>
            </w:pPr>
            <w:r>
              <w:rPr>
                <w:rFonts w:ascii="宋体" w:hAnsi="宋体"/>
                <w:sz w:val="13"/>
                <w:szCs w:val="13"/>
              </w:rPr>
              <w:t>股权结构、董事会、独立董事、股权制衡等公司治理指标。</w:t>
            </w:r>
          </w:p>
        </w:tc>
      </w:tr>
      <w:tr w14:paraId="0E9DCB4A">
        <w:tblPrEx>
          <w:tblCellMar>
            <w:top w:w="0" w:type="dxa"/>
            <w:left w:w="108" w:type="dxa"/>
            <w:bottom w:w="0" w:type="dxa"/>
            <w:right w:w="108" w:type="dxa"/>
          </w:tblCellMar>
        </w:tblPrEx>
        <w:trPr>
          <w:jc w:val="center"/>
        </w:trPr>
        <w:tc>
          <w:tcPr>
            <w:tcW w:w="2880" w:type="dxa"/>
            <w:vAlign w:val="center"/>
          </w:tcPr>
          <w:p w14:paraId="6043730A">
            <w:pPr>
              <w:spacing w:after="62"/>
              <w:ind w:firstLine="0" w:firstLineChars="0"/>
              <w:jc w:val="center"/>
              <w:rPr>
                <w:sz w:val="13"/>
                <w:szCs w:val="13"/>
              </w:rPr>
            </w:pPr>
            <w:r>
              <w:rPr>
                <w:rFonts w:ascii="宋体" w:hAnsi="宋体"/>
                <w:sz w:val="13"/>
                <w:szCs w:val="13"/>
              </w:rPr>
              <w:t>审计意见特征</w:t>
            </w:r>
          </w:p>
        </w:tc>
        <w:tc>
          <w:tcPr>
            <w:tcW w:w="2880" w:type="dxa"/>
            <w:vAlign w:val="center"/>
          </w:tcPr>
          <w:p w14:paraId="5037CB70">
            <w:pPr>
              <w:spacing w:after="62"/>
              <w:ind w:firstLine="0" w:firstLineChars="0"/>
              <w:jc w:val="center"/>
              <w:rPr>
                <w:sz w:val="13"/>
                <w:szCs w:val="13"/>
              </w:rPr>
            </w:pPr>
            <w:r>
              <w:rPr>
                <w:rFonts w:ascii="宋体" w:hAnsi="宋体"/>
                <w:sz w:val="13"/>
                <w:szCs w:val="13"/>
              </w:rPr>
              <w:t>111</w:t>
            </w:r>
          </w:p>
        </w:tc>
        <w:tc>
          <w:tcPr>
            <w:tcW w:w="2880" w:type="dxa"/>
            <w:vAlign w:val="center"/>
          </w:tcPr>
          <w:p w14:paraId="7097CC59">
            <w:pPr>
              <w:spacing w:after="62"/>
              <w:ind w:firstLine="0" w:firstLineChars="0"/>
              <w:jc w:val="center"/>
              <w:rPr>
                <w:sz w:val="13"/>
                <w:szCs w:val="13"/>
              </w:rPr>
            </w:pPr>
            <w:r>
              <w:rPr>
                <w:rFonts w:ascii="宋体" w:hAnsi="宋体"/>
                <w:sz w:val="13"/>
                <w:szCs w:val="13"/>
              </w:rPr>
              <w:t>审计意见、非标审计、会计师事务所相关指标。</w:t>
            </w:r>
          </w:p>
        </w:tc>
      </w:tr>
      <w:tr w14:paraId="214A1479">
        <w:tblPrEx>
          <w:tblCellMar>
            <w:top w:w="0" w:type="dxa"/>
            <w:left w:w="108" w:type="dxa"/>
            <w:bottom w:w="0" w:type="dxa"/>
            <w:right w:w="108" w:type="dxa"/>
          </w:tblCellMar>
        </w:tblPrEx>
        <w:trPr>
          <w:jc w:val="center"/>
        </w:trPr>
        <w:tc>
          <w:tcPr>
            <w:tcW w:w="2880" w:type="dxa"/>
            <w:vAlign w:val="center"/>
          </w:tcPr>
          <w:p w14:paraId="3CC08FC3">
            <w:pPr>
              <w:spacing w:after="62"/>
              <w:ind w:firstLine="0" w:firstLineChars="0"/>
              <w:jc w:val="center"/>
              <w:rPr>
                <w:sz w:val="13"/>
                <w:szCs w:val="13"/>
              </w:rPr>
            </w:pPr>
            <w:r>
              <w:rPr>
                <w:rFonts w:ascii="宋体" w:hAnsi="宋体"/>
                <w:sz w:val="13"/>
                <w:szCs w:val="13"/>
              </w:rPr>
              <w:t>行业相对特征</w:t>
            </w:r>
          </w:p>
        </w:tc>
        <w:tc>
          <w:tcPr>
            <w:tcW w:w="2880" w:type="dxa"/>
            <w:vAlign w:val="center"/>
          </w:tcPr>
          <w:p w14:paraId="12BA2E0A">
            <w:pPr>
              <w:spacing w:after="62"/>
              <w:ind w:firstLine="0" w:firstLineChars="0"/>
              <w:jc w:val="center"/>
              <w:rPr>
                <w:sz w:val="13"/>
                <w:szCs w:val="13"/>
              </w:rPr>
            </w:pPr>
            <w:r>
              <w:rPr>
                <w:rFonts w:ascii="宋体" w:hAnsi="宋体"/>
                <w:sz w:val="13"/>
                <w:szCs w:val="13"/>
              </w:rPr>
              <w:t>310</w:t>
            </w:r>
          </w:p>
        </w:tc>
        <w:tc>
          <w:tcPr>
            <w:tcW w:w="2880" w:type="dxa"/>
            <w:vAlign w:val="center"/>
          </w:tcPr>
          <w:p w14:paraId="26F28CFF">
            <w:pPr>
              <w:spacing w:after="62"/>
              <w:ind w:firstLine="0" w:firstLineChars="0"/>
              <w:jc w:val="center"/>
              <w:rPr>
                <w:sz w:val="13"/>
                <w:szCs w:val="13"/>
              </w:rPr>
            </w:pPr>
            <w:r>
              <w:rPr>
                <w:rFonts w:ascii="宋体" w:hAnsi="宋体"/>
                <w:sz w:val="13"/>
                <w:szCs w:val="13"/>
              </w:rPr>
              <w:t>行业中位数偏离、同行排名、行业内相对表现等比较指标。</w:t>
            </w:r>
          </w:p>
        </w:tc>
      </w:tr>
      <w:tr w14:paraId="27EAC080">
        <w:tblPrEx>
          <w:tblCellMar>
            <w:top w:w="0" w:type="dxa"/>
            <w:left w:w="108" w:type="dxa"/>
            <w:bottom w:w="0" w:type="dxa"/>
            <w:right w:w="108" w:type="dxa"/>
          </w:tblCellMar>
        </w:tblPrEx>
        <w:trPr>
          <w:jc w:val="center"/>
        </w:trPr>
        <w:tc>
          <w:tcPr>
            <w:tcW w:w="2880" w:type="dxa"/>
            <w:vAlign w:val="center"/>
          </w:tcPr>
          <w:p w14:paraId="0879381B">
            <w:pPr>
              <w:spacing w:after="62"/>
              <w:ind w:firstLine="0" w:firstLineChars="0"/>
              <w:jc w:val="center"/>
              <w:rPr>
                <w:sz w:val="13"/>
                <w:szCs w:val="13"/>
              </w:rPr>
            </w:pPr>
            <w:r>
              <w:rPr>
                <w:rFonts w:ascii="宋体" w:hAnsi="宋体"/>
                <w:sz w:val="13"/>
                <w:szCs w:val="13"/>
              </w:rPr>
              <w:t>历史状态特征</w:t>
            </w:r>
          </w:p>
        </w:tc>
        <w:tc>
          <w:tcPr>
            <w:tcW w:w="2880" w:type="dxa"/>
            <w:vAlign w:val="center"/>
          </w:tcPr>
          <w:p w14:paraId="4CAFC01A">
            <w:pPr>
              <w:spacing w:after="62"/>
              <w:ind w:firstLine="0" w:firstLineChars="0"/>
              <w:jc w:val="center"/>
              <w:rPr>
                <w:sz w:val="13"/>
                <w:szCs w:val="13"/>
              </w:rPr>
            </w:pPr>
            <w:r>
              <w:rPr>
                <w:rFonts w:ascii="宋体" w:hAnsi="宋体"/>
                <w:sz w:val="13"/>
                <w:szCs w:val="13"/>
              </w:rPr>
              <w:t>236</w:t>
            </w:r>
          </w:p>
        </w:tc>
        <w:tc>
          <w:tcPr>
            <w:tcW w:w="2880" w:type="dxa"/>
            <w:vAlign w:val="center"/>
          </w:tcPr>
          <w:p w14:paraId="2B907539">
            <w:pPr>
              <w:spacing w:after="62"/>
              <w:ind w:firstLine="0" w:firstLineChars="0"/>
              <w:jc w:val="center"/>
              <w:rPr>
                <w:sz w:val="13"/>
                <w:szCs w:val="13"/>
              </w:rPr>
            </w:pPr>
            <w:r>
              <w:rPr>
                <w:rFonts w:ascii="宋体" w:hAnsi="宋体"/>
                <w:sz w:val="13"/>
                <w:szCs w:val="13"/>
              </w:rPr>
              <w:t>历史 ST/*ST 状态、距上次困境季度数及状态滚动统计特征。</w:t>
            </w:r>
          </w:p>
        </w:tc>
      </w:tr>
      <w:tr w14:paraId="7CE86BB1">
        <w:tblPrEx>
          <w:tblCellMar>
            <w:top w:w="0" w:type="dxa"/>
            <w:left w:w="108" w:type="dxa"/>
            <w:bottom w:w="0" w:type="dxa"/>
            <w:right w:w="108" w:type="dxa"/>
          </w:tblCellMar>
        </w:tblPrEx>
        <w:trPr>
          <w:jc w:val="center"/>
        </w:trPr>
        <w:tc>
          <w:tcPr>
            <w:tcW w:w="2880" w:type="dxa"/>
            <w:tcBorders>
              <w:bottom w:val="single" w:color="000000" w:sz="12" w:space="0"/>
            </w:tcBorders>
            <w:vAlign w:val="center"/>
          </w:tcPr>
          <w:p w14:paraId="152CD9F3">
            <w:pPr>
              <w:spacing w:after="62"/>
              <w:ind w:firstLine="0" w:firstLineChars="0"/>
              <w:jc w:val="center"/>
              <w:rPr>
                <w:sz w:val="13"/>
                <w:szCs w:val="13"/>
              </w:rPr>
            </w:pPr>
            <w:r>
              <w:rPr>
                <w:rFonts w:ascii="宋体" w:hAnsi="宋体"/>
                <w:sz w:val="13"/>
                <w:szCs w:val="13"/>
              </w:rPr>
              <w:t>其他核心结构化特征</w:t>
            </w:r>
          </w:p>
        </w:tc>
        <w:tc>
          <w:tcPr>
            <w:tcW w:w="2880" w:type="dxa"/>
            <w:tcBorders>
              <w:bottom w:val="single" w:color="000000" w:sz="12" w:space="0"/>
            </w:tcBorders>
            <w:vAlign w:val="center"/>
          </w:tcPr>
          <w:p w14:paraId="0CE2CB7F">
            <w:pPr>
              <w:spacing w:after="62"/>
              <w:ind w:firstLine="0" w:firstLineChars="0"/>
              <w:jc w:val="center"/>
              <w:rPr>
                <w:sz w:val="13"/>
                <w:szCs w:val="13"/>
              </w:rPr>
            </w:pPr>
            <w:r>
              <w:rPr>
                <w:rFonts w:ascii="宋体" w:hAnsi="宋体"/>
                <w:sz w:val="13"/>
                <w:szCs w:val="13"/>
              </w:rPr>
              <w:t>758</w:t>
            </w:r>
          </w:p>
        </w:tc>
        <w:tc>
          <w:tcPr>
            <w:tcW w:w="2880" w:type="dxa"/>
            <w:tcBorders>
              <w:bottom w:val="single" w:color="000000" w:sz="12" w:space="0"/>
            </w:tcBorders>
            <w:vAlign w:val="center"/>
          </w:tcPr>
          <w:p w14:paraId="191750C4">
            <w:pPr>
              <w:spacing w:after="62"/>
              <w:ind w:firstLine="0" w:firstLineChars="0"/>
              <w:jc w:val="center"/>
              <w:rPr>
                <w:sz w:val="13"/>
                <w:szCs w:val="13"/>
              </w:rPr>
            </w:pPr>
            <w:r>
              <w:rPr>
                <w:rFonts w:ascii="宋体" w:hAnsi="宋体"/>
                <w:sz w:val="13"/>
                <w:szCs w:val="13"/>
              </w:rPr>
              <w:t>未纳入上述类别的其他结构化数值预测变量。</w:t>
            </w:r>
          </w:p>
        </w:tc>
      </w:tr>
    </w:tbl>
    <w:p w14:paraId="38833BED">
      <w:pPr>
        <w:spacing w:after="62"/>
        <w:ind w:firstLine="0" w:firstLineChars="0"/>
        <w:jc w:val="center"/>
        <w:rPr>
          <w:rFonts w:ascii="宋体" w:hAnsi="宋体"/>
          <w:sz w:val="20"/>
        </w:rPr>
      </w:pPr>
    </w:p>
    <w:p w14:paraId="0E9BE338">
      <w:pPr>
        <w:pStyle w:val="7"/>
        <w:bidi w:val="0"/>
      </w:pPr>
      <w:r>
        <w:t>附表</w:t>
      </w:r>
      <w:r>
        <w:rPr>
          <w:rFonts w:hint="eastAsia"/>
          <w:lang w:val="en-US" w:eastAsia="zh-CN"/>
        </w:rPr>
        <w:t>A2</w:t>
      </w:r>
      <w:r>
        <w:t xml:space="preserve"> 重排序机制设置说明</w:t>
      </w:r>
    </w:p>
    <w:tbl>
      <w:tblPr>
        <w:tblStyle w:val="27"/>
        <w:tblW w:w="0" w:type="auto"/>
        <w:jc w:val="center"/>
        <w:tblLayout w:type="autofit"/>
        <w:tblCellMar>
          <w:top w:w="0" w:type="dxa"/>
          <w:left w:w="108" w:type="dxa"/>
          <w:bottom w:w="0" w:type="dxa"/>
          <w:right w:w="108" w:type="dxa"/>
        </w:tblCellMar>
      </w:tblPr>
      <w:tblGrid>
        <w:gridCol w:w="4261"/>
        <w:gridCol w:w="4261"/>
      </w:tblGrid>
      <w:tr w14:paraId="06A48CF1">
        <w:tblPrEx>
          <w:tblCellMar>
            <w:top w:w="0" w:type="dxa"/>
            <w:left w:w="108" w:type="dxa"/>
            <w:bottom w:w="0" w:type="dxa"/>
            <w:right w:w="108" w:type="dxa"/>
          </w:tblCellMar>
        </w:tblPrEx>
        <w:trPr>
          <w:jc w:val="center"/>
        </w:trPr>
        <w:tc>
          <w:tcPr>
            <w:tcW w:w="4320" w:type="dxa"/>
            <w:tcBorders>
              <w:top w:val="single" w:color="000000" w:sz="12" w:space="0"/>
              <w:bottom w:val="single" w:color="000000" w:sz="8" w:space="0"/>
            </w:tcBorders>
            <w:vAlign w:val="center"/>
          </w:tcPr>
          <w:p w14:paraId="40353A6D">
            <w:pPr>
              <w:spacing w:after="62"/>
              <w:ind w:firstLine="321"/>
              <w:jc w:val="center"/>
              <w:rPr>
                <w:sz w:val="13"/>
                <w:szCs w:val="13"/>
              </w:rPr>
            </w:pPr>
            <w:r>
              <w:rPr>
                <w:rFonts w:ascii="宋体" w:hAnsi="宋体"/>
                <w:b/>
                <w:sz w:val="13"/>
                <w:szCs w:val="13"/>
              </w:rPr>
              <w:t>机制设置</w:t>
            </w:r>
          </w:p>
        </w:tc>
        <w:tc>
          <w:tcPr>
            <w:tcW w:w="4320" w:type="dxa"/>
            <w:tcBorders>
              <w:top w:val="single" w:color="000000" w:sz="12" w:space="0"/>
              <w:bottom w:val="single" w:color="000000" w:sz="8" w:space="0"/>
            </w:tcBorders>
            <w:vAlign w:val="center"/>
          </w:tcPr>
          <w:p w14:paraId="1107BEFB">
            <w:pPr>
              <w:spacing w:after="62"/>
              <w:ind w:firstLine="321"/>
              <w:jc w:val="center"/>
              <w:rPr>
                <w:sz w:val="13"/>
                <w:szCs w:val="13"/>
              </w:rPr>
            </w:pPr>
            <w:r>
              <w:rPr>
                <w:rFonts w:ascii="宋体" w:hAnsi="宋体"/>
                <w:b/>
                <w:sz w:val="13"/>
                <w:szCs w:val="13"/>
              </w:rPr>
              <w:t>含义</w:t>
            </w:r>
          </w:p>
        </w:tc>
      </w:tr>
      <w:tr w14:paraId="12B3183C">
        <w:tblPrEx>
          <w:tblCellMar>
            <w:top w:w="0" w:type="dxa"/>
            <w:left w:w="108" w:type="dxa"/>
            <w:bottom w:w="0" w:type="dxa"/>
            <w:right w:w="108" w:type="dxa"/>
          </w:tblCellMar>
        </w:tblPrEx>
        <w:trPr>
          <w:jc w:val="center"/>
        </w:trPr>
        <w:tc>
          <w:tcPr>
            <w:tcW w:w="4320" w:type="dxa"/>
            <w:vAlign w:val="center"/>
          </w:tcPr>
          <w:p w14:paraId="528F3CAF">
            <w:pPr>
              <w:spacing w:after="62"/>
              <w:ind w:firstLine="320"/>
              <w:jc w:val="left"/>
              <w:rPr>
                <w:sz w:val="13"/>
                <w:szCs w:val="13"/>
              </w:rPr>
            </w:pPr>
            <w:r>
              <w:rPr>
                <w:rFonts w:ascii="宋体" w:hAnsi="宋体"/>
                <w:sz w:val="13"/>
                <w:szCs w:val="13"/>
              </w:rPr>
              <w:t>单阶段 CatBoost（无重排序）</w:t>
            </w:r>
          </w:p>
        </w:tc>
        <w:tc>
          <w:tcPr>
            <w:tcW w:w="4320" w:type="dxa"/>
            <w:vAlign w:val="center"/>
          </w:tcPr>
          <w:p w14:paraId="2F3DAC78">
            <w:pPr>
              <w:spacing w:after="62"/>
              <w:ind w:firstLine="320"/>
              <w:jc w:val="center"/>
              <w:rPr>
                <w:sz w:val="13"/>
                <w:szCs w:val="13"/>
              </w:rPr>
            </w:pPr>
            <w:r>
              <w:rPr>
                <w:rFonts w:ascii="宋体" w:hAnsi="宋体"/>
                <w:sz w:val="13"/>
                <w:szCs w:val="13"/>
              </w:rPr>
              <w:t>仅使用一阶段 CatBoost 得分，不进行二阶段修正。</w:t>
            </w:r>
          </w:p>
        </w:tc>
      </w:tr>
      <w:tr w14:paraId="1A06C5F9">
        <w:tblPrEx>
          <w:tblCellMar>
            <w:top w:w="0" w:type="dxa"/>
            <w:left w:w="108" w:type="dxa"/>
            <w:bottom w:w="0" w:type="dxa"/>
            <w:right w:w="108" w:type="dxa"/>
          </w:tblCellMar>
        </w:tblPrEx>
        <w:trPr>
          <w:jc w:val="center"/>
        </w:trPr>
        <w:tc>
          <w:tcPr>
            <w:tcW w:w="4320" w:type="dxa"/>
            <w:vAlign w:val="center"/>
          </w:tcPr>
          <w:p w14:paraId="2DD9A28E">
            <w:pPr>
              <w:spacing w:after="62"/>
              <w:ind w:firstLine="320"/>
              <w:jc w:val="left"/>
              <w:rPr>
                <w:sz w:val="13"/>
                <w:szCs w:val="13"/>
              </w:rPr>
            </w:pPr>
            <w:r>
              <w:rPr>
                <w:rFonts w:ascii="宋体" w:hAnsi="宋体"/>
                <w:sz w:val="13"/>
                <w:szCs w:val="13"/>
              </w:rPr>
              <w:t>无 Top-K 保护的边界替换</w:t>
            </w:r>
          </w:p>
        </w:tc>
        <w:tc>
          <w:tcPr>
            <w:tcW w:w="4320" w:type="dxa"/>
            <w:vAlign w:val="center"/>
          </w:tcPr>
          <w:p w14:paraId="1C0A6061">
            <w:pPr>
              <w:spacing w:after="62"/>
              <w:ind w:firstLine="320"/>
              <w:jc w:val="center"/>
              <w:rPr>
                <w:sz w:val="13"/>
                <w:szCs w:val="13"/>
              </w:rPr>
            </w:pPr>
            <w:r>
              <w:rPr>
                <w:rFonts w:ascii="宋体" w:hAnsi="宋体"/>
                <w:sz w:val="13"/>
                <w:szCs w:val="13"/>
              </w:rPr>
              <w:t>使用二阶段分数替换边界样本，但不保护头部高置信样本。</w:t>
            </w:r>
          </w:p>
        </w:tc>
      </w:tr>
      <w:tr w14:paraId="54950B82">
        <w:tblPrEx>
          <w:tblCellMar>
            <w:top w:w="0" w:type="dxa"/>
            <w:left w:w="108" w:type="dxa"/>
            <w:bottom w:w="0" w:type="dxa"/>
            <w:right w:w="108" w:type="dxa"/>
          </w:tblCellMar>
        </w:tblPrEx>
        <w:trPr>
          <w:jc w:val="center"/>
        </w:trPr>
        <w:tc>
          <w:tcPr>
            <w:tcW w:w="4320" w:type="dxa"/>
            <w:vAlign w:val="center"/>
          </w:tcPr>
          <w:p w14:paraId="6026BCAD">
            <w:pPr>
              <w:spacing w:after="62"/>
              <w:ind w:firstLine="320"/>
              <w:jc w:val="left"/>
              <w:rPr>
                <w:sz w:val="13"/>
                <w:szCs w:val="13"/>
              </w:rPr>
            </w:pPr>
            <w:r>
              <w:rPr>
                <w:rFonts w:ascii="宋体" w:hAnsi="宋体"/>
                <w:sz w:val="13"/>
                <w:szCs w:val="13"/>
              </w:rPr>
              <w:t>无候选边界限制的简单融合</w:t>
            </w:r>
          </w:p>
        </w:tc>
        <w:tc>
          <w:tcPr>
            <w:tcW w:w="4320" w:type="dxa"/>
            <w:vAlign w:val="center"/>
          </w:tcPr>
          <w:p w14:paraId="431D4BDA">
            <w:pPr>
              <w:spacing w:after="62"/>
              <w:ind w:firstLine="320"/>
              <w:jc w:val="center"/>
              <w:rPr>
                <w:sz w:val="13"/>
                <w:szCs w:val="13"/>
              </w:rPr>
            </w:pPr>
            <w:r>
              <w:rPr>
                <w:rFonts w:ascii="宋体" w:hAnsi="宋体"/>
                <w:sz w:val="13"/>
                <w:szCs w:val="13"/>
              </w:rPr>
              <w:t>直接融合一、二阶段分数，不限定候选边界区间。</w:t>
            </w:r>
          </w:p>
        </w:tc>
      </w:tr>
      <w:tr w14:paraId="6A589267">
        <w:tblPrEx>
          <w:tblCellMar>
            <w:top w:w="0" w:type="dxa"/>
            <w:left w:w="108" w:type="dxa"/>
            <w:bottom w:w="0" w:type="dxa"/>
            <w:right w:w="108" w:type="dxa"/>
          </w:tblCellMar>
        </w:tblPrEx>
        <w:trPr>
          <w:trHeight w:val="90" w:hRule="atLeast"/>
          <w:jc w:val="center"/>
        </w:trPr>
        <w:tc>
          <w:tcPr>
            <w:tcW w:w="4320" w:type="dxa"/>
            <w:vAlign w:val="center"/>
          </w:tcPr>
          <w:p w14:paraId="1CC6002D">
            <w:pPr>
              <w:spacing w:after="62"/>
              <w:ind w:firstLine="320"/>
              <w:jc w:val="left"/>
              <w:rPr>
                <w:sz w:val="13"/>
                <w:szCs w:val="13"/>
              </w:rPr>
            </w:pPr>
            <w:r>
              <w:rPr>
                <w:rFonts w:ascii="宋体" w:hAnsi="宋体"/>
                <w:sz w:val="13"/>
                <w:szCs w:val="13"/>
              </w:rPr>
              <w:t>固定级联重排序</w:t>
            </w:r>
          </w:p>
        </w:tc>
        <w:tc>
          <w:tcPr>
            <w:tcW w:w="4320" w:type="dxa"/>
            <w:vAlign w:val="center"/>
          </w:tcPr>
          <w:p w14:paraId="52406EE9">
            <w:pPr>
              <w:spacing w:after="62"/>
              <w:ind w:firstLine="320"/>
              <w:jc w:val="center"/>
              <w:rPr>
                <w:sz w:val="13"/>
                <w:szCs w:val="13"/>
              </w:rPr>
            </w:pPr>
            <w:r>
              <w:rPr>
                <w:rFonts w:ascii="宋体" w:hAnsi="宋体"/>
                <w:sz w:val="13"/>
                <w:szCs w:val="13"/>
              </w:rPr>
              <w:t>保护前100个高置信样本，在前2500个候选样本内以0.28权重融合二阶段得分。</w:t>
            </w:r>
          </w:p>
        </w:tc>
      </w:tr>
      <w:tr w14:paraId="53E9B769">
        <w:tblPrEx>
          <w:tblCellMar>
            <w:top w:w="0" w:type="dxa"/>
            <w:left w:w="108" w:type="dxa"/>
            <w:bottom w:w="0" w:type="dxa"/>
            <w:right w:w="108" w:type="dxa"/>
          </w:tblCellMar>
        </w:tblPrEx>
        <w:trPr>
          <w:jc w:val="center"/>
        </w:trPr>
        <w:tc>
          <w:tcPr>
            <w:tcW w:w="4320" w:type="dxa"/>
            <w:tcBorders>
              <w:bottom w:val="single" w:color="000000" w:sz="12" w:space="0"/>
            </w:tcBorders>
            <w:vAlign w:val="center"/>
          </w:tcPr>
          <w:p w14:paraId="69368A2B">
            <w:pPr>
              <w:spacing w:after="62"/>
              <w:ind w:firstLine="320"/>
              <w:jc w:val="left"/>
              <w:rPr>
                <w:sz w:val="13"/>
                <w:szCs w:val="13"/>
              </w:rPr>
            </w:pPr>
            <w:r>
              <w:rPr>
                <w:rFonts w:ascii="宋体" w:hAnsi="宋体"/>
                <w:sz w:val="13"/>
                <w:szCs w:val="13"/>
              </w:rPr>
              <w:t>验证集调优级联重排序</w:t>
            </w:r>
          </w:p>
        </w:tc>
        <w:tc>
          <w:tcPr>
            <w:tcW w:w="4320" w:type="dxa"/>
            <w:tcBorders>
              <w:bottom w:val="single" w:color="000000" w:sz="12" w:space="0"/>
            </w:tcBorders>
            <w:vAlign w:val="center"/>
          </w:tcPr>
          <w:p w14:paraId="4B8D2EFB">
            <w:pPr>
              <w:spacing w:after="62"/>
              <w:ind w:firstLine="320"/>
              <w:jc w:val="center"/>
              <w:rPr>
                <w:sz w:val="13"/>
                <w:szCs w:val="13"/>
              </w:rPr>
            </w:pPr>
            <w:r>
              <w:rPr>
                <w:rFonts w:ascii="宋体" w:hAnsi="宋体"/>
                <w:sz w:val="13"/>
                <w:szCs w:val="13"/>
              </w:rPr>
              <w:t>根据验证集目标函数选择的最终级联边界重排序方案。</w:t>
            </w:r>
          </w:p>
        </w:tc>
      </w:tr>
    </w:tbl>
    <w:p w14:paraId="063E347A">
      <w:pPr>
        <w:spacing w:after="62"/>
        <w:ind w:firstLine="0" w:firstLineChars="0"/>
        <w:jc w:val="center"/>
        <w:rPr>
          <w:rFonts w:ascii="宋体" w:hAnsi="宋体"/>
          <w:sz w:val="20"/>
        </w:rPr>
      </w:pPr>
    </w:p>
    <w:p w14:paraId="313419C3">
      <w:pPr>
        <w:pStyle w:val="7"/>
        <w:bidi w:val="0"/>
      </w:pPr>
      <w:r>
        <w:t>附表</w:t>
      </w:r>
      <w:r>
        <w:rPr>
          <w:rFonts w:hint="eastAsia"/>
          <w:lang w:val="en-US" w:eastAsia="zh-CN"/>
        </w:rPr>
        <w:t>A3</w:t>
      </w:r>
      <w:r>
        <w:t xml:space="preserve"> Bootstrap指标差异置信区间</w:t>
      </w:r>
    </w:p>
    <w:tbl>
      <w:tblPr>
        <w:tblStyle w:val="27"/>
        <w:tblW w:w="0" w:type="auto"/>
        <w:jc w:val="center"/>
        <w:tblLayout w:type="autofit"/>
        <w:tblCellMar>
          <w:top w:w="0" w:type="dxa"/>
          <w:left w:w="108" w:type="dxa"/>
          <w:bottom w:w="0" w:type="dxa"/>
          <w:right w:w="108" w:type="dxa"/>
        </w:tblCellMar>
      </w:tblPr>
      <w:tblGrid>
        <w:gridCol w:w="2386"/>
        <w:gridCol w:w="1077"/>
        <w:gridCol w:w="1031"/>
        <w:gridCol w:w="1031"/>
        <w:gridCol w:w="1031"/>
        <w:gridCol w:w="1007"/>
        <w:gridCol w:w="959"/>
      </w:tblGrid>
      <w:tr w14:paraId="2A1017F9">
        <w:tblPrEx>
          <w:tblCellMar>
            <w:top w:w="0" w:type="dxa"/>
            <w:left w:w="108" w:type="dxa"/>
            <w:bottom w:w="0" w:type="dxa"/>
            <w:right w:w="108" w:type="dxa"/>
          </w:tblCellMar>
        </w:tblPrEx>
        <w:trPr>
          <w:jc w:val="center"/>
        </w:trPr>
        <w:tc>
          <w:tcPr>
            <w:tcW w:w="1234" w:type="dxa"/>
            <w:tcBorders>
              <w:top w:val="single" w:color="000000" w:sz="12" w:space="0"/>
              <w:bottom w:val="single" w:color="000000" w:sz="8" w:space="0"/>
            </w:tcBorders>
            <w:vAlign w:val="center"/>
          </w:tcPr>
          <w:p w14:paraId="6A7A2EFE">
            <w:pPr>
              <w:spacing w:after="62"/>
              <w:ind w:firstLine="0" w:firstLineChars="0"/>
              <w:jc w:val="center"/>
            </w:pPr>
            <w:r>
              <w:rPr>
                <w:rFonts w:ascii="宋体" w:hAnsi="宋体"/>
                <w:b/>
                <w:sz w:val="14"/>
              </w:rPr>
              <w:t>比较</w:t>
            </w:r>
          </w:p>
        </w:tc>
        <w:tc>
          <w:tcPr>
            <w:tcW w:w="1234" w:type="dxa"/>
            <w:tcBorders>
              <w:top w:val="single" w:color="000000" w:sz="12" w:space="0"/>
              <w:bottom w:val="single" w:color="000000" w:sz="8" w:space="0"/>
            </w:tcBorders>
            <w:vAlign w:val="center"/>
          </w:tcPr>
          <w:p w14:paraId="3ED95B6E">
            <w:pPr>
              <w:spacing w:after="62"/>
              <w:ind w:firstLine="0" w:firstLineChars="0"/>
              <w:jc w:val="center"/>
            </w:pPr>
            <w:r>
              <w:rPr>
                <w:rFonts w:ascii="宋体" w:hAnsi="宋体"/>
                <w:b/>
                <w:sz w:val="14"/>
              </w:rPr>
              <w:t>指标</w:t>
            </w:r>
          </w:p>
        </w:tc>
        <w:tc>
          <w:tcPr>
            <w:tcW w:w="1234" w:type="dxa"/>
            <w:tcBorders>
              <w:top w:val="single" w:color="000000" w:sz="12" w:space="0"/>
              <w:bottom w:val="single" w:color="000000" w:sz="8" w:space="0"/>
            </w:tcBorders>
            <w:vAlign w:val="center"/>
          </w:tcPr>
          <w:p w14:paraId="14CBA971">
            <w:pPr>
              <w:spacing w:after="62"/>
              <w:ind w:firstLine="0" w:firstLineChars="0"/>
              <w:jc w:val="center"/>
            </w:pPr>
            <w:r>
              <w:rPr>
                <w:rFonts w:ascii="宋体" w:hAnsi="宋体"/>
                <w:b/>
                <w:sz w:val="14"/>
              </w:rPr>
              <w:t>均值差</w:t>
            </w:r>
          </w:p>
        </w:tc>
        <w:tc>
          <w:tcPr>
            <w:tcW w:w="1234" w:type="dxa"/>
            <w:tcBorders>
              <w:top w:val="single" w:color="000000" w:sz="12" w:space="0"/>
              <w:bottom w:val="single" w:color="000000" w:sz="8" w:space="0"/>
            </w:tcBorders>
            <w:vAlign w:val="center"/>
          </w:tcPr>
          <w:p w14:paraId="2A8C4563">
            <w:pPr>
              <w:spacing w:after="62"/>
              <w:ind w:firstLine="0" w:firstLineChars="0"/>
              <w:jc w:val="center"/>
            </w:pPr>
            <w:r>
              <w:rPr>
                <w:rFonts w:ascii="宋体" w:hAnsi="宋体"/>
                <w:b/>
                <w:sz w:val="14"/>
              </w:rPr>
              <w:t>CI下限</w:t>
            </w:r>
          </w:p>
        </w:tc>
        <w:tc>
          <w:tcPr>
            <w:tcW w:w="1234" w:type="dxa"/>
            <w:tcBorders>
              <w:top w:val="single" w:color="000000" w:sz="12" w:space="0"/>
              <w:bottom w:val="single" w:color="000000" w:sz="8" w:space="0"/>
            </w:tcBorders>
            <w:vAlign w:val="center"/>
          </w:tcPr>
          <w:p w14:paraId="6004468E">
            <w:pPr>
              <w:spacing w:after="62"/>
              <w:ind w:firstLine="0" w:firstLineChars="0"/>
              <w:jc w:val="center"/>
            </w:pPr>
            <w:r>
              <w:rPr>
                <w:rFonts w:ascii="宋体" w:hAnsi="宋体"/>
                <w:b/>
                <w:sz w:val="14"/>
              </w:rPr>
              <w:t>CI上限</w:t>
            </w:r>
          </w:p>
        </w:tc>
        <w:tc>
          <w:tcPr>
            <w:tcW w:w="1234" w:type="dxa"/>
            <w:tcBorders>
              <w:top w:val="single" w:color="000000" w:sz="12" w:space="0"/>
              <w:bottom w:val="single" w:color="000000" w:sz="8" w:space="0"/>
            </w:tcBorders>
            <w:vAlign w:val="center"/>
          </w:tcPr>
          <w:p w14:paraId="56FBA6DC">
            <w:pPr>
              <w:spacing w:after="62"/>
              <w:ind w:firstLine="0" w:firstLineChars="0"/>
              <w:jc w:val="center"/>
            </w:pPr>
            <w:r>
              <w:rPr>
                <w:rFonts w:ascii="宋体" w:hAnsi="宋体"/>
                <w:b/>
                <w:sz w:val="14"/>
              </w:rPr>
              <w:t>P(差异≤0)</w:t>
            </w:r>
          </w:p>
        </w:tc>
        <w:tc>
          <w:tcPr>
            <w:tcW w:w="1234" w:type="dxa"/>
            <w:tcBorders>
              <w:top w:val="single" w:color="000000" w:sz="12" w:space="0"/>
              <w:bottom w:val="single" w:color="000000" w:sz="8" w:space="0"/>
            </w:tcBorders>
            <w:vAlign w:val="center"/>
          </w:tcPr>
          <w:p w14:paraId="002D00A2">
            <w:pPr>
              <w:spacing w:after="62"/>
              <w:ind w:firstLine="0" w:firstLineChars="0"/>
              <w:jc w:val="center"/>
            </w:pPr>
            <w:r>
              <w:rPr>
                <w:rFonts w:ascii="宋体" w:hAnsi="宋体"/>
                <w:b/>
                <w:sz w:val="14"/>
              </w:rPr>
              <w:t>有效次数</w:t>
            </w:r>
          </w:p>
        </w:tc>
      </w:tr>
      <w:tr w14:paraId="0E4029AF">
        <w:tblPrEx>
          <w:tblCellMar>
            <w:top w:w="0" w:type="dxa"/>
            <w:left w:w="108" w:type="dxa"/>
            <w:bottom w:w="0" w:type="dxa"/>
            <w:right w:w="108" w:type="dxa"/>
          </w:tblCellMar>
        </w:tblPrEx>
        <w:trPr>
          <w:jc w:val="center"/>
        </w:trPr>
        <w:tc>
          <w:tcPr>
            <w:tcW w:w="1234" w:type="dxa"/>
            <w:vAlign w:val="center"/>
          </w:tcPr>
          <w:p w14:paraId="18FDAAE9">
            <w:pPr>
              <w:spacing w:after="62"/>
              <w:ind w:firstLine="0" w:firstLineChars="0"/>
              <w:jc w:val="left"/>
            </w:pPr>
            <w:r>
              <w:rPr>
                <w:rFonts w:ascii="宋体" w:hAnsi="宋体"/>
                <w:sz w:val="14"/>
              </w:rPr>
              <w:t>Cascaded_vs_CatBoost_BestSingle</w:t>
            </w:r>
          </w:p>
        </w:tc>
        <w:tc>
          <w:tcPr>
            <w:tcW w:w="1234" w:type="dxa"/>
            <w:vAlign w:val="center"/>
          </w:tcPr>
          <w:p w14:paraId="71FD4604">
            <w:pPr>
              <w:spacing w:after="62"/>
              <w:ind w:firstLine="0" w:firstLineChars="0"/>
              <w:jc w:val="center"/>
            </w:pPr>
            <w:r>
              <w:rPr>
                <w:rFonts w:ascii="宋体" w:hAnsi="宋体"/>
                <w:sz w:val="14"/>
              </w:rPr>
              <w:t>pr_auc</w:t>
            </w:r>
          </w:p>
        </w:tc>
        <w:tc>
          <w:tcPr>
            <w:tcW w:w="1234" w:type="dxa"/>
            <w:vAlign w:val="center"/>
          </w:tcPr>
          <w:p w14:paraId="717D9E49">
            <w:pPr>
              <w:spacing w:after="62"/>
              <w:ind w:firstLine="0" w:firstLineChars="0"/>
              <w:jc w:val="center"/>
            </w:pPr>
            <w:r>
              <w:rPr>
                <w:rFonts w:ascii="宋体" w:hAnsi="宋体"/>
                <w:sz w:val="14"/>
              </w:rPr>
              <w:t>-0.000</w:t>
            </w:r>
          </w:p>
        </w:tc>
        <w:tc>
          <w:tcPr>
            <w:tcW w:w="1234" w:type="dxa"/>
            <w:vAlign w:val="center"/>
          </w:tcPr>
          <w:p w14:paraId="5E8A244F">
            <w:pPr>
              <w:spacing w:after="62"/>
              <w:ind w:firstLine="0" w:firstLineChars="0"/>
              <w:jc w:val="center"/>
            </w:pPr>
            <w:r>
              <w:rPr>
                <w:rFonts w:ascii="宋体" w:hAnsi="宋体"/>
                <w:sz w:val="14"/>
              </w:rPr>
              <w:t>-0.001</w:t>
            </w:r>
          </w:p>
        </w:tc>
        <w:tc>
          <w:tcPr>
            <w:tcW w:w="1234" w:type="dxa"/>
            <w:vAlign w:val="center"/>
          </w:tcPr>
          <w:p w14:paraId="248D5ADC">
            <w:pPr>
              <w:spacing w:after="62"/>
              <w:ind w:firstLine="0" w:firstLineChars="0"/>
              <w:jc w:val="center"/>
            </w:pPr>
            <w:r>
              <w:rPr>
                <w:rFonts w:ascii="宋体" w:hAnsi="宋体"/>
                <w:sz w:val="14"/>
              </w:rPr>
              <w:t>0.000</w:t>
            </w:r>
          </w:p>
        </w:tc>
        <w:tc>
          <w:tcPr>
            <w:tcW w:w="1234" w:type="dxa"/>
            <w:vAlign w:val="center"/>
          </w:tcPr>
          <w:p w14:paraId="14BBC776">
            <w:pPr>
              <w:spacing w:after="62"/>
              <w:ind w:firstLine="0" w:firstLineChars="0"/>
              <w:jc w:val="center"/>
            </w:pPr>
            <w:r>
              <w:rPr>
                <w:rFonts w:ascii="宋体" w:hAnsi="宋体"/>
                <w:sz w:val="14"/>
              </w:rPr>
              <w:t>0.922</w:t>
            </w:r>
          </w:p>
        </w:tc>
        <w:tc>
          <w:tcPr>
            <w:tcW w:w="1234" w:type="dxa"/>
            <w:vAlign w:val="center"/>
          </w:tcPr>
          <w:p w14:paraId="49C3518A">
            <w:pPr>
              <w:spacing w:after="62"/>
              <w:ind w:firstLine="0" w:firstLineChars="0"/>
              <w:jc w:val="center"/>
            </w:pPr>
            <w:r>
              <w:rPr>
                <w:rFonts w:ascii="宋体" w:hAnsi="宋体"/>
                <w:sz w:val="14"/>
              </w:rPr>
              <w:t>500</w:t>
            </w:r>
          </w:p>
        </w:tc>
      </w:tr>
      <w:tr w14:paraId="081550E0">
        <w:tblPrEx>
          <w:tblCellMar>
            <w:top w:w="0" w:type="dxa"/>
            <w:left w:w="108" w:type="dxa"/>
            <w:bottom w:w="0" w:type="dxa"/>
            <w:right w:w="108" w:type="dxa"/>
          </w:tblCellMar>
        </w:tblPrEx>
        <w:trPr>
          <w:jc w:val="center"/>
        </w:trPr>
        <w:tc>
          <w:tcPr>
            <w:tcW w:w="1234" w:type="dxa"/>
            <w:vAlign w:val="center"/>
          </w:tcPr>
          <w:p w14:paraId="3427E5B2">
            <w:pPr>
              <w:spacing w:after="62"/>
              <w:ind w:firstLine="0" w:firstLineChars="0"/>
              <w:jc w:val="left"/>
            </w:pPr>
            <w:r>
              <w:rPr>
                <w:rFonts w:ascii="宋体" w:hAnsi="宋体"/>
                <w:sz w:val="14"/>
              </w:rPr>
              <w:t>Cascaded_vs_CatBoost_BestSingle</w:t>
            </w:r>
          </w:p>
        </w:tc>
        <w:tc>
          <w:tcPr>
            <w:tcW w:w="1234" w:type="dxa"/>
            <w:vAlign w:val="center"/>
          </w:tcPr>
          <w:p w14:paraId="1E89E5A9">
            <w:pPr>
              <w:spacing w:after="62"/>
              <w:ind w:firstLine="0" w:firstLineChars="0"/>
              <w:jc w:val="center"/>
            </w:pPr>
            <w:r>
              <w:rPr>
                <w:rFonts w:ascii="宋体" w:hAnsi="宋体"/>
                <w:sz w:val="14"/>
              </w:rPr>
              <w:t>roc_auc</w:t>
            </w:r>
          </w:p>
        </w:tc>
        <w:tc>
          <w:tcPr>
            <w:tcW w:w="1234" w:type="dxa"/>
            <w:vAlign w:val="center"/>
          </w:tcPr>
          <w:p w14:paraId="57094CE3">
            <w:pPr>
              <w:spacing w:after="62"/>
              <w:ind w:firstLine="0" w:firstLineChars="0"/>
              <w:jc w:val="center"/>
            </w:pPr>
            <w:r>
              <w:rPr>
                <w:rFonts w:ascii="宋体" w:hAnsi="宋体"/>
                <w:sz w:val="14"/>
              </w:rPr>
              <w:t>-0.000</w:t>
            </w:r>
          </w:p>
        </w:tc>
        <w:tc>
          <w:tcPr>
            <w:tcW w:w="1234" w:type="dxa"/>
            <w:vAlign w:val="center"/>
          </w:tcPr>
          <w:p w14:paraId="20989D06">
            <w:pPr>
              <w:spacing w:after="62"/>
              <w:ind w:firstLine="0" w:firstLineChars="0"/>
              <w:jc w:val="center"/>
            </w:pPr>
            <w:r>
              <w:rPr>
                <w:rFonts w:ascii="宋体" w:hAnsi="宋体"/>
                <w:sz w:val="14"/>
              </w:rPr>
              <w:t>-0.000</w:t>
            </w:r>
          </w:p>
        </w:tc>
        <w:tc>
          <w:tcPr>
            <w:tcW w:w="1234" w:type="dxa"/>
            <w:vAlign w:val="center"/>
          </w:tcPr>
          <w:p w14:paraId="0EF8B4E8">
            <w:pPr>
              <w:spacing w:after="62"/>
              <w:ind w:firstLine="0" w:firstLineChars="0"/>
              <w:jc w:val="center"/>
            </w:pPr>
            <w:r>
              <w:rPr>
                <w:rFonts w:ascii="宋体" w:hAnsi="宋体"/>
                <w:sz w:val="14"/>
              </w:rPr>
              <w:t>0.000</w:t>
            </w:r>
          </w:p>
        </w:tc>
        <w:tc>
          <w:tcPr>
            <w:tcW w:w="1234" w:type="dxa"/>
            <w:vAlign w:val="center"/>
          </w:tcPr>
          <w:p w14:paraId="7BE78DBB">
            <w:pPr>
              <w:spacing w:after="62"/>
              <w:ind w:firstLine="0" w:firstLineChars="0"/>
              <w:jc w:val="center"/>
            </w:pPr>
            <w:r>
              <w:rPr>
                <w:rFonts w:ascii="宋体" w:hAnsi="宋体"/>
                <w:sz w:val="14"/>
              </w:rPr>
              <w:t>0.772</w:t>
            </w:r>
          </w:p>
        </w:tc>
        <w:tc>
          <w:tcPr>
            <w:tcW w:w="1234" w:type="dxa"/>
            <w:vAlign w:val="center"/>
          </w:tcPr>
          <w:p w14:paraId="518CB803">
            <w:pPr>
              <w:spacing w:after="62"/>
              <w:ind w:firstLine="0" w:firstLineChars="0"/>
              <w:jc w:val="center"/>
            </w:pPr>
            <w:r>
              <w:rPr>
                <w:rFonts w:ascii="宋体" w:hAnsi="宋体"/>
                <w:sz w:val="14"/>
              </w:rPr>
              <w:t>500</w:t>
            </w:r>
          </w:p>
        </w:tc>
      </w:tr>
      <w:tr w14:paraId="5F064E87">
        <w:tblPrEx>
          <w:tblCellMar>
            <w:top w:w="0" w:type="dxa"/>
            <w:left w:w="108" w:type="dxa"/>
            <w:bottom w:w="0" w:type="dxa"/>
            <w:right w:w="108" w:type="dxa"/>
          </w:tblCellMar>
        </w:tblPrEx>
        <w:trPr>
          <w:jc w:val="center"/>
        </w:trPr>
        <w:tc>
          <w:tcPr>
            <w:tcW w:w="1234" w:type="dxa"/>
            <w:vAlign w:val="center"/>
          </w:tcPr>
          <w:p w14:paraId="0443B4AD">
            <w:pPr>
              <w:spacing w:after="62"/>
              <w:ind w:firstLine="0" w:firstLineChars="0"/>
              <w:jc w:val="left"/>
            </w:pPr>
            <w:r>
              <w:rPr>
                <w:rFonts w:ascii="宋体" w:hAnsi="宋体"/>
                <w:sz w:val="14"/>
              </w:rPr>
              <w:t>Cascaded_vs_CatBoost_BestSingle</w:t>
            </w:r>
          </w:p>
        </w:tc>
        <w:tc>
          <w:tcPr>
            <w:tcW w:w="1234" w:type="dxa"/>
            <w:vAlign w:val="center"/>
          </w:tcPr>
          <w:p w14:paraId="248991DB">
            <w:pPr>
              <w:spacing w:after="62"/>
              <w:ind w:firstLine="0" w:firstLineChars="0"/>
              <w:jc w:val="center"/>
            </w:pPr>
            <w:r>
              <w:rPr>
                <w:rFonts w:ascii="宋体" w:hAnsi="宋体"/>
                <w:sz w:val="14"/>
              </w:rPr>
              <w:t>p_at_500</w:t>
            </w:r>
          </w:p>
        </w:tc>
        <w:tc>
          <w:tcPr>
            <w:tcW w:w="1234" w:type="dxa"/>
            <w:vAlign w:val="center"/>
          </w:tcPr>
          <w:p w14:paraId="437F210A">
            <w:pPr>
              <w:spacing w:after="62"/>
              <w:ind w:firstLine="0" w:firstLineChars="0"/>
              <w:jc w:val="center"/>
            </w:pPr>
            <w:r>
              <w:rPr>
                <w:rFonts w:ascii="宋体" w:hAnsi="宋体"/>
                <w:sz w:val="14"/>
              </w:rPr>
              <w:t>-0.001</w:t>
            </w:r>
          </w:p>
        </w:tc>
        <w:tc>
          <w:tcPr>
            <w:tcW w:w="1234" w:type="dxa"/>
            <w:vAlign w:val="center"/>
          </w:tcPr>
          <w:p w14:paraId="25071219">
            <w:pPr>
              <w:spacing w:after="62"/>
              <w:ind w:firstLine="0" w:firstLineChars="0"/>
              <w:jc w:val="center"/>
            </w:pPr>
            <w:r>
              <w:rPr>
                <w:rFonts w:ascii="宋体" w:hAnsi="宋体"/>
                <w:sz w:val="14"/>
              </w:rPr>
              <w:t>-0.006</w:t>
            </w:r>
          </w:p>
        </w:tc>
        <w:tc>
          <w:tcPr>
            <w:tcW w:w="1234" w:type="dxa"/>
            <w:vAlign w:val="center"/>
          </w:tcPr>
          <w:p w14:paraId="1BBB8C37">
            <w:pPr>
              <w:spacing w:after="62"/>
              <w:ind w:firstLine="0" w:firstLineChars="0"/>
              <w:jc w:val="center"/>
            </w:pPr>
            <w:r>
              <w:rPr>
                <w:rFonts w:ascii="宋体" w:hAnsi="宋体"/>
                <w:sz w:val="14"/>
              </w:rPr>
              <w:t>0.004</w:t>
            </w:r>
          </w:p>
        </w:tc>
        <w:tc>
          <w:tcPr>
            <w:tcW w:w="1234" w:type="dxa"/>
            <w:vAlign w:val="center"/>
          </w:tcPr>
          <w:p w14:paraId="2795978C">
            <w:pPr>
              <w:spacing w:after="62"/>
              <w:ind w:firstLine="0" w:firstLineChars="0"/>
              <w:jc w:val="center"/>
            </w:pPr>
            <w:r>
              <w:rPr>
                <w:rFonts w:ascii="宋体" w:hAnsi="宋体"/>
                <w:sz w:val="14"/>
              </w:rPr>
              <w:t>0.832</w:t>
            </w:r>
          </w:p>
        </w:tc>
        <w:tc>
          <w:tcPr>
            <w:tcW w:w="1234" w:type="dxa"/>
            <w:vAlign w:val="center"/>
          </w:tcPr>
          <w:p w14:paraId="53A230DA">
            <w:pPr>
              <w:spacing w:after="62"/>
              <w:ind w:firstLine="0" w:firstLineChars="0"/>
              <w:jc w:val="center"/>
            </w:pPr>
            <w:r>
              <w:rPr>
                <w:rFonts w:ascii="宋体" w:hAnsi="宋体"/>
                <w:sz w:val="14"/>
              </w:rPr>
              <w:t>500</w:t>
            </w:r>
          </w:p>
        </w:tc>
      </w:tr>
      <w:tr w14:paraId="4775D454">
        <w:tblPrEx>
          <w:tblCellMar>
            <w:top w:w="0" w:type="dxa"/>
            <w:left w:w="108" w:type="dxa"/>
            <w:bottom w:w="0" w:type="dxa"/>
            <w:right w:w="108" w:type="dxa"/>
          </w:tblCellMar>
        </w:tblPrEx>
        <w:trPr>
          <w:jc w:val="center"/>
        </w:trPr>
        <w:tc>
          <w:tcPr>
            <w:tcW w:w="1234" w:type="dxa"/>
            <w:vAlign w:val="center"/>
          </w:tcPr>
          <w:p w14:paraId="520354E9">
            <w:pPr>
              <w:spacing w:after="62"/>
              <w:ind w:firstLine="0" w:firstLineChars="0"/>
              <w:jc w:val="left"/>
            </w:pPr>
            <w:r>
              <w:rPr>
                <w:rFonts w:ascii="宋体" w:hAnsi="宋体"/>
                <w:sz w:val="14"/>
              </w:rPr>
              <w:t>Cascaded_vs_CatBoost_BestSingle</w:t>
            </w:r>
          </w:p>
        </w:tc>
        <w:tc>
          <w:tcPr>
            <w:tcW w:w="1234" w:type="dxa"/>
            <w:vAlign w:val="center"/>
          </w:tcPr>
          <w:p w14:paraId="684137EF">
            <w:pPr>
              <w:spacing w:after="62"/>
              <w:ind w:firstLine="0" w:firstLineChars="0"/>
              <w:jc w:val="center"/>
            </w:pPr>
            <w:r>
              <w:rPr>
                <w:rFonts w:ascii="宋体" w:hAnsi="宋体"/>
                <w:sz w:val="14"/>
              </w:rPr>
              <w:t>r_at_500</w:t>
            </w:r>
          </w:p>
        </w:tc>
        <w:tc>
          <w:tcPr>
            <w:tcW w:w="1234" w:type="dxa"/>
            <w:vAlign w:val="center"/>
          </w:tcPr>
          <w:p w14:paraId="09211252">
            <w:pPr>
              <w:spacing w:after="62"/>
              <w:ind w:firstLine="0" w:firstLineChars="0"/>
              <w:jc w:val="center"/>
            </w:pPr>
            <w:r>
              <w:rPr>
                <w:rFonts w:ascii="宋体" w:hAnsi="宋体"/>
                <w:sz w:val="14"/>
              </w:rPr>
              <w:t>-0.001</w:t>
            </w:r>
          </w:p>
        </w:tc>
        <w:tc>
          <w:tcPr>
            <w:tcW w:w="1234" w:type="dxa"/>
            <w:vAlign w:val="center"/>
          </w:tcPr>
          <w:p w14:paraId="2AA572C7">
            <w:pPr>
              <w:spacing w:after="62"/>
              <w:ind w:firstLine="0" w:firstLineChars="0"/>
              <w:jc w:val="center"/>
            </w:pPr>
            <w:r>
              <w:rPr>
                <w:rFonts w:ascii="宋体" w:hAnsi="宋体"/>
                <w:sz w:val="14"/>
              </w:rPr>
              <w:t>-0.004</w:t>
            </w:r>
          </w:p>
        </w:tc>
        <w:tc>
          <w:tcPr>
            <w:tcW w:w="1234" w:type="dxa"/>
            <w:vAlign w:val="center"/>
          </w:tcPr>
          <w:p w14:paraId="0539E128">
            <w:pPr>
              <w:spacing w:after="62"/>
              <w:ind w:firstLine="0" w:firstLineChars="0"/>
              <w:jc w:val="center"/>
            </w:pPr>
            <w:r>
              <w:rPr>
                <w:rFonts w:ascii="宋体" w:hAnsi="宋体"/>
                <w:sz w:val="14"/>
              </w:rPr>
              <w:t>0.003</w:t>
            </w:r>
          </w:p>
        </w:tc>
        <w:tc>
          <w:tcPr>
            <w:tcW w:w="1234" w:type="dxa"/>
            <w:vAlign w:val="center"/>
          </w:tcPr>
          <w:p w14:paraId="2E284769">
            <w:pPr>
              <w:spacing w:after="62"/>
              <w:ind w:firstLine="0" w:firstLineChars="0"/>
              <w:jc w:val="center"/>
            </w:pPr>
            <w:r>
              <w:rPr>
                <w:rFonts w:ascii="宋体" w:hAnsi="宋体"/>
                <w:sz w:val="14"/>
              </w:rPr>
              <w:t>0.832</w:t>
            </w:r>
          </w:p>
        </w:tc>
        <w:tc>
          <w:tcPr>
            <w:tcW w:w="1234" w:type="dxa"/>
            <w:vAlign w:val="center"/>
          </w:tcPr>
          <w:p w14:paraId="1D2B3DE9">
            <w:pPr>
              <w:spacing w:after="62"/>
              <w:ind w:firstLine="0" w:firstLineChars="0"/>
              <w:jc w:val="center"/>
            </w:pPr>
            <w:r>
              <w:rPr>
                <w:rFonts w:ascii="宋体" w:hAnsi="宋体"/>
                <w:sz w:val="14"/>
              </w:rPr>
              <w:t>500</w:t>
            </w:r>
          </w:p>
        </w:tc>
      </w:tr>
      <w:tr w14:paraId="0591BB0E">
        <w:tblPrEx>
          <w:tblCellMar>
            <w:top w:w="0" w:type="dxa"/>
            <w:left w:w="108" w:type="dxa"/>
            <w:bottom w:w="0" w:type="dxa"/>
            <w:right w:w="108" w:type="dxa"/>
          </w:tblCellMar>
        </w:tblPrEx>
        <w:trPr>
          <w:jc w:val="center"/>
        </w:trPr>
        <w:tc>
          <w:tcPr>
            <w:tcW w:w="1234" w:type="dxa"/>
            <w:vAlign w:val="center"/>
          </w:tcPr>
          <w:p w14:paraId="63420059">
            <w:pPr>
              <w:spacing w:after="62"/>
              <w:ind w:firstLine="0" w:firstLineChars="0"/>
              <w:jc w:val="left"/>
            </w:pPr>
            <w:r>
              <w:rPr>
                <w:rFonts w:ascii="宋体" w:hAnsi="宋体"/>
                <w:sz w:val="14"/>
              </w:rPr>
              <w:t>Cascaded_vs_XGBoost_Tuned</w:t>
            </w:r>
          </w:p>
        </w:tc>
        <w:tc>
          <w:tcPr>
            <w:tcW w:w="1234" w:type="dxa"/>
            <w:vAlign w:val="center"/>
          </w:tcPr>
          <w:p w14:paraId="020CF7EB">
            <w:pPr>
              <w:spacing w:after="62"/>
              <w:ind w:firstLine="0" w:firstLineChars="0"/>
              <w:jc w:val="center"/>
            </w:pPr>
            <w:r>
              <w:rPr>
                <w:rFonts w:ascii="宋体" w:hAnsi="宋体"/>
                <w:sz w:val="14"/>
              </w:rPr>
              <w:t>pr_auc</w:t>
            </w:r>
          </w:p>
        </w:tc>
        <w:tc>
          <w:tcPr>
            <w:tcW w:w="1234" w:type="dxa"/>
            <w:vAlign w:val="center"/>
          </w:tcPr>
          <w:p w14:paraId="6E9431A8">
            <w:pPr>
              <w:spacing w:after="62"/>
              <w:ind w:firstLine="0" w:firstLineChars="0"/>
              <w:jc w:val="center"/>
            </w:pPr>
            <w:r>
              <w:rPr>
                <w:rFonts w:ascii="宋体" w:hAnsi="宋体"/>
                <w:sz w:val="14"/>
              </w:rPr>
              <w:t>-0.010</w:t>
            </w:r>
          </w:p>
        </w:tc>
        <w:tc>
          <w:tcPr>
            <w:tcW w:w="1234" w:type="dxa"/>
            <w:vAlign w:val="center"/>
          </w:tcPr>
          <w:p w14:paraId="4ED2C0F1">
            <w:pPr>
              <w:spacing w:after="62"/>
              <w:ind w:firstLine="0" w:firstLineChars="0"/>
              <w:jc w:val="center"/>
            </w:pPr>
            <w:r>
              <w:rPr>
                <w:rFonts w:ascii="宋体" w:hAnsi="宋体"/>
                <w:sz w:val="14"/>
              </w:rPr>
              <w:t>-0.015</w:t>
            </w:r>
          </w:p>
        </w:tc>
        <w:tc>
          <w:tcPr>
            <w:tcW w:w="1234" w:type="dxa"/>
            <w:vAlign w:val="center"/>
          </w:tcPr>
          <w:p w14:paraId="63DFA0C7">
            <w:pPr>
              <w:spacing w:after="62"/>
              <w:ind w:firstLine="0" w:firstLineChars="0"/>
              <w:jc w:val="center"/>
            </w:pPr>
            <w:r>
              <w:rPr>
                <w:rFonts w:ascii="宋体" w:hAnsi="宋体"/>
                <w:sz w:val="14"/>
              </w:rPr>
              <w:t>-0.004</w:t>
            </w:r>
          </w:p>
        </w:tc>
        <w:tc>
          <w:tcPr>
            <w:tcW w:w="1234" w:type="dxa"/>
            <w:vAlign w:val="center"/>
          </w:tcPr>
          <w:p w14:paraId="22071355">
            <w:pPr>
              <w:spacing w:after="62"/>
              <w:ind w:firstLine="0" w:firstLineChars="0"/>
              <w:jc w:val="center"/>
            </w:pPr>
            <w:r>
              <w:rPr>
                <w:rFonts w:ascii="宋体" w:hAnsi="宋体"/>
                <w:sz w:val="14"/>
              </w:rPr>
              <w:t>1.000</w:t>
            </w:r>
          </w:p>
        </w:tc>
        <w:tc>
          <w:tcPr>
            <w:tcW w:w="1234" w:type="dxa"/>
            <w:vAlign w:val="center"/>
          </w:tcPr>
          <w:p w14:paraId="5E338CF9">
            <w:pPr>
              <w:spacing w:after="62"/>
              <w:ind w:firstLine="0" w:firstLineChars="0"/>
              <w:jc w:val="center"/>
            </w:pPr>
            <w:r>
              <w:rPr>
                <w:rFonts w:ascii="宋体" w:hAnsi="宋体"/>
                <w:sz w:val="14"/>
              </w:rPr>
              <w:t>500</w:t>
            </w:r>
          </w:p>
        </w:tc>
      </w:tr>
      <w:tr w14:paraId="43825B17">
        <w:tblPrEx>
          <w:tblCellMar>
            <w:top w:w="0" w:type="dxa"/>
            <w:left w:w="108" w:type="dxa"/>
            <w:bottom w:w="0" w:type="dxa"/>
            <w:right w:w="108" w:type="dxa"/>
          </w:tblCellMar>
        </w:tblPrEx>
        <w:trPr>
          <w:jc w:val="center"/>
        </w:trPr>
        <w:tc>
          <w:tcPr>
            <w:tcW w:w="1234" w:type="dxa"/>
            <w:vAlign w:val="center"/>
          </w:tcPr>
          <w:p w14:paraId="7C3DA45E">
            <w:pPr>
              <w:spacing w:after="62"/>
              <w:ind w:firstLine="0" w:firstLineChars="0"/>
              <w:jc w:val="left"/>
            </w:pPr>
            <w:r>
              <w:rPr>
                <w:rFonts w:ascii="宋体" w:hAnsi="宋体"/>
                <w:sz w:val="14"/>
              </w:rPr>
              <w:t>Cascaded_vs_XGBoost_Tuned</w:t>
            </w:r>
          </w:p>
        </w:tc>
        <w:tc>
          <w:tcPr>
            <w:tcW w:w="1234" w:type="dxa"/>
            <w:vAlign w:val="center"/>
          </w:tcPr>
          <w:p w14:paraId="390C45B7">
            <w:pPr>
              <w:spacing w:after="62"/>
              <w:ind w:firstLine="0" w:firstLineChars="0"/>
              <w:jc w:val="center"/>
            </w:pPr>
            <w:r>
              <w:rPr>
                <w:rFonts w:ascii="宋体" w:hAnsi="宋体"/>
                <w:sz w:val="14"/>
              </w:rPr>
              <w:t>roc_auc</w:t>
            </w:r>
          </w:p>
        </w:tc>
        <w:tc>
          <w:tcPr>
            <w:tcW w:w="1234" w:type="dxa"/>
            <w:vAlign w:val="center"/>
          </w:tcPr>
          <w:p w14:paraId="1D1C3A3C">
            <w:pPr>
              <w:spacing w:after="62"/>
              <w:ind w:firstLine="0" w:firstLineChars="0"/>
              <w:jc w:val="center"/>
            </w:pPr>
            <w:r>
              <w:rPr>
                <w:rFonts w:ascii="宋体" w:hAnsi="宋体"/>
                <w:sz w:val="14"/>
              </w:rPr>
              <w:t>0.001</w:t>
            </w:r>
          </w:p>
        </w:tc>
        <w:tc>
          <w:tcPr>
            <w:tcW w:w="1234" w:type="dxa"/>
            <w:vAlign w:val="center"/>
          </w:tcPr>
          <w:p w14:paraId="013BDFCF">
            <w:pPr>
              <w:spacing w:after="62"/>
              <w:ind w:firstLine="0" w:firstLineChars="0"/>
              <w:jc w:val="center"/>
            </w:pPr>
            <w:r>
              <w:rPr>
                <w:rFonts w:ascii="宋体" w:hAnsi="宋体"/>
                <w:sz w:val="14"/>
              </w:rPr>
              <w:t>-0.001</w:t>
            </w:r>
          </w:p>
        </w:tc>
        <w:tc>
          <w:tcPr>
            <w:tcW w:w="1234" w:type="dxa"/>
            <w:vAlign w:val="center"/>
          </w:tcPr>
          <w:p w14:paraId="3090D857">
            <w:pPr>
              <w:spacing w:after="62"/>
              <w:ind w:firstLine="0" w:firstLineChars="0"/>
              <w:jc w:val="center"/>
            </w:pPr>
            <w:r>
              <w:rPr>
                <w:rFonts w:ascii="宋体" w:hAnsi="宋体"/>
                <w:sz w:val="14"/>
              </w:rPr>
              <w:t>0.004</w:t>
            </w:r>
          </w:p>
        </w:tc>
        <w:tc>
          <w:tcPr>
            <w:tcW w:w="1234" w:type="dxa"/>
            <w:vAlign w:val="center"/>
          </w:tcPr>
          <w:p w14:paraId="6CEB6572">
            <w:pPr>
              <w:spacing w:after="62"/>
              <w:ind w:firstLine="0" w:firstLineChars="0"/>
              <w:jc w:val="center"/>
            </w:pPr>
            <w:r>
              <w:rPr>
                <w:rFonts w:ascii="宋体" w:hAnsi="宋体"/>
                <w:sz w:val="14"/>
              </w:rPr>
              <w:t>0.110</w:t>
            </w:r>
          </w:p>
        </w:tc>
        <w:tc>
          <w:tcPr>
            <w:tcW w:w="1234" w:type="dxa"/>
            <w:vAlign w:val="center"/>
          </w:tcPr>
          <w:p w14:paraId="486FDF5D">
            <w:pPr>
              <w:spacing w:after="62"/>
              <w:ind w:firstLine="0" w:firstLineChars="0"/>
              <w:jc w:val="center"/>
            </w:pPr>
            <w:r>
              <w:rPr>
                <w:rFonts w:ascii="宋体" w:hAnsi="宋体"/>
                <w:sz w:val="14"/>
              </w:rPr>
              <w:t>500</w:t>
            </w:r>
          </w:p>
        </w:tc>
      </w:tr>
      <w:tr w14:paraId="2AA270B5">
        <w:tblPrEx>
          <w:tblCellMar>
            <w:top w:w="0" w:type="dxa"/>
            <w:left w:w="108" w:type="dxa"/>
            <w:bottom w:w="0" w:type="dxa"/>
            <w:right w:w="108" w:type="dxa"/>
          </w:tblCellMar>
        </w:tblPrEx>
        <w:trPr>
          <w:jc w:val="center"/>
        </w:trPr>
        <w:tc>
          <w:tcPr>
            <w:tcW w:w="1234" w:type="dxa"/>
            <w:vAlign w:val="center"/>
          </w:tcPr>
          <w:p w14:paraId="5979BD2F">
            <w:pPr>
              <w:spacing w:after="62"/>
              <w:ind w:firstLine="0" w:firstLineChars="0"/>
              <w:jc w:val="left"/>
            </w:pPr>
            <w:r>
              <w:rPr>
                <w:rFonts w:ascii="宋体" w:hAnsi="宋体"/>
                <w:sz w:val="14"/>
              </w:rPr>
              <w:t>Cascaded_vs_XGBoost_Tuned</w:t>
            </w:r>
          </w:p>
        </w:tc>
        <w:tc>
          <w:tcPr>
            <w:tcW w:w="1234" w:type="dxa"/>
            <w:vAlign w:val="center"/>
          </w:tcPr>
          <w:p w14:paraId="4FDBA6BA">
            <w:pPr>
              <w:spacing w:after="62"/>
              <w:ind w:firstLine="0" w:firstLineChars="0"/>
              <w:jc w:val="center"/>
            </w:pPr>
            <w:r>
              <w:rPr>
                <w:rFonts w:ascii="宋体" w:hAnsi="宋体"/>
                <w:sz w:val="14"/>
              </w:rPr>
              <w:t>p_at_500</w:t>
            </w:r>
          </w:p>
        </w:tc>
        <w:tc>
          <w:tcPr>
            <w:tcW w:w="1234" w:type="dxa"/>
            <w:vAlign w:val="center"/>
          </w:tcPr>
          <w:p w14:paraId="3E2FDE5C">
            <w:pPr>
              <w:spacing w:after="62"/>
              <w:ind w:firstLine="0" w:firstLineChars="0"/>
              <w:jc w:val="center"/>
            </w:pPr>
            <w:r>
              <w:rPr>
                <w:rFonts w:ascii="宋体" w:hAnsi="宋体"/>
                <w:sz w:val="14"/>
              </w:rPr>
              <w:t>-0.000</w:t>
            </w:r>
          </w:p>
        </w:tc>
        <w:tc>
          <w:tcPr>
            <w:tcW w:w="1234" w:type="dxa"/>
            <w:vAlign w:val="center"/>
          </w:tcPr>
          <w:p w14:paraId="5FAB7366">
            <w:pPr>
              <w:spacing w:after="62"/>
              <w:ind w:firstLine="0" w:firstLineChars="0"/>
              <w:jc w:val="center"/>
            </w:pPr>
            <w:r>
              <w:rPr>
                <w:rFonts w:ascii="宋体" w:hAnsi="宋体"/>
                <w:sz w:val="14"/>
              </w:rPr>
              <w:t>-0.014</w:t>
            </w:r>
          </w:p>
        </w:tc>
        <w:tc>
          <w:tcPr>
            <w:tcW w:w="1234" w:type="dxa"/>
            <w:vAlign w:val="center"/>
          </w:tcPr>
          <w:p w14:paraId="6B37509C">
            <w:pPr>
              <w:spacing w:after="62"/>
              <w:ind w:firstLine="0" w:firstLineChars="0"/>
              <w:jc w:val="center"/>
            </w:pPr>
            <w:r>
              <w:rPr>
                <w:rFonts w:ascii="宋体" w:hAnsi="宋体"/>
                <w:sz w:val="14"/>
              </w:rPr>
              <w:t>0.010</w:t>
            </w:r>
          </w:p>
        </w:tc>
        <w:tc>
          <w:tcPr>
            <w:tcW w:w="1234" w:type="dxa"/>
            <w:vAlign w:val="center"/>
          </w:tcPr>
          <w:p w14:paraId="07847933">
            <w:pPr>
              <w:spacing w:after="62"/>
              <w:ind w:firstLine="0" w:firstLineChars="0"/>
              <w:jc w:val="center"/>
            </w:pPr>
            <w:r>
              <w:rPr>
                <w:rFonts w:ascii="宋体" w:hAnsi="宋体"/>
                <w:sz w:val="14"/>
              </w:rPr>
              <w:t>0.580</w:t>
            </w:r>
          </w:p>
        </w:tc>
        <w:tc>
          <w:tcPr>
            <w:tcW w:w="1234" w:type="dxa"/>
            <w:vAlign w:val="center"/>
          </w:tcPr>
          <w:p w14:paraId="5E8BBB7C">
            <w:pPr>
              <w:spacing w:after="62"/>
              <w:ind w:firstLine="0" w:firstLineChars="0"/>
              <w:jc w:val="center"/>
            </w:pPr>
            <w:r>
              <w:rPr>
                <w:rFonts w:ascii="宋体" w:hAnsi="宋体"/>
                <w:sz w:val="14"/>
              </w:rPr>
              <w:t>500</w:t>
            </w:r>
          </w:p>
        </w:tc>
      </w:tr>
      <w:tr w14:paraId="76AFCF6B">
        <w:tblPrEx>
          <w:tblCellMar>
            <w:top w:w="0" w:type="dxa"/>
            <w:left w:w="108" w:type="dxa"/>
            <w:bottom w:w="0" w:type="dxa"/>
            <w:right w:w="108" w:type="dxa"/>
          </w:tblCellMar>
        </w:tblPrEx>
        <w:trPr>
          <w:jc w:val="center"/>
        </w:trPr>
        <w:tc>
          <w:tcPr>
            <w:tcW w:w="1234" w:type="dxa"/>
            <w:tcBorders>
              <w:bottom w:val="single" w:color="000000" w:sz="12" w:space="0"/>
            </w:tcBorders>
            <w:vAlign w:val="center"/>
          </w:tcPr>
          <w:p w14:paraId="663A11A9">
            <w:pPr>
              <w:spacing w:after="62"/>
              <w:ind w:firstLine="0" w:firstLineChars="0"/>
              <w:jc w:val="left"/>
            </w:pPr>
            <w:r>
              <w:rPr>
                <w:rFonts w:ascii="宋体" w:hAnsi="宋体"/>
                <w:sz w:val="14"/>
              </w:rPr>
              <w:t>Cascaded_vs_XGBoost_Tuned</w:t>
            </w:r>
          </w:p>
        </w:tc>
        <w:tc>
          <w:tcPr>
            <w:tcW w:w="1234" w:type="dxa"/>
            <w:tcBorders>
              <w:bottom w:val="single" w:color="000000" w:sz="12" w:space="0"/>
            </w:tcBorders>
            <w:vAlign w:val="center"/>
          </w:tcPr>
          <w:p w14:paraId="6E18632C">
            <w:pPr>
              <w:spacing w:after="62"/>
              <w:ind w:firstLine="0" w:firstLineChars="0"/>
              <w:jc w:val="center"/>
            </w:pPr>
            <w:r>
              <w:rPr>
                <w:rFonts w:ascii="宋体" w:hAnsi="宋体"/>
                <w:sz w:val="14"/>
              </w:rPr>
              <w:t>r_at_500</w:t>
            </w:r>
          </w:p>
        </w:tc>
        <w:tc>
          <w:tcPr>
            <w:tcW w:w="1234" w:type="dxa"/>
            <w:tcBorders>
              <w:bottom w:val="single" w:color="000000" w:sz="12" w:space="0"/>
            </w:tcBorders>
            <w:vAlign w:val="center"/>
          </w:tcPr>
          <w:p w14:paraId="77467128">
            <w:pPr>
              <w:spacing w:after="62"/>
              <w:ind w:firstLine="0" w:firstLineChars="0"/>
              <w:jc w:val="center"/>
            </w:pPr>
            <w:r>
              <w:rPr>
                <w:rFonts w:ascii="宋体" w:hAnsi="宋体"/>
                <w:sz w:val="14"/>
              </w:rPr>
              <w:t>-0.000</w:t>
            </w:r>
          </w:p>
        </w:tc>
        <w:tc>
          <w:tcPr>
            <w:tcW w:w="1234" w:type="dxa"/>
            <w:tcBorders>
              <w:bottom w:val="single" w:color="000000" w:sz="12" w:space="0"/>
            </w:tcBorders>
            <w:vAlign w:val="center"/>
          </w:tcPr>
          <w:p w14:paraId="2E3AD587">
            <w:pPr>
              <w:spacing w:after="62"/>
              <w:ind w:firstLine="0" w:firstLineChars="0"/>
              <w:jc w:val="center"/>
            </w:pPr>
            <w:r>
              <w:rPr>
                <w:rFonts w:ascii="宋体" w:hAnsi="宋体"/>
                <w:sz w:val="14"/>
              </w:rPr>
              <w:t>-0.009</w:t>
            </w:r>
          </w:p>
        </w:tc>
        <w:tc>
          <w:tcPr>
            <w:tcW w:w="1234" w:type="dxa"/>
            <w:tcBorders>
              <w:bottom w:val="single" w:color="000000" w:sz="12" w:space="0"/>
            </w:tcBorders>
            <w:vAlign w:val="center"/>
          </w:tcPr>
          <w:p w14:paraId="28620C3B">
            <w:pPr>
              <w:spacing w:after="62"/>
              <w:ind w:firstLine="0" w:firstLineChars="0"/>
              <w:jc w:val="center"/>
            </w:pPr>
            <w:r>
              <w:rPr>
                <w:rFonts w:ascii="宋体" w:hAnsi="宋体"/>
                <w:sz w:val="14"/>
              </w:rPr>
              <w:t>0.007</w:t>
            </w:r>
          </w:p>
        </w:tc>
        <w:tc>
          <w:tcPr>
            <w:tcW w:w="1234" w:type="dxa"/>
            <w:tcBorders>
              <w:bottom w:val="single" w:color="000000" w:sz="12" w:space="0"/>
            </w:tcBorders>
            <w:vAlign w:val="center"/>
          </w:tcPr>
          <w:p w14:paraId="4F2B31BA">
            <w:pPr>
              <w:spacing w:after="62"/>
              <w:ind w:firstLine="0" w:firstLineChars="0"/>
              <w:jc w:val="center"/>
            </w:pPr>
            <w:r>
              <w:rPr>
                <w:rFonts w:ascii="宋体" w:hAnsi="宋体"/>
                <w:sz w:val="14"/>
              </w:rPr>
              <w:t>0.580</w:t>
            </w:r>
          </w:p>
        </w:tc>
        <w:tc>
          <w:tcPr>
            <w:tcW w:w="1234" w:type="dxa"/>
            <w:tcBorders>
              <w:bottom w:val="single" w:color="000000" w:sz="12" w:space="0"/>
            </w:tcBorders>
            <w:vAlign w:val="center"/>
          </w:tcPr>
          <w:p w14:paraId="39791D13">
            <w:pPr>
              <w:spacing w:after="62"/>
              <w:ind w:firstLine="0" w:firstLineChars="0"/>
              <w:jc w:val="center"/>
            </w:pPr>
            <w:r>
              <w:rPr>
                <w:rFonts w:ascii="宋体" w:hAnsi="宋体"/>
                <w:sz w:val="14"/>
              </w:rPr>
              <w:t>500</w:t>
            </w:r>
          </w:p>
        </w:tc>
      </w:tr>
    </w:tbl>
    <w:p w14:paraId="520F3132">
      <w:pPr>
        <w:pStyle w:val="7"/>
        <w:bidi w:val="0"/>
      </w:pPr>
    </w:p>
    <w:p w14:paraId="292A9D59">
      <w:pPr>
        <w:pStyle w:val="7"/>
        <w:bidi w:val="0"/>
      </w:pPr>
      <w:r>
        <w:t>附表</w:t>
      </w:r>
      <w:r>
        <w:rPr>
          <w:rFonts w:hint="eastAsia"/>
          <w:lang w:val="en-US" w:eastAsia="zh-CN"/>
        </w:rPr>
        <w:t>A4</w:t>
      </w:r>
      <w:r>
        <w:t xml:space="preserve"> 可追溯性与泄漏审计摘要</w:t>
      </w:r>
    </w:p>
    <w:tbl>
      <w:tblPr>
        <w:tblStyle w:val="27"/>
        <w:tblW w:w="0" w:type="auto"/>
        <w:jc w:val="center"/>
        <w:tblLayout w:type="autofit"/>
        <w:tblCellMar>
          <w:top w:w="0" w:type="dxa"/>
          <w:left w:w="108" w:type="dxa"/>
          <w:bottom w:w="0" w:type="dxa"/>
          <w:right w:w="108" w:type="dxa"/>
        </w:tblCellMar>
      </w:tblPr>
      <w:tblGrid>
        <w:gridCol w:w="2826"/>
        <w:gridCol w:w="2832"/>
        <w:gridCol w:w="2864"/>
      </w:tblGrid>
      <w:tr w14:paraId="134DBF4A">
        <w:tblPrEx>
          <w:tblCellMar>
            <w:top w:w="0" w:type="dxa"/>
            <w:left w:w="108" w:type="dxa"/>
            <w:bottom w:w="0" w:type="dxa"/>
            <w:right w:w="108" w:type="dxa"/>
          </w:tblCellMar>
        </w:tblPrEx>
        <w:trPr>
          <w:jc w:val="center"/>
        </w:trPr>
        <w:tc>
          <w:tcPr>
            <w:tcW w:w="2880" w:type="dxa"/>
            <w:tcBorders>
              <w:top w:val="single" w:color="000000" w:sz="12" w:space="0"/>
              <w:bottom w:val="single" w:color="000000" w:sz="8" w:space="0"/>
            </w:tcBorders>
            <w:vAlign w:val="center"/>
          </w:tcPr>
          <w:p w14:paraId="45972D7C">
            <w:pPr>
              <w:spacing w:after="62"/>
              <w:ind w:firstLine="321"/>
              <w:jc w:val="center"/>
              <w:rPr>
                <w:sz w:val="13"/>
                <w:szCs w:val="13"/>
              </w:rPr>
            </w:pPr>
            <w:r>
              <w:rPr>
                <w:rFonts w:ascii="宋体" w:hAnsi="宋体"/>
                <w:b/>
                <w:sz w:val="13"/>
                <w:szCs w:val="13"/>
              </w:rPr>
              <w:t>项目</w:t>
            </w:r>
          </w:p>
        </w:tc>
        <w:tc>
          <w:tcPr>
            <w:tcW w:w="2880" w:type="dxa"/>
            <w:tcBorders>
              <w:top w:val="single" w:color="000000" w:sz="12" w:space="0"/>
              <w:bottom w:val="single" w:color="000000" w:sz="8" w:space="0"/>
            </w:tcBorders>
            <w:vAlign w:val="center"/>
          </w:tcPr>
          <w:p w14:paraId="3828AF04">
            <w:pPr>
              <w:spacing w:after="62"/>
              <w:ind w:firstLine="321"/>
              <w:jc w:val="center"/>
              <w:rPr>
                <w:sz w:val="13"/>
                <w:szCs w:val="13"/>
              </w:rPr>
            </w:pPr>
            <w:r>
              <w:rPr>
                <w:rFonts w:ascii="宋体" w:hAnsi="宋体"/>
                <w:b/>
                <w:sz w:val="13"/>
                <w:szCs w:val="13"/>
              </w:rPr>
              <w:t>数值</w:t>
            </w:r>
          </w:p>
        </w:tc>
        <w:tc>
          <w:tcPr>
            <w:tcW w:w="2880" w:type="dxa"/>
            <w:tcBorders>
              <w:top w:val="single" w:color="000000" w:sz="12" w:space="0"/>
              <w:bottom w:val="single" w:color="000000" w:sz="8" w:space="0"/>
            </w:tcBorders>
            <w:vAlign w:val="center"/>
          </w:tcPr>
          <w:p w14:paraId="33AFD142">
            <w:pPr>
              <w:spacing w:after="62"/>
              <w:ind w:firstLine="321"/>
              <w:jc w:val="center"/>
              <w:rPr>
                <w:sz w:val="13"/>
                <w:szCs w:val="13"/>
              </w:rPr>
            </w:pPr>
            <w:r>
              <w:rPr>
                <w:rFonts w:ascii="宋体" w:hAnsi="宋体"/>
                <w:b/>
                <w:sz w:val="13"/>
                <w:szCs w:val="13"/>
              </w:rPr>
              <w:t>来源/说明</w:t>
            </w:r>
          </w:p>
        </w:tc>
      </w:tr>
      <w:tr w14:paraId="4104A69D">
        <w:tblPrEx>
          <w:tblCellMar>
            <w:top w:w="0" w:type="dxa"/>
            <w:left w:w="108" w:type="dxa"/>
            <w:bottom w:w="0" w:type="dxa"/>
            <w:right w:w="108" w:type="dxa"/>
          </w:tblCellMar>
        </w:tblPrEx>
        <w:trPr>
          <w:jc w:val="center"/>
        </w:trPr>
        <w:tc>
          <w:tcPr>
            <w:tcW w:w="2880" w:type="dxa"/>
            <w:vAlign w:val="center"/>
          </w:tcPr>
          <w:p w14:paraId="4BCFA143">
            <w:pPr>
              <w:spacing w:after="62"/>
              <w:ind w:firstLine="320"/>
              <w:jc w:val="left"/>
              <w:rPr>
                <w:sz w:val="13"/>
                <w:szCs w:val="13"/>
              </w:rPr>
            </w:pPr>
            <w:r>
              <w:rPr>
                <w:rFonts w:ascii="宋体" w:hAnsi="宋体"/>
                <w:sz w:val="13"/>
                <w:szCs w:val="13"/>
              </w:rPr>
              <w:t>最终使用特征数</w:t>
            </w:r>
          </w:p>
        </w:tc>
        <w:tc>
          <w:tcPr>
            <w:tcW w:w="2880" w:type="dxa"/>
            <w:vAlign w:val="center"/>
          </w:tcPr>
          <w:p w14:paraId="7F329399">
            <w:pPr>
              <w:spacing w:after="62"/>
              <w:ind w:firstLine="320"/>
              <w:jc w:val="center"/>
              <w:rPr>
                <w:sz w:val="13"/>
                <w:szCs w:val="13"/>
              </w:rPr>
            </w:pPr>
            <w:r>
              <w:rPr>
                <w:rFonts w:ascii="宋体" w:hAnsi="宋体"/>
                <w:sz w:val="13"/>
                <w:szCs w:val="13"/>
              </w:rPr>
              <w:t>1930</w:t>
            </w:r>
          </w:p>
        </w:tc>
        <w:tc>
          <w:tcPr>
            <w:tcW w:w="2880" w:type="dxa"/>
            <w:vAlign w:val="center"/>
          </w:tcPr>
          <w:p w14:paraId="4054AEDF">
            <w:pPr>
              <w:spacing w:after="62"/>
              <w:ind w:firstLine="320"/>
              <w:jc w:val="center"/>
              <w:rPr>
                <w:sz w:val="13"/>
                <w:szCs w:val="13"/>
              </w:rPr>
            </w:pPr>
            <w:r>
              <w:rPr>
                <w:rFonts w:ascii="宋体" w:hAnsi="宋体"/>
                <w:sz w:val="13"/>
                <w:szCs w:val="13"/>
              </w:rPr>
              <w:t>正式特征集</w:t>
            </w:r>
          </w:p>
        </w:tc>
      </w:tr>
      <w:tr w14:paraId="66156E15">
        <w:tblPrEx>
          <w:tblCellMar>
            <w:top w:w="0" w:type="dxa"/>
            <w:left w:w="108" w:type="dxa"/>
            <w:bottom w:w="0" w:type="dxa"/>
            <w:right w:w="108" w:type="dxa"/>
          </w:tblCellMar>
        </w:tblPrEx>
        <w:trPr>
          <w:jc w:val="center"/>
        </w:trPr>
        <w:tc>
          <w:tcPr>
            <w:tcW w:w="2880" w:type="dxa"/>
            <w:vAlign w:val="center"/>
          </w:tcPr>
          <w:p w14:paraId="0813E9FD">
            <w:pPr>
              <w:spacing w:after="62"/>
              <w:ind w:firstLine="320"/>
              <w:jc w:val="left"/>
              <w:rPr>
                <w:sz w:val="13"/>
                <w:szCs w:val="13"/>
              </w:rPr>
            </w:pPr>
            <w:r>
              <w:rPr>
                <w:rFonts w:ascii="宋体" w:hAnsi="宋体"/>
                <w:sz w:val="13"/>
                <w:szCs w:val="13"/>
              </w:rPr>
              <w:t>疑似泄漏特征数</w:t>
            </w:r>
          </w:p>
        </w:tc>
        <w:tc>
          <w:tcPr>
            <w:tcW w:w="2880" w:type="dxa"/>
            <w:vAlign w:val="center"/>
          </w:tcPr>
          <w:p w14:paraId="248C3C90">
            <w:pPr>
              <w:spacing w:after="62"/>
              <w:ind w:firstLine="320"/>
              <w:jc w:val="center"/>
              <w:rPr>
                <w:sz w:val="13"/>
                <w:szCs w:val="13"/>
              </w:rPr>
            </w:pPr>
            <w:r>
              <w:rPr>
                <w:rFonts w:ascii="宋体" w:hAnsi="宋体"/>
                <w:sz w:val="13"/>
                <w:szCs w:val="13"/>
              </w:rPr>
              <w:t>0</w:t>
            </w:r>
          </w:p>
        </w:tc>
        <w:tc>
          <w:tcPr>
            <w:tcW w:w="2880" w:type="dxa"/>
            <w:vAlign w:val="center"/>
          </w:tcPr>
          <w:p w14:paraId="2B0988DE">
            <w:pPr>
              <w:spacing w:after="62"/>
              <w:ind w:firstLine="320"/>
              <w:jc w:val="center"/>
              <w:rPr>
                <w:sz w:val="13"/>
                <w:szCs w:val="13"/>
              </w:rPr>
            </w:pPr>
            <w:r>
              <w:rPr>
                <w:rFonts w:ascii="宋体" w:hAnsi="宋体"/>
                <w:sz w:val="13"/>
                <w:szCs w:val="13"/>
              </w:rPr>
              <w:t>feature_leakage_audit.csv</w:t>
            </w:r>
          </w:p>
        </w:tc>
      </w:tr>
      <w:tr w14:paraId="6308409E">
        <w:tblPrEx>
          <w:tblCellMar>
            <w:top w:w="0" w:type="dxa"/>
            <w:left w:w="108" w:type="dxa"/>
            <w:bottom w:w="0" w:type="dxa"/>
            <w:right w:w="108" w:type="dxa"/>
          </w:tblCellMar>
        </w:tblPrEx>
        <w:trPr>
          <w:jc w:val="center"/>
        </w:trPr>
        <w:tc>
          <w:tcPr>
            <w:tcW w:w="2880" w:type="dxa"/>
            <w:vAlign w:val="center"/>
          </w:tcPr>
          <w:p w14:paraId="63FEEFB8">
            <w:pPr>
              <w:spacing w:after="62"/>
              <w:ind w:firstLine="320"/>
              <w:jc w:val="left"/>
              <w:rPr>
                <w:sz w:val="13"/>
                <w:szCs w:val="13"/>
              </w:rPr>
            </w:pPr>
            <w:r>
              <w:rPr>
                <w:rFonts w:ascii="宋体" w:hAnsi="宋体"/>
                <w:sz w:val="13"/>
                <w:szCs w:val="13"/>
              </w:rPr>
              <w:t>样本筛选后总行数</w:t>
            </w:r>
          </w:p>
        </w:tc>
        <w:tc>
          <w:tcPr>
            <w:tcW w:w="2880" w:type="dxa"/>
            <w:vAlign w:val="center"/>
          </w:tcPr>
          <w:p w14:paraId="72BD727A">
            <w:pPr>
              <w:spacing w:after="62"/>
              <w:ind w:firstLine="320"/>
              <w:jc w:val="center"/>
              <w:rPr>
                <w:sz w:val="13"/>
                <w:szCs w:val="13"/>
              </w:rPr>
            </w:pPr>
            <w:r>
              <w:rPr>
                <w:rFonts w:ascii="宋体" w:hAnsi="宋体"/>
                <w:sz w:val="13"/>
                <w:szCs w:val="13"/>
              </w:rPr>
              <w:t>141940</w:t>
            </w:r>
          </w:p>
        </w:tc>
        <w:tc>
          <w:tcPr>
            <w:tcW w:w="2880" w:type="dxa"/>
            <w:vAlign w:val="center"/>
          </w:tcPr>
          <w:p w14:paraId="302628AC">
            <w:pPr>
              <w:spacing w:after="62"/>
              <w:ind w:firstLine="320"/>
              <w:jc w:val="center"/>
              <w:rPr>
                <w:sz w:val="13"/>
                <w:szCs w:val="13"/>
              </w:rPr>
            </w:pPr>
            <w:r>
              <w:rPr>
                <w:rFonts w:ascii="宋体" w:hAnsi="宋体"/>
                <w:sz w:val="13"/>
                <w:szCs w:val="13"/>
              </w:rPr>
              <w:t>numeric/bool predictors retained</w:t>
            </w:r>
          </w:p>
        </w:tc>
      </w:tr>
      <w:tr w14:paraId="67D60D9A">
        <w:tblPrEx>
          <w:tblCellMar>
            <w:top w:w="0" w:type="dxa"/>
            <w:left w:w="108" w:type="dxa"/>
            <w:bottom w:w="0" w:type="dxa"/>
            <w:right w:w="108" w:type="dxa"/>
          </w:tblCellMar>
        </w:tblPrEx>
        <w:trPr>
          <w:jc w:val="center"/>
        </w:trPr>
        <w:tc>
          <w:tcPr>
            <w:tcW w:w="2880" w:type="dxa"/>
            <w:tcBorders>
              <w:bottom w:val="single" w:color="000000" w:sz="12" w:space="0"/>
            </w:tcBorders>
            <w:vAlign w:val="center"/>
          </w:tcPr>
          <w:p w14:paraId="531AF292">
            <w:pPr>
              <w:spacing w:after="62"/>
              <w:ind w:firstLine="320"/>
              <w:jc w:val="left"/>
              <w:rPr>
                <w:sz w:val="13"/>
                <w:szCs w:val="13"/>
              </w:rPr>
            </w:pPr>
            <w:r>
              <w:rPr>
                <w:rFonts w:ascii="宋体" w:hAnsi="宋体"/>
                <w:sz w:val="13"/>
                <w:szCs w:val="13"/>
              </w:rPr>
              <w:t>泄漏过滤移除数</w:t>
            </w:r>
          </w:p>
        </w:tc>
        <w:tc>
          <w:tcPr>
            <w:tcW w:w="2880" w:type="dxa"/>
            <w:tcBorders>
              <w:bottom w:val="single" w:color="000000" w:sz="12" w:space="0"/>
            </w:tcBorders>
            <w:vAlign w:val="center"/>
          </w:tcPr>
          <w:p w14:paraId="7E5DDAE9">
            <w:pPr>
              <w:spacing w:after="62"/>
              <w:ind w:firstLine="320"/>
              <w:jc w:val="center"/>
              <w:rPr>
                <w:sz w:val="13"/>
                <w:szCs w:val="13"/>
              </w:rPr>
            </w:pPr>
            <w:r>
              <w:rPr>
                <w:rFonts w:ascii="宋体" w:hAnsi="宋体"/>
                <w:sz w:val="13"/>
                <w:szCs w:val="13"/>
              </w:rPr>
              <w:t>0</w:t>
            </w:r>
          </w:p>
        </w:tc>
        <w:tc>
          <w:tcPr>
            <w:tcW w:w="2880" w:type="dxa"/>
            <w:tcBorders>
              <w:bottom w:val="single" w:color="000000" w:sz="12" w:space="0"/>
            </w:tcBorders>
            <w:vAlign w:val="center"/>
          </w:tcPr>
          <w:p w14:paraId="77B5E37C">
            <w:pPr>
              <w:spacing w:after="62"/>
              <w:ind w:firstLine="320"/>
              <w:jc w:val="center"/>
              <w:rPr>
                <w:sz w:val="13"/>
                <w:szCs w:val="13"/>
              </w:rPr>
            </w:pPr>
            <w:r>
              <w:rPr>
                <w:rFonts w:ascii="宋体" w:hAnsi="宋体"/>
                <w:sz w:val="13"/>
                <w:szCs w:val="13"/>
              </w:rPr>
              <w:t>leakage_pattern_filter</w:t>
            </w:r>
          </w:p>
        </w:tc>
      </w:tr>
    </w:tbl>
    <w:p w14:paraId="52237A0D">
      <w:pPr>
        <w:spacing w:after="62"/>
        <w:ind w:firstLine="0" w:firstLineChars="0"/>
      </w:pPr>
    </w:p>
    <w:p w14:paraId="3914FF57">
      <w:pPr>
        <w:spacing w:after="62"/>
        <w:ind w:firstLine="0" w:firstLineChars="0"/>
        <w:jc w:val="both"/>
        <w:rPr>
          <w:rFonts w:ascii="宋体" w:hAnsi="宋体"/>
          <w:sz w:val="20"/>
        </w:rPr>
      </w:pPr>
    </w:p>
    <w:p w14:paraId="286314F6">
      <w:pPr>
        <w:pStyle w:val="7"/>
        <w:bidi w:val="0"/>
      </w:pPr>
      <w:r>
        <w:t>附表</w:t>
      </w:r>
      <w:r>
        <w:rPr>
          <w:rFonts w:hint="eastAsia"/>
          <w:lang w:val="en-US" w:eastAsia="zh-CN"/>
        </w:rPr>
        <w:t>A5</w:t>
      </w:r>
      <w:r>
        <w:t xml:space="preserve"> CBRM在不同审查资源规模下的风险覆盖能力</w:t>
      </w:r>
    </w:p>
    <w:tbl>
      <w:tblPr>
        <w:tblStyle w:val="27"/>
        <w:tblW w:w="0" w:type="auto"/>
        <w:jc w:val="center"/>
        <w:tblLayout w:type="autofit"/>
        <w:tblCellMar>
          <w:top w:w="0" w:type="dxa"/>
          <w:left w:w="108" w:type="dxa"/>
          <w:bottom w:w="0" w:type="dxa"/>
          <w:right w:w="108" w:type="dxa"/>
        </w:tblCellMar>
      </w:tblPr>
      <w:tblGrid>
        <w:gridCol w:w="1708"/>
        <w:gridCol w:w="1710"/>
        <w:gridCol w:w="1697"/>
        <w:gridCol w:w="1704"/>
        <w:gridCol w:w="1703"/>
      </w:tblGrid>
      <w:tr w14:paraId="50A88899">
        <w:tblPrEx>
          <w:tblCellMar>
            <w:top w:w="0" w:type="dxa"/>
            <w:left w:w="108" w:type="dxa"/>
            <w:bottom w:w="0" w:type="dxa"/>
            <w:right w:w="108" w:type="dxa"/>
          </w:tblCellMar>
        </w:tblPrEx>
        <w:trPr>
          <w:jc w:val="center"/>
        </w:trPr>
        <w:tc>
          <w:tcPr>
            <w:tcW w:w="1728" w:type="dxa"/>
            <w:tcBorders>
              <w:top w:val="single" w:color="000000" w:sz="12" w:space="0"/>
              <w:bottom w:val="single" w:color="000000" w:sz="8" w:space="0"/>
            </w:tcBorders>
            <w:vAlign w:val="center"/>
          </w:tcPr>
          <w:p w14:paraId="51DBB31D">
            <w:pPr>
              <w:spacing w:after="62"/>
              <w:ind w:firstLine="321"/>
              <w:jc w:val="center"/>
              <w:rPr>
                <w:sz w:val="13"/>
                <w:szCs w:val="13"/>
              </w:rPr>
            </w:pPr>
            <w:r>
              <w:rPr>
                <w:rFonts w:ascii="宋体" w:hAnsi="宋体"/>
                <w:b/>
                <w:sz w:val="13"/>
                <w:szCs w:val="13"/>
              </w:rPr>
              <w:t>审查规模</w:t>
            </w:r>
          </w:p>
        </w:tc>
        <w:tc>
          <w:tcPr>
            <w:tcW w:w="1728" w:type="dxa"/>
            <w:tcBorders>
              <w:top w:val="single" w:color="000000" w:sz="12" w:space="0"/>
              <w:bottom w:val="single" w:color="000000" w:sz="8" w:space="0"/>
            </w:tcBorders>
            <w:vAlign w:val="center"/>
          </w:tcPr>
          <w:p w14:paraId="7A4DFAFC">
            <w:pPr>
              <w:spacing w:after="62"/>
              <w:ind w:firstLine="321"/>
              <w:jc w:val="center"/>
              <w:rPr>
                <w:sz w:val="13"/>
                <w:szCs w:val="13"/>
              </w:rPr>
            </w:pPr>
            <w:r>
              <w:rPr>
                <w:rFonts w:ascii="宋体" w:hAnsi="宋体"/>
                <w:b/>
                <w:sz w:val="13"/>
                <w:szCs w:val="13"/>
              </w:rPr>
              <w:t>Precision</w:t>
            </w:r>
          </w:p>
        </w:tc>
        <w:tc>
          <w:tcPr>
            <w:tcW w:w="1728" w:type="dxa"/>
            <w:tcBorders>
              <w:top w:val="single" w:color="000000" w:sz="12" w:space="0"/>
              <w:bottom w:val="single" w:color="000000" w:sz="8" w:space="0"/>
            </w:tcBorders>
            <w:vAlign w:val="center"/>
          </w:tcPr>
          <w:p w14:paraId="0E498200">
            <w:pPr>
              <w:spacing w:after="62"/>
              <w:ind w:firstLine="321"/>
              <w:jc w:val="center"/>
              <w:rPr>
                <w:sz w:val="13"/>
                <w:szCs w:val="13"/>
              </w:rPr>
            </w:pPr>
            <w:r>
              <w:rPr>
                <w:rFonts w:ascii="宋体" w:hAnsi="宋体"/>
                <w:b/>
                <w:sz w:val="13"/>
                <w:szCs w:val="13"/>
              </w:rPr>
              <w:t>命中正样本</w:t>
            </w:r>
          </w:p>
        </w:tc>
        <w:tc>
          <w:tcPr>
            <w:tcW w:w="1728" w:type="dxa"/>
            <w:tcBorders>
              <w:top w:val="single" w:color="000000" w:sz="12" w:space="0"/>
              <w:bottom w:val="single" w:color="000000" w:sz="8" w:space="0"/>
            </w:tcBorders>
            <w:vAlign w:val="center"/>
          </w:tcPr>
          <w:p w14:paraId="30EF1912">
            <w:pPr>
              <w:spacing w:after="62"/>
              <w:ind w:firstLine="321"/>
              <w:jc w:val="center"/>
              <w:rPr>
                <w:sz w:val="13"/>
                <w:szCs w:val="13"/>
              </w:rPr>
            </w:pPr>
            <w:r>
              <w:rPr>
                <w:rFonts w:ascii="宋体" w:hAnsi="宋体"/>
                <w:b/>
                <w:sz w:val="13"/>
                <w:szCs w:val="13"/>
              </w:rPr>
              <w:t>Recall</w:t>
            </w:r>
          </w:p>
        </w:tc>
        <w:tc>
          <w:tcPr>
            <w:tcW w:w="1728" w:type="dxa"/>
            <w:tcBorders>
              <w:top w:val="single" w:color="000000" w:sz="12" w:space="0"/>
              <w:bottom w:val="single" w:color="000000" w:sz="8" w:space="0"/>
            </w:tcBorders>
            <w:vAlign w:val="center"/>
          </w:tcPr>
          <w:p w14:paraId="38A07085">
            <w:pPr>
              <w:spacing w:after="62"/>
              <w:ind w:firstLine="321"/>
              <w:jc w:val="center"/>
              <w:rPr>
                <w:sz w:val="13"/>
                <w:szCs w:val="13"/>
              </w:rPr>
            </w:pPr>
            <w:r>
              <w:rPr>
                <w:rFonts w:ascii="宋体" w:hAnsi="宋体"/>
                <w:b/>
                <w:sz w:val="13"/>
                <w:szCs w:val="13"/>
              </w:rPr>
              <w:t>Lift</w:t>
            </w:r>
          </w:p>
        </w:tc>
      </w:tr>
      <w:tr w14:paraId="2BF263D0">
        <w:tblPrEx>
          <w:tblCellMar>
            <w:top w:w="0" w:type="dxa"/>
            <w:left w:w="108" w:type="dxa"/>
            <w:bottom w:w="0" w:type="dxa"/>
            <w:right w:w="108" w:type="dxa"/>
          </w:tblCellMar>
        </w:tblPrEx>
        <w:trPr>
          <w:jc w:val="center"/>
        </w:trPr>
        <w:tc>
          <w:tcPr>
            <w:tcW w:w="1728" w:type="dxa"/>
            <w:vAlign w:val="center"/>
          </w:tcPr>
          <w:p w14:paraId="76F9B136">
            <w:pPr>
              <w:spacing w:after="62"/>
              <w:ind w:firstLine="320"/>
              <w:jc w:val="left"/>
              <w:rPr>
                <w:sz w:val="13"/>
                <w:szCs w:val="13"/>
              </w:rPr>
            </w:pPr>
            <w:r>
              <w:rPr>
                <w:rFonts w:ascii="宋体" w:hAnsi="宋体"/>
                <w:sz w:val="13"/>
                <w:szCs w:val="13"/>
              </w:rPr>
              <w:t>Top-50</w:t>
            </w:r>
          </w:p>
        </w:tc>
        <w:tc>
          <w:tcPr>
            <w:tcW w:w="1728" w:type="dxa"/>
            <w:vAlign w:val="center"/>
          </w:tcPr>
          <w:p w14:paraId="5D6DEA92">
            <w:pPr>
              <w:spacing w:after="62"/>
              <w:ind w:firstLine="320"/>
              <w:jc w:val="center"/>
              <w:rPr>
                <w:sz w:val="13"/>
                <w:szCs w:val="13"/>
              </w:rPr>
            </w:pPr>
            <w:r>
              <w:rPr>
                <w:rFonts w:ascii="宋体" w:hAnsi="宋体"/>
                <w:sz w:val="13"/>
                <w:szCs w:val="13"/>
              </w:rPr>
              <w:t>1.000</w:t>
            </w:r>
          </w:p>
        </w:tc>
        <w:tc>
          <w:tcPr>
            <w:tcW w:w="1728" w:type="dxa"/>
            <w:vAlign w:val="center"/>
          </w:tcPr>
          <w:p w14:paraId="2440BCEE">
            <w:pPr>
              <w:spacing w:after="62"/>
              <w:ind w:firstLine="320"/>
              <w:jc w:val="center"/>
              <w:rPr>
                <w:sz w:val="13"/>
                <w:szCs w:val="13"/>
              </w:rPr>
            </w:pPr>
            <w:r>
              <w:rPr>
                <w:rFonts w:ascii="宋体" w:hAnsi="宋体"/>
                <w:sz w:val="13"/>
                <w:szCs w:val="13"/>
              </w:rPr>
              <w:t>50</w:t>
            </w:r>
          </w:p>
        </w:tc>
        <w:tc>
          <w:tcPr>
            <w:tcW w:w="1728" w:type="dxa"/>
            <w:vAlign w:val="center"/>
          </w:tcPr>
          <w:p w14:paraId="6D337EC7">
            <w:pPr>
              <w:spacing w:after="62"/>
              <w:ind w:firstLine="320"/>
              <w:jc w:val="center"/>
              <w:rPr>
                <w:sz w:val="13"/>
                <w:szCs w:val="13"/>
              </w:rPr>
            </w:pPr>
            <w:r>
              <w:rPr>
                <w:rFonts w:ascii="宋体" w:hAnsi="宋体"/>
                <w:sz w:val="13"/>
                <w:szCs w:val="13"/>
              </w:rPr>
              <w:t>0.062</w:t>
            </w:r>
          </w:p>
        </w:tc>
        <w:tc>
          <w:tcPr>
            <w:tcW w:w="1728" w:type="dxa"/>
            <w:vAlign w:val="center"/>
          </w:tcPr>
          <w:p w14:paraId="610ED335">
            <w:pPr>
              <w:spacing w:after="62"/>
              <w:ind w:firstLine="320"/>
              <w:jc w:val="center"/>
              <w:rPr>
                <w:sz w:val="13"/>
                <w:szCs w:val="13"/>
              </w:rPr>
            </w:pPr>
            <w:r>
              <w:rPr>
                <w:rFonts w:ascii="宋体" w:hAnsi="宋体"/>
                <w:sz w:val="13"/>
                <w:szCs w:val="13"/>
              </w:rPr>
              <w:t>20.219</w:t>
            </w:r>
          </w:p>
        </w:tc>
      </w:tr>
      <w:tr w14:paraId="597E94EA">
        <w:tblPrEx>
          <w:tblCellMar>
            <w:top w:w="0" w:type="dxa"/>
            <w:left w:w="108" w:type="dxa"/>
            <w:bottom w:w="0" w:type="dxa"/>
            <w:right w:w="108" w:type="dxa"/>
          </w:tblCellMar>
        </w:tblPrEx>
        <w:trPr>
          <w:jc w:val="center"/>
        </w:trPr>
        <w:tc>
          <w:tcPr>
            <w:tcW w:w="1728" w:type="dxa"/>
            <w:vAlign w:val="center"/>
          </w:tcPr>
          <w:p w14:paraId="6D257332">
            <w:pPr>
              <w:spacing w:after="62"/>
              <w:ind w:firstLine="320"/>
              <w:jc w:val="left"/>
              <w:rPr>
                <w:sz w:val="13"/>
                <w:szCs w:val="13"/>
              </w:rPr>
            </w:pPr>
            <w:r>
              <w:rPr>
                <w:rFonts w:ascii="宋体" w:hAnsi="宋体"/>
                <w:sz w:val="13"/>
                <w:szCs w:val="13"/>
              </w:rPr>
              <w:t>Top-100</w:t>
            </w:r>
          </w:p>
        </w:tc>
        <w:tc>
          <w:tcPr>
            <w:tcW w:w="1728" w:type="dxa"/>
            <w:vAlign w:val="center"/>
          </w:tcPr>
          <w:p w14:paraId="0546FB92">
            <w:pPr>
              <w:spacing w:after="62"/>
              <w:ind w:firstLine="320"/>
              <w:jc w:val="center"/>
              <w:rPr>
                <w:sz w:val="13"/>
                <w:szCs w:val="13"/>
              </w:rPr>
            </w:pPr>
            <w:r>
              <w:rPr>
                <w:rFonts w:ascii="宋体" w:hAnsi="宋体"/>
                <w:sz w:val="13"/>
                <w:szCs w:val="13"/>
              </w:rPr>
              <w:t>1.000</w:t>
            </w:r>
          </w:p>
        </w:tc>
        <w:tc>
          <w:tcPr>
            <w:tcW w:w="1728" w:type="dxa"/>
            <w:vAlign w:val="center"/>
          </w:tcPr>
          <w:p w14:paraId="44369573">
            <w:pPr>
              <w:spacing w:after="62"/>
              <w:ind w:firstLine="320"/>
              <w:jc w:val="center"/>
              <w:rPr>
                <w:sz w:val="13"/>
                <w:szCs w:val="13"/>
              </w:rPr>
            </w:pPr>
            <w:r>
              <w:rPr>
                <w:rFonts w:ascii="宋体" w:hAnsi="宋体"/>
                <w:sz w:val="13"/>
                <w:szCs w:val="13"/>
              </w:rPr>
              <w:t>100</w:t>
            </w:r>
          </w:p>
        </w:tc>
        <w:tc>
          <w:tcPr>
            <w:tcW w:w="1728" w:type="dxa"/>
            <w:vAlign w:val="center"/>
          </w:tcPr>
          <w:p w14:paraId="15D54F98">
            <w:pPr>
              <w:spacing w:after="62"/>
              <w:ind w:firstLine="320"/>
              <w:jc w:val="center"/>
              <w:rPr>
                <w:sz w:val="13"/>
                <w:szCs w:val="13"/>
              </w:rPr>
            </w:pPr>
            <w:r>
              <w:rPr>
                <w:rFonts w:ascii="宋体" w:hAnsi="宋体"/>
                <w:sz w:val="13"/>
                <w:szCs w:val="13"/>
              </w:rPr>
              <w:t>0.125</w:t>
            </w:r>
          </w:p>
        </w:tc>
        <w:tc>
          <w:tcPr>
            <w:tcW w:w="1728" w:type="dxa"/>
            <w:vAlign w:val="center"/>
          </w:tcPr>
          <w:p w14:paraId="6BEAD7A4">
            <w:pPr>
              <w:spacing w:after="62"/>
              <w:ind w:firstLine="320"/>
              <w:jc w:val="center"/>
              <w:rPr>
                <w:sz w:val="13"/>
                <w:szCs w:val="13"/>
              </w:rPr>
            </w:pPr>
            <w:r>
              <w:rPr>
                <w:rFonts w:ascii="宋体" w:hAnsi="宋体"/>
                <w:sz w:val="13"/>
                <w:szCs w:val="13"/>
              </w:rPr>
              <w:t>20.219</w:t>
            </w:r>
          </w:p>
        </w:tc>
      </w:tr>
      <w:tr w14:paraId="4753A10F">
        <w:tblPrEx>
          <w:tblCellMar>
            <w:top w:w="0" w:type="dxa"/>
            <w:left w:w="108" w:type="dxa"/>
            <w:bottom w:w="0" w:type="dxa"/>
            <w:right w:w="108" w:type="dxa"/>
          </w:tblCellMar>
        </w:tblPrEx>
        <w:trPr>
          <w:jc w:val="center"/>
        </w:trPr>
        <w:tc>
          <w:tcPr>
            <w:tcW w:w="1728" w:type="dxa"/>
            <w:vAlign w:val="center"/>
          </w:tcPr>
          <w:p w14:paraId="2C4ECC99">
            <w:pPr>
              <w:spacing w:after="62"/>
              <w:ind w:firstLine="320"/>
              <w:jc w:val="left"/>
              <w:rPr>
                <w:sz w:val="13"/>
                <w:szCs w:val="13"/>
              </w:rPr>
            </w:pPr>
            <w:r>
              <w:rPr>
                <w:rFonts w:ascii="宋体" w:hAnsi="宋体"/>
                <w:sz w:val="13"/>
                <w:szCs w:val="13"/>
              </w:rPr>
              <w:t>Top-200</w:t>
            </w:r>
          </w:p>
        </w:tc>
        <w:tc>
          <w:tcPr>
            <w:tcW w:w="1728" w:type="dxa"/>
            <w:vAlign w:val="center"/>
          </w:tcPr>
          <w:p w14:paraId="1C5769B6">
            <w:pPr>
              <w:spacing w:after="62"/>
              <w:ind w:firstLine="320"/>
              <w:jc w:val="center"/>
              <w:rPr>
                <w:sz w:val="13"/>
                <w:szCs w:val="13"/>
              </w:rPr>
            </w:pPr>
            <w:r>
              <w:rPr>
                <w:rFonts w:ascii="宋体" w:hAnsi="宋体"/>
                <w:sz w:val="13"/>
                <w:szCs w:val="13"/>
              </w:rPr>
              <w:t>1.000</w:t>
            </w:r>
          </w:p>
        </w:tc>
        <w:tc>
          <w:tcPr>
            <w:tcW w:w="1728" w:type="dxa"/>
            <w:vAlign w:val="center"/>
          </w:tcPr>
          <w:p w14:paraId="1D805101">
            <w:pPr>
              <w:spacing w:after="62"/>
              <w:ind w:firstLine="320"/>
              <w:jc w:val="center"/>
              <w:rPr>
                <w:sz w:val="13"/>
                <w:szCs w:val="13"/>
              </w:rPr>
            </w:pPr>
            <w:r>
              <w:rPr>
                <w:rFonts w:ascii="宋体" w:hAnsi="宋体"/>
                <w:sz w:val="13"/>
                <w:szCs w:val="13"/>
              </w:rPr>
              <w:t>200</w:t>
            </w:r>
          </w:p>
        </w:tc>
        <w:tc>
          <w:tcPr>
            <w:tcW w:w="1728" w:type="dxa"/>
            <w:vAlign w:val="center"/>
          </w:tcPr>
          <w:p w14:paraId="61B888B9">
            <w:pPr>
              <w:spacing w:after="62"/>
              <w:ind w:firstLine="320"/>
              <w:jc w:val="center"/>
              <w:rPr>
                <w:sz w:val="13"/>
                <w:szCs w:val="13"/>
              </w:rPr>
            </w:pPr>
            <w:r>
              <w:rPr>
                <w:rFonts w:ascii="宋体" w:hAnsi="宋体"/>
                <w:sz w:val="13"/>
                <w:szCs w:val="13"/>
              </w:rPr>
              <w:t>0.250</w:t>
            </w:r>
          </w:p>
        </w:tc>
        <w:tc>
          <w:tcPr>
            <w:tcW w:w="1728" w:type="dxa"/>
            <w:vAlign w:val="center"/>
          </w:tcPr>
          <w:p w14:paraId="58A55C7C">
            <w:pPr>
              <w:spacing w:after="62"/>
              <w:ind w:firstLine="320"/>
              <w:jc w:val="center"/>
              <w:rPr>
                <w:sz w:val="13"/>
                <w:szCs w:val="13"/>
              </w:rPr>
            </w:pPr>
            <w:r>
              <w:rPr>
                <w:rFonts w:ascii="宋体" w:hAnsi="宋体"/>
                <w:sz w:val="13"/>
                <w:szCs w:val="13"/>
              </w:rPr>
              <w:t>20.219</w:t>
            </w:r>
          </w:p>
        </w:tc>
      </w:tr>
      <w:tr w14:paraId="18A46293">
        <w:tblPrEx>
          <w:tblCellMar>
            <w:top w:w="0" w:type="dxa"/>
            <w:left w:w="108" w:type="dxa"/>
            <w:bottom w:w="0" w:type="dxa"/>
            <w:right w:w="108" w:type="dxa"/>
          </w:tblCellMar>
        </w:tblPrEx>
        <w:trPr>
          <w:jc w:val="center"/>
        </w:trPr>
        <w:tc>
          <w:tcPr>
            <w:tcW w:w="1728" w:type="dxa"/>
            <w:vAlign w:val="center"/>
          </w:tcPr>
          <w:p w14:paraId="21681DB1">
            <w:pPr>
              <w:spacing w:after="62"/>
              <w:ind w:firstLine="320"/>
              <w:jc w:val="left"/>
              <w:rPr>
                <w:sz w:val="13"/>
                <w:szCs w:val="13"/>
              </w:rPr>
            </w:pPr>
            <w:r>
              <w:rPr>
                <w:rFonts w:ascii="宋体" w:hAnsi="宋体"/>
                <w:sz w:val="13"/>
                <w:szCs w:val="13"/>
              </w:rPr>
              <w:t>Top-300</w:t>
            </w:r>
          </w:p>
        </w:tc>
        <w:tc>
          <w:tcPr>
            <w:tcW w:w="1728" w:type="dxa"/>
            <w:vAlign w:val="center"/>
          </w:tcPr>
          <w:p w14:paraId="4A727D67">
            <w:pPr>
              <w:spacing w:after="62"/>
              <w:ind w:firstLine="320"/>
              <w:jc w:val="center"/>
              <w:rPr>
                <w:sz w:val="13"/>
                <w:szCs w:val="13"/>
              </w:rPr>
            </w:pPr>
            <w:r>
              <w:rPr>
                <w:rFonts w:ascii="宋体" w:hAnsi="宋体"/>
                <w:sz w:val="13"/>
                <w:szCs w:val="13"/>
              </w:rPr>
              <w:t>0.987</w:t>
            </w:r>
          </w:p>
        </w:tc>
        <w:tc>
          <w:tcPr>
            <w:tcW w:w="1728" w:type="dxa"/>
            <w:vAlign w:val="center"/>
          </w:tcPr>
          <w:p w14:paraId="2C9C3E80">
            <w:pPr>
              <w:spacing w:after="62"/>
              <w:ind w:firstLine="320"/>
              <w:jc w:val="center"/>
              <w:rPr>
                <w:sz w:val="13"/>
                <w:szCs w:val="13"/>
              </w:rPr>
            </w:pPr>
            <w:r>
              <w:rPr>
                <w:rFonts w:ascii="宋体" w:hAnsi="宋体"/>
                <w:sz w:val="13"/>
                <w:szCs w:val="13"/>
              </w:rPr>
              <w:t>296</w:t>
            </w:r>
          </w:p>
        </w:tc>
        <w:tc>
          <w:tcPr>
            <w:tcW w:w="1728" w:type="dxa"/>
            <w:vAlign w:val="center"/>
          </w:tcPr>
          <w:p w14:paraId="3DB71E22">
            <w:pPr>
              <w:spacing w:after="62"/>
              <w:ind w:firstLine="320"/>
              <w:jc w:val="center"/>
              <w:rPr>
                <w:sz w:val="13"/>
                <w:szCs w:val="13"/>
              </w:rPr>
            </w:pPr>
            <w:r>
              <w:rPr>
                <w:rFonts w:ascii="宋体" w:hAnsi="宋体"/>
                <w:sz w:val="13"/>
                <w:szCs w:val="13"/>
              </w:rPr>
              <w:t>0.370</w:t>
            </w:r>
          </w:p>
        </w:tc>
        <w:tc>
          <w:tcPr>
            <w:tcW w:w="1728" w:type="dxa"/>
            <w:vAlign w:val="center"/>
          </w:tcPr>
          <w:p w14:paraId="44BB269A">
            <w:pPr>
              <w:spacing w:after="62"/>
              <w:ind w:firstLine="320"/>
              <w:jc w:val="center"/>
              <w:rPr>
                <w:sz w:val="13"/>
                <w:szCs w:val="13"/>
              </w:rPr>
            </w:pPr>
            <w:r>
              <w:rPr>
                <w:rFonts w:ascii="宋体" w:hAnsi="宋体"/>
                <w:sz w:val="13"/>
                <w:szCs w:val="13"/>
              </w:rPr>
              <w:t>19.949</w:t>
            </w:r>
          </w:p>
        </w:tc>
      </w:tr>
      <w:tr w14:paraId="4119DC77">
        <w:tblPrEx>
          <w:tblCellMar>
            <w:top w:w="0" w:type="dxa"/>
            <w:left w:w="108" w:type="dxa"/>
            <w:bottom w:w="0" w:type="dxa"/>
            <w:right w:w="108" w:type="dxa"/>
          </w:tblCellMar>
        </w:tblPrEx>
        <w:trPr>
          <w:jc w:val="center"/>
        </w:trPr>
        <w:tc>
          <w:tcPr>
            <w:tcW w:w="1728" w:type="dxa"/>
            <w:vAlign w:val="center"/>
          </w:tcPr>
          <w:p w14:paraId="47A04AD4">
            <w:pPr>
              <w:spacing w:after="62"/>
              <w:ind w:firstLine="320"/>
              <w:jc w:val="left"/>
              <w:rPr>
                <w:sz w:val="13"/>
                <w:szCs w:val="13"/>
              </w:rPr>
            </w:pPr>
            <w:r>
              <w:rPr>
                <w:rFonts w:ascii="宋体" w:hAnsi="宋体"/>
                <w:sz w:val="13"/>
                <w:szCs w:val="13"/>
              </w:rPr>
              <w:t>Top-500</w:t>
            </w:r>
          </w:p>
        </w:tc>
        <w:tc>
          <w:tcPr>
            <w:tcW w:w="1728" w:type="dxa"/>
            <w:vAlign w:val="center"/>
          </w:tcPr>
          <w:p w14:paraId="11337737">
            <w:pPr>
              <w:spacing w:after="62"/>
              <w:ind w:firstLine="320"/>
              <w:jc w:val="center"/>
              <w:rPr>
                <w:sz w:val="13"/>
                <w:szCs w:val="13"/>
              </w:rPr>
            </w:pPr>
            <w:r>
              <w:rPr>
                <w:rFonts w:ascii="宋体" w:hAnsi="宋体"/>
                <w:sz w:val="13"/>
                <w:szCs w:val="13"/>
              </w:rPr>
              <w:t>0.972</w:t>
            </w:r>
          </w:p>
        </w:tc>
        <w:tc>
          <w:tcPr>
            <w:tcW w:w="1728" w:type="dxa"/>
            <w:vAlign w:val="center"/>
          </w:tcPr>
          <w:p w14:paraId="0C1DA1C0">
            <w:pPr>
              <w:spacing w:after="62"/>
              <w:ind w:firstLine="320"/>
              <w:jc w:val="center"/>
              <w:rPr>
                <w:sz w:val="13"/>
                <w:szCs w:val="13"/>
              </w:rPr>
            </w:pPr>
            <w:r>
              <w:rPr>
                <w:rFonts w:ascii="宋体" w:hAnsi="宋体"/>
                <w:sz w:val="13"/>
                <w:szCs w:val="13"/>
              </w:rPr>
              <w:t>486</w:t>
            </w:r>
          </w:p>
        </w:tc>
        <w:tc>
          <w:tcPr>
            <w:tcW w:w="1728" w:type="dxa"/>
            <w:vAlign w:val="center"/>
          </w:tcPr>
          <w:p w14:paraId="5D2B8AD1">
            <w:pPr>
              <w:spacing w:after="62"/>
              <w:ind w:firstLine="320"/>
              <w:jc w:val="center"/>
              <w:rPr>
                <w:sz w:val="13"/>
                <w:szCs w:val="13"/>
              </w:rPr>
            </w:pPr>
            <w:r>
              <w:rPr>
                <w:rFonts w:ascii="宋体" w:hAnsi="宋体"/>
                <w:sz w:val="13"/>
                <w:szCs w:val="13"/>
              </w:rPr>
              <w:t>0.608</w:t>
            </w:r>
          </w:p>
        </w:tc>
        <w:tc>
          <w:tcPr>
            <w:tcW w:w="1728" w:type="dxa"/>
            <w:vAlign w:val="center"/>
          </w:tcPr>
          <w:p w14:paraId="5EC7A65D">
            <w:pPr>
              <w:spacing w:after="62"/>
              <w:ind w:firstLine="320"/>
              <w:jc w:val="center"/>
              <w:rPr>
                <w:sz w:val="13"/>
                <w:szCs w:val="13"/>
              </w:rPr>
            </w:pPr>
            <w:r>
              <w:rPr>
                <w:rFonts w:ascii="宋体" w:hAnsi="宋体"/>
                <w:sz w:val="13"/>
                <w:szCs w:val="13"/>
              </w:rPr>
              <w:t>19.653</w:t>
            </w:r>
          </w:p>
        </w:tc>
      </w:tr>
      <w:tr w14:paraId="7E4228FC">
        <w:tblPrEx>
          <w:tblCellMar>
            <w:top w:w="0" w:type="dxa"/>
            <w:left w:w="108" w:type="dxa"/>
            <w:bottom w:w="0" w:type="dxa"/>
            <w:right w:w="108" w:type="dxa"/>
          </w:tblCellMar>
        </w:tblPrEx>
        <w:trPr>
          <w:jc w:val="center"/>
        </w:trPr>
        <w:tc>
          <w:tcPr>
            <w:tcW w:w="1728" w:type="dxa"/>
            <w:vAlign w:val="center"/>
          </w:tcPr>
          <w:p w14:paraId="52F2E107">
            <w:pPr>
              <w:spacing w:after="62"/>
              <w:ind w:firstLine="320"/>
              <w:jc w:val="left"/>
              <w:rPr>
                <w:sz w:val="13"/>
                <w:szCs w:val="13"/>
              </w:rPr>
            </w:pPr>
            <w:r>
              <w:rPr>
                <w:rFonts w:ascii="宋体" w:hAnsi="宋体"/>
                <w:sz w:val="13"/>
                <w:szCs w:val="13"/>
              </w:rPr>
              <w:t>Top-1000</w:t>
            </w:r>
          </w:p>
        </w:tc>
        <w:tc>
          <w:tcPr>
            <w:tcW w:w="1728" w:type="dxa"/>
            <w:vAlign w:val="center"/>
          </w:tcPr>
          <w:p w14:paraId="3FCE2B07">
            <w:pPr>
              <w:spacing w:after="62"/>
              <w:ind w:firstLine="320"/>
              <w:jc w:val="center"/>
              <w:rPr>
                <w:sz w:val="13"/>
                <w:szCs w:val="13"/>
              </w:rPr>
            </w:pPr>
            <w:r>
              <w:rPr>
                <w:rFonts w:ascii="宋体" w:hAnsi="宋体"/>
                <w:sz w:val="13"/>
                <w:szCs w:val="13"/>
              </w:rPr>
              <w:t>0.623</w:t>
            </w:r>
          </w:p>
        </w:tc>
        <w:tc>
          <w:tcPr>
            <w:tcW w:w="1728" w:type="dxa"/>
            <w:vAlign w:val="center"/>
          </w:tcPr>
          <w:p w14:paraId="68EBA269">
            <w:pPr>
              <w:spacing w:after="62"/>
              <w:ind w:firstLine="320"/>
              <w:jc w:val="center"/>
              <w:rPr>
                <w:sz w:val="13"/>
                <w:szCs w:val="13"/>
              </w:rPr>
            </w:pPr>
            <w:r>
              <w:rPr>
                <w:rFonts w:ascii="宋体" w:hAnsi="宋体"/>
                <w:sz w:val="13"/>
                <w:szCs w:val="13"/>
              </w:rPr>
              <w:t>623</w:t>
            </w:r>
          </w:p>
        </w:tc>
        <w:tc>
          <w:tcPr>
            <w:tcW w:w="1728" w:type="dxa"/>
            <w:vAlign w:val="center"/>
          </w:tcPr>
          <w:p w14:paraId="688A7C42">
            <w:pPr>
              <w:spacing w:after="62"/>
              <w:ind w:firstLine="320"/>
              <w:jc w:val="center"/>
              <w:rPr>
                <w:sz w:val="13"/>
                <w:szCs w:val="13"/>
              </w:rPr>
            </w:pPr>
            <w:r>
              <w:rPr>
                <w:rFonts w:ascii="宋体" w:hAnsi="宋体"/>
                <w:sz w:val="13"/>
                <w:szCs w:val="13"/>
              </w:rPr>
              <w:t>0.779</w:t>
            </w:r>
          </w:p>
        </w:tc>
        <w:tc>
          <w:tcPr>
            <w:tcW w:w="1728" w:type="dxa"/>
            <w:vAlign w:val="center"/>
          </w:tcPr>
          <w:p w14:paraId="0853AF2C">
            <w:pPr>
              <w:spacing w:after="62"/>
              <w:ind w:firstLine="320"/>
              <w:jc w:val="center"/>
              <w:rPr>
                <w:sz w:val="13"/>
                <w:szCs w:val="13"/>
              </w:rPr>
            </w:pPr>
            <w:r>
              <w:rPr>
                <w:rFonts w:ascii="宋体" w:hAnsi="宋体"/>
                <w:sz w:val="13"/>
                <w:szCs w:val="13"/>
              </w:rPr>
              <w:t>12.596</w:t>
            </w:r>
          </w:p>
        </w:tc>
      </w:tr>
      <w:tr w14:paraId="773F8DF6">
        <w:tblPrEx>
          <w:tblCellMar>
            <w:top w:w="0" w:type="dxa"/>
            <w:left w:w="108" w:type="dxa"/>
            <w:bottom w:w="0" w:type="dxa"/>
            <w:right w:w="108" w:type="dxa"/>
          </w:tblCellMar>
        </w:tblPrEx>
        <w:trPr>
          <w:jc w:val="center"/>
        </w:trPr>
        <w:tc>
          <w:tcPr>
            <w:tcW w:w="1728" w:type="dxa"/>
            <w:tcBorders>
              <w:bottom w:val="single" w:color="000000" w:sz="12" w:space="0"/>
            </w:tcBorders>
            <w:vAlign w:val="center"/>
          </w:tcPr>
          <w:p w14:paraId="1BA45359">
            <w:pPr>
              <w:spacing w:after="62"/>
              <w:ind w:firstLine="320"/>
              <w:jc w:val="left"/>
              <w:rPr>
                <w:sz w:val="13"/>
                <w:szCs w:val="13"/>
              </w:rPr>
            </w:pPr>
            <w:r>
              <w:rPr>
                <w:rFonts w:ascii="宋体" w:hAnsi="宋体"/>
                <w:sz w:val="13"/>
                <w:szCs w:val="13"/>
              </w:rPr>
              <w:t>Top-2000</w:t>
            </w:r>
          </w:p>
        </w:tc>
        <w:tc>
          <w:tcPr>
            <w:tcW w:w="1728" w:type="dxa"/>
            <w:tcBorders>
              <w:bottom w:val="single" w:color="000000" w:sz="12" w:space="0"/>
            </w:tcBorders>
            <w:vAlign w:val="center"/>
          </w:tcPr>
          <w:p w14:paraId="62CF40A0">
            <w:pPr>
              <w:spacing w:after="62"/>
              <w:ind w:firstLine="320"/>
              <w:jc w:val="center"/>
              <w:rPr>
                <w:sz w:val="13"/>
                <w:szCs w:val="13"/>
              </w:rPr>
            </w:pPr>
            <w:r>
              <w:rPr>
                <w:rFonts w:ascii="宋体" w:hAnsi="宋体"/>
                <w:sz w:val="13"/>
                <w:szCs w:val="13"/>
              </w:rPr>
              <w:t>0.355</w:t>
            </w:r>
          </w:p>
        </w:tc>
        <w:tc>
          <w:tcPr>
            <w:tcW w:w="1728" w:type="dxa"/>
            <w:tcBorders>
              <w:bottom w:val="single" w:color="000000" w:sz="12" w:space="0"/>
            </w:tcBorders>
            <w:vAlign w:val="center"/>
          </w:tcPr>
          <w:p w14:paraId="4B1E3874">
            <w:pPr>
              <w:spacing w:after="62"/>
              <w:ind w:firstLine="320"/>
              <w:jc w:val="center"/>
              <w:rPr>
                <w:sz w:val="13"/>
                <w:szCs w:val="13"/>
              </w:rPr>
            </w:pPr>
            <w:r>
              <w:rPr>
                <w:rFonts w:ascii="宋体" w:hAnsi="宋体"/>
                <w:sz w:val="13"/>
                <w:szCs w:val="13"/>
              </w:rPr>
              <w:t>711</w:t>
            </w:r>
          </w:p>
        </w:tc>
        <w:tc>
          <w:tcPr>
            <w:tcW w:w="1728" w:type="dxa"/>
            <w:tcBorders>
              <w:bottom w:val="single" w:color="000000" w:sz="12" w:space="0"/>
            </w:tcBorders>
            <w:vAlign w:val="center"/>
          </w:tcPr>
          <w:p w14:paraId="131D2E22">
            <w:pPr>
              <w:spacing w:after="62"/>
              <w:ind w:firstLine="320"/>
              <w:jc w:val="center"/>
              <w:rPr>
                <w:sz w:val="13"/>
                <w:szCs w:val="13"/>
              </w:rPr>
            </w:pPr>
            <w:r>
              <w:rPr>
                <w:rFonts w:ascii="宋体" w:hAnsi="宋体"/>
                <w:sz w:val="13"/>
                <w:szCs w:val="13"/>
              </w:rPr>
              <w:t>0.889</w:t>
            </w:r>
          </w:p>
        </w:tc>
        <w:tc>
          <w:tcPr>
            <w:tcW w:w="1728" w:type="dxa"/>
            <w:tcBorders>
              <w:bottom w:val="single" w:color="000000" w:sz="12" w:space="0"/>
            </w:tcBorders>
            <w:vAlign w:val="center"/>
          </w:tcPr>
          <w:p w14:paraId="16AC2B5B">
            <w:pPr>
              <w:spacing w:after="62"/>
              <w:ind w:firstLine="320"/>
              <w:jc w:val="center"/>
              <w:rPr>
                <w:sz w:val="13"/>
                <w:szCs w:val="13"/>
              </w:rPr>
            </w:pPr>
            <w:r>
              <w:rPr>
                <w:rFonts w:ascii="宋体" w:hAnsi="宋体"/>
                <w:sz w:val="13"/>
                <w:szCs w:val="13"/>
              </w:rPr>
              <w:t>7.188</w:t>
            </w:r>
          </w:p>
        </w:tc>
      </w:tr>
    </w:tbl>
    <w:p w14:paraId="7EFBAFEC">
      <w:pPr>
        <w:spacing w:after="62"/>
        <w:ind w:firstLine="0" w:firstLineChars="0"/>
        <w:jc w:val="center"/>
        <w:rPr>
          <w:rFonts w:ascii="宋体" w:hAnsi="宋体"/>
          <w:sz w:val="20"/>
        </w:rPr>
      </w:pPr>
    </w:p>
    <w:p w14:paraId="7FA8DD2E">
      <w:pPr>
        <w:spacing w:after="62"/>
        <w:ind w:firstLine="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宋">
    <w:altName w:val="宋体"/>
    <w:panose1 w:val="00000000000000000000"/>
    <w:charset w:val="00"/>
    <w:family w:val="auto"/>
    <w:pitch w:val="default"/>
    <w:sig w:usb0="00000000" w:usb1="00000000" w:usb2="00000000" w:usb3="00000000" w:csb0="00000000"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i">
    <w:altName w:val="ESRI AMFM Electric"/>
    <w:panose1 w:val="00000000000000000000"/>
    <w:charset w:val="00"/>
    <w:family w:val="auto"/>
    <w:pitch w:val="default"/>
    <w:sig w:usb0="00000000" w:usb1="00000000" w:usb2="00000000" w:usb3="00000000" w:csb0="00000000" w:csb1="00000000"/>
  </w:font>
  <w:font w:name="Tiger">
    <w:panose1 w:val="02070300020205020404"/>
    <w:charset w:val="00"/>
    <w:family w:val="auto"/>
    <w:pitch w:val="default"/>
    <w:sig w:usb0="A00003AF" w:usb1="100078FF" w:usb2="00000000" w:usb3="00000000" w:csb0="6000019F" w:csb1="DFF70000"/>
  </w:font>
  <w:font w:name="Tiime">
    <w:altName w:val="ESRI AMFM Electric"/>
    <w:panose1 w:val="00000000000000000000"/>
    <w:charset w:val="00"/>
    <w:family w:val="auto"/>
    <w:pitch w:val="default"/>
    <w:sig w:usb0="00000000" w:usb1="00000000" w:usb2="00000000" w:usb3="00000000" w:csb0="00000000" w:csb1="00000000"/>
  </w:font>
  <w:font w:name="Tiim">
    <w:altName w:val="ESRI AMFM Electric"/>
    <w:panose1 w:val="00000000000000000000"/>
    <w:charset w:val="00"/>
    <w:family w:val="auto"/>
    <w:pitch w:val="default"/>
    <w:sig w:usb0="00000000" w:usb1="00000000" w:usb2="00000000" w:usb3="00000000" w:csb0="00000000" w:csb1="00000000"/>
  </w:font>
  <w:font w:name="Tii">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left="0" w:firstLine="0"/>
      </w:pPr>
      <w:rPr>
        <w:rFonts w:hint="default" w:ascii="微软雅黑" w:hAnsi="微软雅黑" w:eastAsia="微软雅黑"/>
      </w:rPr>
    </w:lvl>
    <w:lvl w:ilvl="1" w:tentative="0">
      <w:start w:val="1"/>
      <w:numFmt w:val="decimal"/>
      <w:suff w:val="space"/>
      <w:lvlText w:val="%1.%2."/>
      <w:lvlJc w:val="left"/>
      <w:pPr>
        <w:ind w:left="0" w:firstLine="0"/>
      </w:pPr>
      <w:rPr>
        <w:rFonts w:hint="default" w:ascii="微软雅黑" w:hAnsi="微软雅黑" w:eastAsia="微软雅黑"/>
      </w:rPr>
    </w:lvl>
    <w:lvl w:ilvl="2" w:tentative="0">
      <w:start w:val="1"/>
      <w:numFmt w:val="decimal"/>
      <w:suff w:val="space"/>
      <w:lvlText w:val="%1.%2.%3."/>
      <w:lvlJc w:val="left"/>
      <w:pPr>
        <w:ind w:left="0" w:firstLine="0"/>
      </w:pPr>
      <w:rPr>
        <w:rFonts w:hint="default" w:ascii="微软雅黑" w:hAnsi="微软雅黑" w:eastAsia="微软雅黑"/>
      </w:rPr>
    </w:lvl>
    <w:lvl w:ilvl="3" w:tentative="0">
      <w:start w:val="1"/>
      <w:numFmt w:val="decimal"/>
      <w:pStyle w:val="6"/>
      <w:suff w:val="space"/>
      <w:lvlText w:val="%1.%2.%3.%4."/>
      <w:lvlJc w:val="left"/>
      <w:pPr>
        <w:ind w:left="0" w:firstLine="0"/>
      </w:pPr>
      <w:rPr>
        <w:rFonts w:hint="default" w:ascii="微软雅黑" w:hAnsi="微软雅黑" w:eastAsia="微软雅黑"/>
      </w:rPr>
    </w:lvl>
    <w:lvl w:ilvl="4" w:tentative="0">
      <w:start w:val="1"/>
      <w:numFmt w:val="decimal"/>
      <w:pStyle w:val="7"/>
      <w:lvlText w:val="%1.%2.%3.%4.%5."/>
      <w:lvlJc w:val="left"/>
      <w:pPr>
        <w:tabs>
          <w:tab w:val="left" w:pos="0"/>
        </w:tabs>
        <w:ind w:left="0" w:firstLine="0"/>
      </w:pPr>
      <w:rPr>
        <w:rFonts w:hint="default" w:ascii="微软雅黑" w:hAnsi="微软雅黑" w:eastAsia="微软雅黑"/>
      </w:rPr>
    </w:lvl>
    <w:lvl w:ilvl="5" w:tentative="0">
      <w:start w:val="1"/>
      <w:numFmt w:val="decimal"/>
      <w:pStyle w:val="9"/>
      <w:suff w:val="space"/>
      <w:lvlText w:val="%1.%2.%3.%4.%5.%6."/>
      <w:lvlJc w:val="left"/>
      <w:pPr>
        <w:ind w:left="0" w:firstLine="0"/>
      </w:pPr>
      <w:rPr>
        <w:rFonts w:hint="default"/>
      </w:rPr>
    </w:lvl>
    <w:lvl w:ilvl="6" w:tentative="0">
      <w:start w:val="1"/>
      <w:numFmt w:val="decimal"/>
      <w:pStyle w:val="10"/>
      <w:lvlText w:val="%1.%2.%3.%4.%5.%6.%7."/>
      <w:lvlJc w:val="left"/>
      <w:pPr>
        <w:tabs>
          <w:tab w:val="left" w:pos="0"/>
        </w:tabs>
        <w:ind w:left="0" w:firstLine="0"/>
      </w:pPr>
      <w:rPr>
        <w:rFonts w:hint="default"/>
      </w:rPr>
    </w:lvl>
    <w:lvl w:ilvl="7" w:tentative="0">
      <w:start w:val="1"/>
      <w:numFmt w:val="decimal"/>
      <w:pStyle w:val="11"/>
      <w:suff w:val="space"/>
      <w:lvlText w:val="%1.%2.%3.%4.%5.%6.%7.%8."/>
      <w:lvlJc w:val="left"/>
      <w:pPr>
        <w:ind w:left="0" w:firstLine="0"/>
      </w:pPr>
      <w:rPr>
        <w:rFonts w:hint="default"/>
      </w:rPr>
    </w:lvl>
    <w:lvl w:ilvl="8" w:tentative="0">
      <w:start w:val="1"/>
      <w:numFmt w:val="decimal"/>
      <w:pStyle w:val="12"/>
      <w:lvlText w:val="%1.%2.%3.%4.%5.%6.%7.%8.%9."/>
      <w:lvlJc w:val="left"/>
      <w:pPr>
        <w:tabs>
          <w:tab w:val="left" w:pos="0"/>
        </w:tabs>
        <w:ind w:left="0" w:firstLine="0"/>
      </w:pPr>
      <w:rPr>
        <w:rFonts w:hint="default"/>
      </w:rPr>
    </w:lvl>
  </w:abstractNum>
  <w:abstractNum w:abstractNumId="1">
    <w:nsid w:val="6D052096"/>
    <w:multiLevelType w:val="multilevel"/>
    <w:tmpl w:val="6D05209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38"/>
    <w:rsid w:val="00034BAD"/>
    <w:rsid w:val="0004444E"/>
    <w:rsid w:val="000545FE"/>
    <w:rsid w:val="000841C1"/>
    <w:rsid w:val="00097D1D"/>
    <w:rsid w:val="00141AFF"/>
    <w:rsid w:val="001431AB"/>
    <w:rsid w:val="00172A27"/>
    <w:rsid w:val="00192EF2"/>
    <w:rsid w:val="001D7F10"/>
    <w:rsid w:val="001F6487"/>
    <w:rsid w:val="00216E40"/>
    <w:rsid w:val="002B785D"/>
    <w:rsid w:val="003273A5"/>
    <w:rsid w:val="003B3A86"/>
    <w:rsid w:val="00421AB2"/>
    <w:rsid w:val="004433C1"/>
    <w:rsid w:val="004703F4"/>
    <w:rsid w:val="00475195"/>
    <w:rsid w:val="00477502"/>
    <w:rsid w:val="00484120"/>
    <w:rsid w:val="004B57F0"/>
    <w:rsid w:val="004C0D03"/>
    <w:rsid w:val="00540FE8"/>
    <w:rsid w:val="00581AF4"/>
    <w:rsid w:val="00687B93"/>
    <w:rsid w:val="006F04DA"/>
    <w:rsid w:val="00730624"/>
    <w:rsid w:val="00742AA9"/>
    <w:rsid w:val="0076444A"/>
    <w:rsid w:val="007A7E8B"/>
    <w:rsid w:val="007C033A"/>
    <w:rsid w:val="0089047B"/>
    <w:rsid w:val="008A48BD"/>
    <w:rsid w:val="00955B9B"/>
    <w:rsid w:val="009A03FC"/>
    <w:rsid w:val="009B4071"/>
    <w:rsid w:val="009C49E1"/>
    <w:rsid w:val="00A26DA1"/>
    <w:rsid w:val="00B4402A"/>
    <w:rsid w:val="00C927B2"/>
    <w:rsid w:val="00E11C7F"/>
    <w:rsid w:val="00E30B5B"/>
    <w:rsid w:val="00F50288"/>
    <w:rsid w:val="00F667C5"/>
    <w:rsid w:val="0107462A"/>
    <w:rsid w:val="010E3F17"/>
    <w:rsid w:val="011302F0"/>
    <w:rsid w:val="0119106F"/>
    <w:rsid w:val="011C6445"/>
    <w:rsid w:val="01247521"/>
    <w:rsid w:val="013B2241"/>
    <w:rsid w:val="013E06B0"/>
    <w:rsid w:val="01582C5B"/>
    <w:rsid w:val="015A62EC"/>
    <w:rsid w:val="01725CD4"/>
    <w:rsid w:val="018A4D5F"/>
    <w:rsid w:val="018F1267"/>
    <w:rsid w:val="0196204E"/>
    <w:rsid w:val="019D2734"/>
    <w:rsid w:val="019F546E"/>
    <w:rsid w:val="01A168D0"/>
    <w:rsid w:val="01A6564E"/>
    <w:rsid w:val="01A73AAE"/>
    <w:rsid w:val="01D123FE"/>
    <w:rsid w:val="01DD2F83"/>
    <w:rsid w:val="01EF10AD"/>
    <w:rsid w:val="02001FB2"/>
    <w:rsid w:val="0200366E"/>
    <w:rsid w:val="02084250"/>
    <w:rsid w:val="02087318"/>
    <w:rsid w:val="020939E9"/>
    <w:rsid w:val="022B2165"/>
    <w:rsid w:val="023D6D19"/>
    <w:rsid w:val="02507AC0"/>
    <w:rsid w:val="02600C2D"/>
    <w:rsid w:val="02650234"/>
    <w:rsid w:val="026A26D5"/>
    <w:rsid w:val="027611E5"/>
    <w:rsid w:val="027F01AA"/>
    <w:rsid w:val="02891E64"/>
    <w:rsid w:val="02B1230F"/>
    <w:rsid w:val="02B65350"/>
    <w:rsid w:val="02B80A6D"/>
    <w:rsid w:val="02B92435"/>
    <w:rsid w:val="02BE60B3"/>
    <w:rsid w:val="02C36868"/>
    <w:rsid w:val="02D16692"/>
    <w:rsid w:val="02F90D2D"/>
    <w:rsid w:val="03027722"/>
    <w:rsid w:val="030D5BED"/>
    <w:rsid w:val="030D7C87"/>
    <w:rsid w:val="030E42C6"/>
    <w:rsid w:val="031D2DF8"/>
    <w:rsid w:val="03250C7E"/>
    <w:rsid w:val="032F4898"/>
    <w:rsid w:val="0336671C"/>
    <w:rsid w:val="033D1ADE"/>
    <w:rsid w:val="0358755C"/>
    <w:rsid w:val="036A3098"/>
    <w:rsid w:val="037743F2"/>
    <w:rsid w:val="038C310E"/>
    <w:rsid w:val="03B94067"/>
    <w:rsid w:val="03C067E4"/>
    <w:rsid w:val="03C13476"/>
    <w:rsid w:val="03C62FA3"/>
    <w:rsid w:val="03CE4E10"/>
    <w:rsid w:val="03DE03A5"/>
    <w:rsid w:val="03EC4823"/>
    <w:rsid w:val="03F61773"/>
    <w:rsid w:val="03FD5703"/>
    <w:rsid w:val="03FF5E1F"/>
    <w:rsid w:val="04144835"/>
    <w:rsid w:val="04162A55"/>
    <w:rsid w:val="041C5325"/>
    <w:rsid w:val="04271F45"/>
    <w:rsid w:val="04345F91"/>
    <w:rsid w:val="04351B1E"/>
    <w:rsid w:val="043F38B1"/>
    <w:rsid w:val="04421107"/>
    <w:rsid w:val="0445612F"/>
    <w:rsid w:val="04583CF4"/>
    <w:rsid w:val="045858C9"/>
    <w:rsid w:val="04746170"/>
    <w:rsid w:val="047D1780"/>
    <w:rsid w:val="04854721"/>
    <w:rsid w:val="04B504D3"/>
    <w:rsid w:val="04B8274F"/>
    <w:rsid w:val="04D368DE"/>
    <w:rsid w:val="050F55A6"/>
    <w:rsid w:val="056A273C"/>
    <w:rsid w:val="056D768B"/>
    <w:rsid w:val="056F2FEB"/>
    <w:rsid w:val="05716EF3"/>
    <w:rsid w:val="05947292"/>
    <w:rsid w:val="059900DE"/>
    <w:rsid w:val="05A7350F"/>
    <w:rsid w:val="05BB58CA"/>
    <w:rsid w:val="05BC5995"/>
    <w:rsid w:val="05D7345B"/>
    <w:rsid w:val="05E224BF"/>
    <w:rsid w:val="05EB1650"/>
    <w:rsid w:val="061A6470"/>
    <w:rsid w:val="06261DDD"/>
    <w:rsid w:val="062E3114"/>
    <w:rsid w:val="063301BD"/>
    <w:rsid w:val="06362EF7"/>
    <w:rsid w:val="06410DB1"/>
    <w:rsid w:val="064426B4"/>
    <w:rsid w:val="066F27D2"/>
    <w:rsid w:val="067223CE"/>
    <w:rsid w:val="06733787"/>
    <w:rsid w:val="067C7C80"/>
    <w:rsid w:val="06A5731D"/>
    <w:rsid w:val="06B87215"/>
    <w:rsid w:val="06C22389"/>
    <w:rsid w:val="06C373E8"/>
    <w:rsid w:val="06CC3D62"/>
    <w:rsid w:val="06DD4187"/>
    <w:rsid w:val="06E91884"/>
    <w:rsid w:val="06E974D6"/>
    <w:rsid w:val="06F15AA5"/>
    <w:rsid w:val="07034AB3"/>
    <w:rsid w:val="07160A2F"/>
    <w:rsid w:val="071F1B1B"/>
    <w:rsid w:val="072C4EE0"/>
    <w:rsid w:val="072D6991"/>
    <w:rsid w:val="072E1B70"/>
    <w:rsid w:val="07396BB5"/>
    <w:rsid w:val="07450F32"/>
    <w:rsid w:val="074B7FEB"/>
    <w:rsid w:val="0753050D"/>
    <w:rsid w:val="07573346"/>
    <w:rsid w:val="07585B80"/>
    <w:rsid w:val="076C10A3"/>
    <w:rsid w:val="07724E37"/>
    <w:rsid w:val="0782145E"/>
    <w:rsid w:val="078A6670"/>
    <w:rsid w:val="078E0BB8"/>
    <w:rsid w:val="0799599C"/>
    <w:rsid w:val="07AA0F30"/>
    <w:rsid w:val="07BB5182"/>
    <w:rsid w:val="07CA5B24"/>
    <w:rsid w:val="07CF19CE"/>
    <w:rsid w:val="07D90F10"/>
    <w:rsid w:val="07DF7DCB"/>
    <w:rsid w:val="07E438E5"/>
    <w:rsid w:val="08044A2B"/>
    <w:rsid w:val="08163028"/>
    <w:rsid w:val="083775A3"/>
    <w:rsid w:val="0842376E"/>
    <w:rsid w:val="08523172"/>
    <w:rsid w:val="085B42D4"/>
    <w:rsid w:val="086F196F"/>
    <w:rsid w:val="08876418"/>
    <w:rsid w:val="08934CBF"/>
    <w:rsid w:val="089D5E30"/>
    <w:rsid w:val="08AF2722"/>
    <w:rsid w:val="08B46B7F"/>
    <w:rsid w:val="08BA4B0A"/>
    <w:rsid w:val="08F21451"/>
    <w:rsid w:val="09277D89"/>
    <w:rsid w:val="092D08E9"/>
    <w:rsid w:val="094367BF"/>
    <w:rsid w:val="094B1F3A"/>
    <w:rsid w:val="096017B6"/>
    <w:rsid w:val="096C2324"/>
    <w:rsid w:val="09706F3C"/>
    <w:rsid w:val="098847A2"/>
    <w:rsid w:val="09A1582C"/>
    <w:rsid w:val="09B421E7"/>
    <w:rsid w:val="09DA460A"/>
    <w:rsid w:val="09E57D15"/>
    <w:rsid w:val="09E81BCC"/>
    <w:rsid w:val="09E92ED1"/>
    <w:rsid w:val="0A347ACD"/>
    <w:rsid w:val="0A3A0E0C"/>
    <w:rsid w:val="0A3D0E4B"/>
    <w:rsid w:val="0A4002A0"/>
    <w:rsid w:val="0A4911E7"/>
    <w:rsid w:val="0A5C49E3"/>
    <w:rsid w:val="0A6674B4"/>
    <w:rsid w:val="0A7D1469"/>
    <w:rsid w:val="0A837B94"/>
    <w:rsid w:val="0A881610"/>
    <w:rsid w:val="0A8D1820"/>
    <w:rsid w:val="0AA0137B"/>
    <w:rsid w:val="0AA96C67"/>
    <w:rsid w:val="0AB142A0"/>
    <w:rsid w:val="0AB71713"/>
    <w:rsid w:val="0ABB51E2"/>
    <w:rsid w:val="0ABE61A8"/>
    <w:rsid w:val="0ABF63A4"/>
    <w:rsid w:val="0AD9478D"/>
    <w:rsid w:val="0AE35F90"/>
    <w:rsid w:val="0AE71D21"/>
    <w:rsid w:val="0B066ADC"/>
    <w:rsid w:val="0B0F100C"/>
    <w:rsid w:val="0B137271"/>
    <w:rsid w:val="0B1E0AFF"/>
    <w:rsid w:val="0B2B3263"/>
    <w:rsid w:val="0B2F0023"/>
    <w:rsid w:val="0B393911"/>
    <w:rsid w:val="0B3E46D5"/>
    <w:rsid w:val="0B456620"/>
    <w:rsid w:val="0B5C4DF8"/>
    <w:rsid w:val="0B5F4794"/>
    <w:rsid w:val="0B664798"/>
    <w:rsid w:val="0B6A57DB"/>
    <w:rsid w:val="0B7D79D9"/>
    <w:rsid w:val="0B934E51"/>
    <w:rsid w:val="0B96473E"/>
    <w:rsid w:val="0B9D41EF"/>
    <w:rsid w:val="0BA33328"/>
    <w:rsid w:val="0BA64900"/>
    <w:rsid w:val="0BAC4E4D"/>
    <w:rsid w:val="0BCC076D"/>
    <w:rsid w:val="0BE72937"/>
    <w:rsid w:val="0BF11231"/>
    <w:rsid w:val="0BF40B45"/>
    <w:rsid w:val="0BFB2529"/>
    <w:rsid w:val="0BFE768E"/>
    <w:rsid w:val="0C1E54C6"/>
    <w:rsid w:val="0C233CFE"/>
    <w:rsid w:val="0C244527"/>
    <w:rsid w:val="0C2E7968"/>
    <w:rsid w:val="0C344CFC"/>
    <w:rsid w:val="0C42149B"/>
    <w:rsid w:val="0C487310"/>
    <w:rsid w:val="0C5149D1"/>
    <w:rsid w:val="0C7850DC"/>
    <w:rsid w:val="0C896BC8"/>
    <w:rsid w:val="0C960A15"/>
    <w:rsid w:val="0CAA3075"/>
    <w:rsid w:val="0CAB188A"/>
    <w:rsid w:val="0CAB5DBC"/>
    <w:rsid w:val="0CAE0AEC"/>
    <w:rsid w:val="0CB1765F"/>
    <w:rsid w:val="0CB4500F"/>
    <w:rsid w:val="0CBF7194"/>
    <w:rsid w:val="0CD31017"/>
    <w:rsid w:val="0CD86EB1"/>
    <w:rsid w:val="0CDD370C"/>
    <w:rsid w:val="0CF152A7"/>
    <w:rsid w:val="0CF92235"/>
    <w:rsid w:val="0CFD4B32"/>
    <w:rsid w:val="0CFE51E9"/>
    <w:rsid w:val="0D097B89"/>
    <w:rsid w:val="0D0B564F"/>
    <w:rsid w:val="0D130DFF"/>
    <w:rsid w:val="0D302ACB"/>
    <w:rsid w:val="0D434845"/>
    <w:rsid w:val="0D4505A4"/>
    <w:rsid w:val="0D4A1FAA"/>
    <w:rsid w:val="0D523C4B"/>
    <w:rsid w:val="0D643242"/>
    <w:rsid w:val="0D9C5D7B"/>
    <w:rsid w:val="0DA41ED5"/>
    <w:rsid w:val="0DAC2BE0"/>
    <w:rsid w:val="0DC56C3B"/>
    <w:rsid w:val="0DC7755F"/>
    <w:rsid w:val="0DCC61B8"/>
    <w:rsid w:val="0DD45466"/>
    <w:rsid w:val="0DD531A0"/>
    <w:rsid w:val="0E062EEA"/>
    <w:rsid w:val="0E26204B"/>
    <w:rsid w:val="0E291764"/>
    <w:rsid w:val="0E305D54"/>
    <w:rsid w:val="0E32482B"/>
    <w:rsid w:val="0E325351"/>
    <w:rsid w:val="0E3F1204"/>
    <w:rsid w:val="0E406C75"/>
    <w:rsid w:val="0E464811"/>
    <w:rsid w:val="0E514C52"/>
    <w:rsid w:val="0E5A31FA"/>
    <w:rsid w:val="0E8139DB"/>
    <w:rsid w:val="0E865CB4"/>
    <w:rsid w:val="0E945A78"/>
    <w:rsid w:val="0E9824A0"/>
    <w:rsid w:val="0EBC04DB"/>
    <w:rsid w:val="0EE70F51"/>
    <w:rsid w:val="0EF24AB4"/>
    <w:rsid w:val="0EFF413A"/>
    <w:rsid w:val="0F071CC9"/>
    <w:rsid w:val="0F077C0B"/>
    <w:rsid w:val="0F0B7719"/>
    <w:rsid w:val="0F171566"/>
    <w:rsid w:val="0F2409FB"/>
    <w:rsid w:val="0F2823B7"/>
    <w:rsid w:val="0F291472"/>
    <w:rsid w:val="0F2E30EC"/>
    <w:rsid w:val="0F451DFB"/>
    <w:rsid w:val="0F6251E7"/>
    <w:rsid w:val="0F635FBE"/>
    <w:rsid w:val="0F982AF9"/>
    <w:rsid w:val="0FA53FA7"/>
    <w:rsid w:val="0FB7143A"/>
    <w:rsid w:val="0FC009DA"/>
    <w:rsid w:val="0FCD6C5A"/>
    <w:rsid w:val="0FD3262A"/>
    <w:rsid w:val="0FE528F8"/>
    <w:rsid w:val="0FEA2BA0"/>
    <w:rsid w:val="0FF43656"/>
    <w:rsid w:val="0FFE119D"/>
    <w:rsid w:val="10067792"/>
    <w:rsid w:val="101C4E34"/>
    <w:rsid w:val="10264A11"/>
    <w:rsid w:val="102D1163"/>
    <w:rsid w:val="102D28E5"/>
    <w:rsid w:val="10350BDB"/>
    <w:rsid w:val="105A532B"/>
    <w:rsid w:val="106048A0"/>
    <w:rsid w:val="106239CF"/>
    <w:rsid w:val="10881228"/>
    <w:rsid w:val="108F5650"/>
    <w:rsid w:val="10A551AC"/>
    <w:rsid w:val="10A61AD6"/>
    <w:rsid w:val="10A86D35"/>
    <w:rsid w:val="10B6252F"/>
    <w:rsid w:val="10BF5D12"/>
    <w:rsid w:val="10D64BE5"/>
    <w:rsid w:val="10DB16F6"/>
    <w:rsid w:val="10E36B7F"/>
    <w:rsid w:val="10E87BDA"/>
    <w:rsid w:val="10F036D9"/>
    <w:rsid w:val="10F95039"/>
    <w:rsid w:val="1107486F"/>
    <w:rsid w:val="11192A83"/>
    <w:rsid w:val="1125685E"/>
    <w:rsid w:val="11367808"/>
    <w:rsid w:val="113A75C0"/>
    <w:rsid w:val="11425186"/>
    <w:rsid w:val="114B6EFD"/>
    <w:rsid w:val="11600C4B"/>
    <w:rsid w:val="116A71B1"/>
    <w:rsid w:val="117227D9"/>
    <w:rsid w:val="11777E0F"/>
    <w:rsid w:val="118E25A4"/>
    <w:rsid w:val="11987B90"/>
    <w:rsid w:val="11A55F28"/>
    <w:rsid w:val="11E548FC"/>
    <w:rsid w:val="11F33431"/>
    <w:rsid w:val="11F90B44"/>
    <w:rsid w:val="11FE3B55"/>
    <w:rsid w:val="11FE6ADB"/>
    <w:rsid w:val="121A5AD9"/>
    <w:rsid w:val="12552C20"/>
    <w:rsid w:val="1259233B"/>
    <w:rsid w:val="126026DC"/>
    <w:rsid w:val="126F5FA6"/>
    <w:rsid w:val="1270679C"/>
    <w:rsid w:val="12713EAB"/>
    <w:rsid w:val="12741746"/>
    <w:rsid w:val="12803146"/>
    <w:rsid w:val="1289719A"/>
    <w:rsid w:val="129C7900"/>
    <w:rsid w:val="12A1302C"/>
    <w:rsid w:val="12F1236F"/>
    <w:rsid w:val="12F24E3A"/>
    <w:rsid w:val="1317796F"/>
    <w:rsid w:val="133B5E71"/>
    <w:rsid w:val="13411EB6"/>
    <w:rsid w:val="13580061"/>
    <w:rsid w:val="135B58BA"/>
    <w:rsid w:val="136C5307"/>
    <w:rsid w:val="136D2D0A"/>
    <w:rsid w:val="13722B41"/>
    <w:rsid w:val="13791D98"/>
    <w:rsid w:val="13841B1F"/>
    <w:rsid w:val="138A2EA7"/>
    <w:rsid w:val="13965970"/>
    <w:rsid w:val="13C0118E"/>
    <w:rsid w:val="13CD3CD7"/>
    <w:rsid w:val="13D55426"/>
    <w:rsid w:val="13D946D6"/>
    <w:rsid w:val="13E40251"/>
    <w:rsid w:val="1418616D"/>
    <w:rsid w:val="141B597C"/>
    <w:rsid w:val="142E658A"/>
    <w:rsid w:val="14306554"/>
    <w:rsid w:val="14331E08"/>
    <w:rsid w:val="14470B6A"/>
    <w:rsid w:val="14534749"/>
    <w:rsid w:val="145A157D"/>
    <w:rsid w:val="14784A9B"/>
    <w:rsid w:val="1494602F"/>
    <w:rsid w:val="14A25F16"/>
    <w:rsid w:val="14AD52F8"/>
    <w:rsid w:val="14BC0950"/>
    <w:rsid w:val="14CB709C"/>
    <w:rsid w:val="14CD5863"/>
    <w:rsid w:val="14D62FC9"/>
    <w:rsid w:val="14E160A3"/>
    <w:rsid w:val="15175F1F"/>
    <w:rsid w:val="152366C7"/>
    <w:rsid w:val="153162C1"/>
    <w:rsid w:val="15321F05"/>
    <w:rsid w:val="154451B1"/>
    <w:rsid w:val="155625D1"/>
    <w:rsid w:val="155C3B09"/>
    <w:rsid w:val="15795CF5"/>
    <w:rsid w:val="15855DF3"/>
    <w:rsid w:val="15AD0685"/>
    <w:rsid w:val="15B60DF5"/>
    <w:rsid w:val="15CE213C"/>
    <w:rsid w:val="15D46FEB"/>
    <w:rsid w:val="15EA56D8"/>
    <w:rsid w:val="15F660D1"/>
    <w:rsid w:val="16067278"/>
    <w:rsid w:val="160A44B8"/>
    <w:rsid w:val="1621669E"/>
    <w:rsid w:val="162D2E05"/>
    <w:rsid w:val="16346176"/>
    <w:rsid w:val="16575580"/>
    <w:rsid w:val="16604D44"/>
    <w:rsid w:val="1679224F"/>
    <w:rsid w:val="168769B6"/>
    <w:rsid w:val="16907CC6"/>
    <w:rsid w:val="169544D1"/>
    <w:rsid w:val="169D59E3"/>
    <w:rsid w:val="16A46949"/>
    <w:rsid w:val="16BE1202"/>
    <w:rsid w:val="17002D2F"/>
    <w:rsid w:val="17285C39"/>
    <w:rsid w:val="174A09AD"/>
    <w:rsid w:val="17514BC2"/>
    <w:rsid w:val="17767E86"/>
    <w:rsid w:val="177E78BE"/>
    <w:rsid w:val="178465E3"/>
    <w:rsid w:val="178869F9"/>
    <w:rsid w:val="1789724C"/>
    <w:rsid w:val="178D76C6"/>
    <w:rsid w:val="17990C5F"/>
    <w:rsid w:val="17A24277"/>
    <w:rsid w:val="17A31A4C"/>
    <w:rsid w:val="17E8444C"/>
    <w:rsid w:val="17ED6B70"/>
    <w:rsid w:val="180453F5"/>
    <w:rsid w:val="1809188E"/>
    <w:rsid w:val="180B0F62"/>
    <w:rsid w:val="18164392"/>
    <w:rsid w:val="18232D01"/>
    <w:rsid w:val="182D7FED"/>
    <w:rsid w:val="1847324B"/>
    <w:rsid w:val="185B4B03"/>
    <w:rsid w:val="18651532"/>
    <w:rsid w:val="18705703"/>
    <w:rsid w:val="188542C0"/>
    <w:rsid w:val="188A36AA"/>
    <w:rsid w:val="18977694"/>
    <w:rsid w:val="18B6454E"/>
    <w:rsid w:val="18BA6581"/>
    <w:rsid w:val="18BE2C1E"/>
    <w:rsid w:val="18D335D4"/>
    <w:rsid w:val="18DD4357"/>
    <w:rsid w:val="18F41B50"/>
    <w:rsid w:val="19073F4D"/>
    <w:rsid w:val="1916360E"/>
    <w:rsid w:val="191B239E"/>
    <w:rsid w:val="1941250D"/>
    <w:rsid w:val="19762761"/>
    <w:rsid w:val="1986206E"/>
    <w:rsid w:val="198729C4"/>
    <w:rsid w:val="19881E8B"/>
    <w:rsid w:val="199454E5"/>
    <w:rsid w:val="19C23F0F"/>
    <w:rsid w:val="19C96D8A"/>
    <w:rsid w:val="19D379B8"/>
    <w:rsid w:val="19DB3BBC"/>
    <w:rsid w:val="19F17D72"/>
    <w:rsid w:val="19F705E7"/>
    <w:rsid w:val="19F71C71"/>
    <w:rsid w:val="19FC7A95"/>
    <w:rsid w:val="1A055BFA"/>
    <w:rsid w:val="1A0A70AB"/>
    <w:rsid w:val="1A235DCB"/>
    <w:rsid w:val="1A2646A1"/>
    <w:rsid w:val="1A3A4F35"/>
    <w:rsid w:val="1A3F03AE"/>
    <w:rsid w:val="1A445CE5"/>
    <w:rsid w:val="1A4F136B"/>
    <w:rsid w:val="1A536DB3"/>
    <w:rsid w:val="1A541AA7"/>
    <w:rsid w:val="1A650F14"/>
    <w:rsid w:val="1A653E21"/>
    <w:rsid w:val="1A6A4F91"/>
    <w:rsid w:val="1A6B5634"/>
    <w:rsid w:val="1A756A5B"/>
    <w:rsid w:val="1A8D2A66"/>
    <w:rsid w:val="1A9D1541"/>
    <w:rsid w:val="1AAC06CC"/>
    <w:rsid w:val="1AAD6080"/>
    <w:rsid w:val="1AAD64AF"/>
    <w:rsid w:val="1AB74127"/>
    <w:rsid w:val="1AB85684"/>
    <w:rsid w:val="1AD05E64"/>
    <w:rsid w:val="1AFC2D4B"/>
    <w:rsid w:val="1B03607B"/>
    <w:rsid w:val="1B066414"/>
    <w:rsid w:val="1B1629D1"/>
    <w:rsid w:val="1B211999"/>
    <w:rsid w:val="1B2B0BDF"/>
    <w:rsid w:val="1B3C1444"/>
    <w:rsid w:val="1B42085D"/>
    <w:rsid w:val="1B697C3C"/>
    <w:rsid w:val="1B6A25B5"/>
    <w:rsid w:val="1B7D5FFE"/>
    <w:rsid w:val="1B830088"/>
    <w:rsid w:val="1B9016E2"/>
    <w:rsid w:val="1BA6252A"/>
    <w:rsid w:val="1BAE7D58"/>
    <w:rsid w:val="1BB572A6"/>
    <w:rsid w:val="1BD02E78"/>
    <w:rsid w:val="1BD33DAC"/>
    <w:rsid w:val="1C0F2C5C"/>
    <w:rsid w:val="1C160DC3"/>
    <w:rsid w:val="1C1A42B9"/>
    <w:rsid w:val="1C303BCC"/>
    <w:rsid w:val="1C3A01C2"/>
    <w:rsid w:val="1C4A6DFA"/>
    <w:rsid w:val="1C4B1830"/>
    <w:rsid w:val="1C4C0415"/>
    <w:rsid w:val="1C4C2B72"/>
    <w:rsid w:val="1C4C4B72"/>
    <w:rsid w:val="1C607825"/>
    <w:rsid w:val="1C7B2FA5"/>
    <w:rsid w:val="1C87026A"/>
    <w:rsid w:val="1C905E52"/>
    <w:rsid w:val="1CA25B02"/>
    <w:rsid w:val="1CA71C6A"/>
    <w:rsid w:val="1CE45567"/>
    <w:rsid w:val="1D002D6D"/>
    <w:rsid w:val="1D270B7C"/>
    <w:rsid w:val="1D2B24CC"/>
    <w:rsid w:val="1D3F2EA0"/>
    <w:rsid w:val="1D4D69E8"/>
    <w:rsid w:val="1D596974"/>
    <w:rsid w:val="1D5C7CC4"/>
    <w:rsid w:val="1D737B22"/>
    <w:rsid w:val="1D7C2A4E"/>
    <w:rsid w:val="1D8160F6"/>
    <w:rsid w:val="1DA864D1"/>
    <w:rsid w:val="1DB9708C"/>
    <w:rsid w:val="1DBC4E60"/>
    <w:rsid w:val="1DCA48EC"/>
    <w:rsid w:val="1DF12025"/>
    <w:rsid w:val="1DF80726"/>
    <w:rsid w:val="1DFD74EA"/>
    <w:rsid w:val="1E0B0BB8"/>
    <w:rsid w:val="1E0D155D"/>
    <w:rsid w:val="1E101101"/>
    <w:rsid w:val="1E2D6F22"/>
    <w:rsid w:val="1E300751"/>
    <w:rsid w:val="1E322872"/>
    <w:rsid w:val="1E39039B"/>
    <w:rsid w:val="1E4D24DD"/>
    <w:rsid w:val="1E737DD4"/>
    <w:rsid w:val="1E7623DD"/>
    <w:rsid w:val="1E7C7082"/>
    <w:rsid w:val="1E7F2796"/>
    <w:rsid w:val="1E881849"/>
    <w:rsid w:val="1EA1583D"/>
    <w:rsid w:val="1EA94305"/>
    <w:rsid w:val="1EC05AB5"/>
    <w:rsid w:val="1ECB5458"/>
    <w:rsid w:val="1ED47AD3"/>
    <w:rsid w:val="1ED657D3"/>
    <w:rsid w:val="1EE2283A"/>
    <w:rsid w:val="1F2C2FF9"/>
    <w:rsid w:val="1F325180"/>
    <w:rsid w:val="1F556DD0"/>
    <w:rsid w:val="1F682BC2"/>
    <w:rsid w:val="1F845BFB"/>
    <w:rsid w:val="1F99320B"/>
    <w:rsid w:val="1FAE0014"/>
    <w:rsid w:val="1FB1470A"/>
    <w:rsid w:val="1FB25255"/>
    <w:rsid w:val="1FB62B8B"/>
    <w:rsid w:val="1FBB0C98"/>
    <w:rsid w:val="1FC13A68"/>
    <w:rsid w:val="1FD3145E"/>
    <w:rsid w:val="1FDA144A"/>
    <w:rsid w:val="1FE73CCD"/>
    <w:rsid w:val="1FEF0640"/>
    <w:rsid w:val="200348C1"/>
    <w:rsid w:val="201F3559"/>
    <w:rsid w:val="202231C7"/>
    <w:rsid w:val="203A0E5D"/>
    <w:rsid w:val="204605E9"/>
    <w:rsid w:val="205227E2"/>
    <w:rsid w:val="20550E3D"/>
    <w:rsid w:val="20572CCF"/>
    <w:rsid w:val="2067571E"/>
    <w:rsid w:val="208356A6"/>
    <w:rsid w:val="208A1FEF"/>
    <w:rsid w:val="209B72C0"/>
    <w:rsid w:val="209E0592"/>
    <w:rsid w:val="20B01DFA"/>
    <w:rsid w:val="20C01E76"/>
    <w:rsid w:val="20DB3EAF"/>
    <w:rsid w:val="20F13C59"/>
    <w:rsid w:val="2108069D"/>
    <w:rsid w:val="210C7204"/>
    <w:rsid w:val="21127DFC"/>
    <w:rsid w:val="2119089C"/>
    <w:rsid w:val="21241CDB"/>
    <w:rsid w:val="21290230"/>
    <w:rsid w:val="2139677F"/>
    <w:rsid w:val="215241D0"/>
    <w:rsid w:val="21581094"/>
    <w:rsid w:val="215C64E4"/>
    <w:rsid w:val="21682E44"/>
    <w:rsid w:val="216D66F7"/>
    <w:rsid w:val="21804848"/>
    <w:rsid w:val="2186585C"/>
    <w:rsid w:val="21914389"/>
    <w:rsid w:val="21AD0AEE"/>
    <w:rsid w:val="21B52D55"/>
    <w:rsid w:val="21B601D6"/>
    <w:rsid w:val="21C66967"/>
    <w:rsid w:val="21D76910"/>
    <w:rsid w:val="21F756A3"/>
    <w:rsid w:val="22090357"/>
    <w:rsid w:val="2230449A"/>
    <w:rsid w:val="22383DFA"/>
    <w:rsid w:val="224838BB"/>
    <w:rsid w:val="22557E50"/>
    <w:rsid w:val="22670D7E"/>
    <w:rsid w:val="22804593"/>
    <w:rsid w:val="228133C5"/>
    <w:rsid w:val="2289063A"/>
    <w:rsid w:val="229A5D28"/>
    <w:rsid w:val="22A23133"/>
    <w:rsid w:val="22AD60F3"/>
    <w:rsid w:val="22B23132"/>
    <w:rsid w:val="22BC3498"/>
    <w:rsid w:val="22BE026C"/>
    <w:rsid w:val="22C62EE1"/>
    <w:rsid w:val="22CD0238"/>
    <w:rsid w:val="22D91B0D"/>
    <w:rsid w:val="22DC0237"/>
    <w:rsid w:val="22E775C1"/>
    <w:rsid w:val="22EE45DF"/>
    <w:rsid w:val="22F814B4"/>
    <w:rsid w:val="231367A9"/>
    <w:rsid w:val="231E32B9"/>
    <w:rsid w:val="23260964"/>
    <w:rsid w:val="23491036"/>
    <w:rsid w:val="236A4649"/>
    <w:rsid w:val="236F492C"/>
    <w:rsid w:val="237646A6"/>
    <w:rsid w:val="23765371"/>
    <w:rsid w:val="2399094E"/>
    <w:rsid w:val="23B44D72"/>
    <w:rsid w:val="23BF683A"/>
    <w:rsid w:val="23F54DF0"/>
    <w:rsid w:val="240D11B3"/>
    <w:rsid w:val="24135CAA"/>
    <w:rsid w:val="241D144D"/>
    <w:rsid w:val="244845B0"/>
    <w:rsid w:val="24547121"/>
    <w:rsid w:val="245B7F48"/>
    <w:rsid w:val="2460143E"/>
    <w:rsid w:val="24631166"/>
    <w:rsid w:val="24830C6B"/>
    <w:rsid w:val="24B468FE"/>
    <w:rsid w:val="24C31D78"/>
    <w:rsid w:val="24EC6BF4"/>
    <w:rsid w:val="24F15196"/>
    <w:rsid w:val="252C3FF9"/>
    <w:rsid w:val="25361103"/>
    <w:rsid w:val="254A0141"/>
    <w:rsid w:val="254F69CC"/>
    <w:rsid w:val="2550302F"/>
    <w:rsid w:val="257B713C"/>
    <w:rsid w:val="25A14DC2"/>
    <w:rsid w:val="25C5261A"/>
    <w:rsid w:val="25D40153"/>
    <w:rsid w:val="25F433CA"/>
    <w:rsid w:val="26004E66"/>
    <w:rsid w:val="260B305B"/>
    <w:rsid w:val="261E5362"/>
    <w:rsid w:val="262E6C1A"/>
    <w:rsid w:val="265C6F51"/>
    <w:rsid w:val="267E5D36"/>
    <w:rsid w:val="2684657A"/>
    <w:rsid w:val="26881050"/>
    <w:rsid w:val="26AB29E1"/>
    <w:rsid w:val="26AB54CD"/>
    <w:rsid w:val="26AF0F06"/>
    <w:rsid w:val="26B53218"/>
    <w:rsid w:val="26BE276E"/>
    <w:rsid w:val="26D052FE"/>
    <w:rsid w:val="26D920E3"/>
    <w:rsid w:val="26E133DA"/>
    <w:rsid w:val="26E25F63"/>
    <w:rsid w:val="26E877FA"/>
    <w:rsid w:val="26EE45AE"/>
    <w:rsid w:val="2717416B"/>
    <w:rsid w:val="271B4292"/>
    <w:rsid w:val="271D7FA2"/>
    <w:rsid w:val="272205C0"/>
    <w:rsid w:val="27317A23"/>
    <w:rsid w:val="27344D4D"/>
    <w:rsid w:val="27383550"/>
    <w:rsid w:val="27437E60"/>
    <w:rsid w:val="27534580"/>
    <w:rsid w:val="2762702C"/>
    <w:rsid w:val="27694F26"/>
    <w:rsid w:val="27902814"/>
    <w:rsid w:val="27975CD9"/>
    <w:rsid w:val="27A06953"/>
    <w:rsid w:val="27A70923"/>
    <w:rsid w:val="27B031D4"/>
    <w:rsid w:val="27B21BAE"/>
    <w:rsid w:val="27DC1FE5"/>
    <w:rsid w:val="27EC6DF6"/>
    <w:rsid w:val="27F44160"/>
    <w:rsid w:val="281E04E9"/>
    <w:rsid w:val="283D4DD0"/>
    <w:rsid w:val="283D638E"/>
    <w:rsid w:val="284C79BB"/>
    <w:rsid w:val="28595478"/>
    <w:rsid w:val="28595905"/>
    <w:rsid w:val="286A52D9"/>
    <w:rsid w:val="28810EF5"/>
    <w:rsid w:val="288A02CD"/>
    <w:rsid w:val="28902182"/>
    <w:rsid w:val="28B84AB8"/>
    <w:rsid w:val="28C3596E"/>
    <w:rsid w:val="28CC062E"/>
    <w:rsid w:val="28CF7979"/>
    <w:rsid w:val="28D85F16"/>
    <w:rsid w:val="28E95151"/>
    <w:rsid w:val="28EA4328"/>
    <w:rsid w:val="29074F9D"/>
    <w:rsid w:val="29105821"/>
    <w:rsid w:val="2914460E"/>
    <w:rsid w:val="29215D08"/>
    <w:rsid w:val="2938692A"/>
    <w:rsid w:val="29531B5E"/>
    <w:rsid w:val="295355BB"/>
    <w:rsid w:val="295577BA"/>
    <w:rsid w:val="296E4A8A"/>
    <w:rsid w:val="29793B46"/>
    <w:rsid w:val="29883BEF"/>
    <w:rsid w:val="29932CD1"/>
    <w:rsid w:val="29A935FA"/>
    <w:rsid w:val="29B56F9F"/>
    <w:rsid w:val="29F666EA"/>
    <w:rsid w:val="2A163D4C"/>
    <w:rsid w:val="2A1B71C2"/>
    <w:rsid w:val="2A1E3105"/>
    <w:rsid w:val="2A35454B"/>
    <w:rsid w:val="2A361988"/>
    <w:rsid w:val="2A606A56"/>
    <w:rsid w:val="2A626023"/>
    <w:rsid w:val="2A636650"/>
    <w:rsid w:val="2A6F6E14"/>
    <w:rsid w:val="2A90103B"/>
    <w:rsid w:val="2A912204"/>
    <w:rsid w:val="2A974ECF"/>
    <w:rsid w:val="2A981495"/>
    <w:rsid w:val="2A991D7D"/>
    <w:rsid w:val="2AAF4767"/>
    <w:rsid w:val="2AB048A5"/>
    <w:rsid w:val="2AB60EDB"/>
    <w:rsid w:val="2AC7591D"/>
    <w:rsid w:val="2ACC49F6"/>
    <w:rsid w:val="2AD00EFA"/>
    <w:rsid w:val="2AD54DB2"/>
    <w:rsid w:val="2AF855C0"/>
    <w:rsid w:val="2B0602BE"/>
    <w:rsid w:val="2B070694"/>
    <w:rsid w:val="2B0F3157"/>
    <w:rsid w:val="2B1218CB"/>
    <w:rsid w:val="2B236003"/>
    <w:rsid w:val="2B2B007F"/>
    <w:rsid w:val="2B2B6314"/>
    <w:rsid w:val="2B3D4DB9"/>
    <w:rsid w:val="2B3E621F"/>
    <w:rsid w:val="2B4717A7"/>
    <w:rsid w:val="2B6532BA"/>
    <w:rsid w:val="2B701442"/>
    <w:rsid w:val="2B7E339F"/>
    <w:rsid w:val="2BB74F45"/>
    <w:rsid w:val="2BB96D78"/>
    <w:rsid w:val="2BBC5040"/>
    <w:rsid w:val="2BD36AE3"/>
    <w:rsid w:val="2BD45B06"/>
    <w:rsid w:val="2BF03DC5"/>
    <w:rsid w:val="2BF06CCC"/>
    <w:rsid w:val="2BFC2FAF"/>
    <w:rsid w:val="2BFD1738"/>
    <w:rsid w:val="2C0C3CF3"/>
    <w:rsid w:val="2C110D13"/>
    <w:rsid w:val="2C4C736E"/>
    <w:rsid w:val="2C604BB0"/>
    <w:rsid w:val="2C61364B"/>
    <w:rsid w:val="2C626774"/>
    <w:rsid w:val="2C6C79EE"/>
    <w:rsid w:val="2C8403EF"/>
    <w:rsid w:val="2C894DA0"/>
    <w:rsid w:val="2CA933E0"/>
    <w:rsid w:val="2CAF4FBC"/>
    <w:rsid w:val="2CB56461"/>
    <w:rsid w:val="2CD622A7"/>
    <w:rsid w:val="2CD867EB"/>
    <w:rsid w:val="2CFC1060"/>
    <w:rsid w:val="2D12144F"/>
    <w:rsid w:val="2D247727"/>
    <w:rsid w:val="2D282439"/>
    <w:rsid w:val="2D347C50"/>
    <w:rsid w:val="2D483AF4"/>
    <w:rsid w:val="2D5B4FFC"/>
    <w:rsid w:val="2D7B5B76"/>
    <w:rsid w:val="2DBA0DEB"/>
    <w:rsid w:val="2DBB2421"/>
    <w:rsid w:val="2DCE54F4"/>
    <w:rsid w:val="2DE6573D"/>
    <w:rsid w:val="2DE70B4F"/>
    <w:rsid w:val="2DFE0184"/>
    <w:rsid w:val="2E095E04"/>
    <w:rsid w:val="2E0D0F10"/>
    <w:rsid w:val="2E1D43C5"/>
    <w:rsid w:val="2E4760B2"/>
    <w:rsid w:val="2E4B29EF"/>
    <w:rsid w:val="2E50119E"/>
    <w:rsid w:val="2E5E283C"/>
    <w:rsid w:val="2E6B4F04"/>
    <w:rsid w:val="2E745559"/>
    <w:rsid w:val="2E834300"/>
    <w:rsid w:val="2E905EE5"/>
    <w:rsid w:val="2E9F315C"/>
    <w:rsid w:val="2EA52F70"/>
    <w:rsid w:val="2EAC765A"/>
    <w:rsid w:val="2EB341AB"/>
    <w:rsid w:val="2EBB30F1"/>
    <w:rsid w:val="2EC36AF0"/>
    <w:rsid w:val="2EC47663"/>
    <w:rsid w:val="2ED31DB0"/>
    <w:rsid w:val="2F107E75"/>
    <w:rsid w:val="2F153B3A"/>
    <w:rsid w:val="2F1E020D"/>
    <w:rsid w:val="2F305AF0"/>
    <w:rsid w:val="2F356962"/>
    <w:rsid w:val="2F6258B4"/>
    <w:rsid w:val="2F683B53"/>
    <w:rsid w:val="2F7100FB"/>
    <w:rsid w:val="2F753FCE"/>
    <w:rsid w:val="2F8B131D"/>
    <w:rsid w:val="2FB648E6"/>
    <w:rsid w:val="2FB73C06"/>
    <w:rsid w:val="2FBD5011"/>
    <w:rsid w:val="2FC00209"/>
    <w:rsid w:val="2FC95F0F"/>
    <w:rsid w:val="2FD86E9B"/>
    <w:rsid w:val="2FDA74F6"/>
    <w:rsid w:val="2FE74788"/>
    <w:rsid w:val="2FE82586"/>
    <w:rsid w:val="2FEA7809"/>
    <w:rsid w:val="2FED1391"/>
    <w:rsid w:val="30042517"/>
    <w:rsid w:val="300624EA"/>
    <w:rsid w:val="3015322F"/>
    <w:rsid w:val="301A75F4"/>
    <w:rsid w:val="302B074B"/>
    <w:rsid w:val="30681515"/>
    <w:rsid w:val="30731785"/>
    <w:rsid w:val="307673AD"/>
    <w:rsid w:val="307C37FE"/>
    <w:rsid w:val="307C3C59"/>
    <w:rsid w:val="308541FF"/>
    <w:rsid w:val="30983E93"/>
    <w:rsid w:val="30C24FE6"/>
    <w:rsid w:val="30D713B8"/>
    <w:rsid w:val="30DE45D1"/>
    <w:rsid w:val="30E052FD"/>
    <w:rsid w:val="30EC1162"/>
    <w:rsid w:val="31126E06"/>
    <w:rsid w:val="3128199E"/>
    <w:rsid w:val="315E7641"/>
    <w:rsid w:val="315F1A90"/>
    <w:rsid w:val="318A28D4"/>
    <w:rsid w:val="31937472"/>
    <w:rsid w:val="31A23FB4"/>
    <w:rsid w:val="31A7309C"/>
    <w:rsid w:val="31AB539D"/>
    <w:rsid w:val="31B65561"/>
    <w:rsid w:val="31BB6F49"/>
    <w:rsid w:val="31BD131E"/>
    <w:rsid w:val="31D57535"/>
    <w:rsid w:val="31D62AF9"/>
    <w:rsid w:val="31DA1ED5"/>
    <w:rsid w:val="31DF7C44"/>
    <w:rsid w:val="31EB1373"/>
    <w:rsid w:val="32144BB9"/>
    <w:rsid w:val="323B6750"/>
    <w:rsid w:val="323D2A6D"/>
    <w:rsid w:val="32760C2A"/>
    <w:rsid w:val="32792784"/>
    <w:rsid w:val="327E41AE"/>
    <w:rsid w:val="328439CA"/>
    <w:rsid w:val="32963014"/>
    <w:rsid w:val="329929CD"/>
    <w:rsid w:val="329F4D6D"/>
    <w:rsid w:val="32A81662"/>
    <w:rsid w:val="32C12450"/>
    <w:rsid w:val="32C957DF"/>
    <w:rsid w:val="32CD528B"/>
    <w:rsid w:val="32D30E3D"/>
    <w:rsid w:val="32E74055"/>
    <w:rsid w:val="32EA0361"/>
    <w:rsid w:val="32EF3749"/>
    <w:rsid w:val="32F30180"/>
    <w:rsid w:val="32F409BE"/>
    <w:rsid w:val="330029F3"/>
    <w:rsid w:val="3310389B"/>
    <w:rsid w:val="331D4B05"/>
    <w:rsid w:val="33380A09"/>
    <w:rsid w:val="335531AB"/>
    <w:rsid w:val="33575837"/>
    <w:rsid w:val="3360231F"/>
    <w:rsid w:val="336145B3"/>
    <w:rsid w:val="337F4C24"/>
    <w:rsid w:val="33823059"/>
    <w:rsid w:val="33851205"/>
    <w:rsid w:val="3393422B"/>
    <w:rsid w:val="33AE2AA9"/>
    <w:rsid w:val="33BE1466"/>
    <w:rsid w:val="33BE1C06"/>
    <w:rsid w:val="33C418D6"/>
    <w:rsid w:val="33C602F1"/>
    <w:rsid w:val="33CF1853"/>
    <w:rsid w:val="33CF4D0C"/>
    <w:rsid w:val="33D312B7"/>
    <w:rsid w:val="33D31D22"/>
    <w:rsid w:val="33E81877"/>
    <w:rsid w:val="342978A0"/>
    <w:rsid w:val="34317089"/>
    <w:rsid w:val="343355A7"/>
    <w:rsid w:val="344A56A2"/>
    <w:rsid w:val="344D6D32"/>
    <w:rsid w:val="345D33AC"/>
    <w:rsid w:val="34780841"/>
    <w:rsid w:val="34847546"/>
    <w:rsid w:val="34A05819"/>
    <w:rsid w:val="34A31C90"/>
    <w:rsid w:val="34AE096A"/>
    <w:rsid w:val="34AF46A1"/>
    <w:rsid w:val="34B60096"/>
    <w:rsid w:val="34C33E35"/>
    <w:rsid w:val="34E16815"/>
    <w:rsid w:val="34EE186A"/>
    <w:rsid w:val="351E7FE3"/>
    <w:rsid w:val="351F4524"/>
    <w:rsid w:val="353A28CB"/>
    <w:rsid w:val="356B2CD9"/>
    <w:rsid w:val="358D5392"/>
    <w:rsid w:val="35925295"/>
    <w:rsid w:val="359E4A18"/>
    <w:rsid w:val="35A0619D"/>
    <w:rsid w:val="35B25F00"/>
    <w:rsid w:val="35B708E4"/>
    <w:rsid w:val="35D16601"/>
    <w:rsid w:val="35E92481"/>
    <w:rsid w:val="35EC64C4"/>
    <w:rsid w:val="35F16001"/>
    <w:rsid w:val="35F3645D"/>
    <w:rsid w:val="36021C38"/>
    <w:rsid w:val="360428A2"/>
    <w:rsid w:val="36137B88"/>
    <w:rsid w:val="36151663"/>
    <w:rsid w:val="36296844"/>
    <w:rsid w:val="363B1527"/>
    <w:rsid w:val="364B59EF"/>
    <w:rsid w:val="36533A4B"/>
    <w:rsid w:val="36582A0C"/>
    <w:rsid w:val="367E0853"/>
    <w:rsid w:val="368374E7"/>
    <w:rsid w:val="3685375C"/>
    <w:rsid w:val="36977A9E"/>
    <w:rsid w:val="369F54E7"/>
    <w:rsid w:val="36A84B4D"/>
    <w:rsid w:val="36B335DA"/>
    <w:rsid w:val="36BB3597"/>
    <w:rsid w:val="36BD0370"/>
    <w:rsid w:val="36C80A6B"/>
    <w:rsid w:val="36D45384"/>
    <w:rsid w:val="36D852A3"/>
    <w:rsid w:val="36DD312C"/>
    <w:rsid w:val="36E76E7C"/>
    <w:rsid w:val="36F94C16"/>
    <w:rsid w:val="37075F57"/>
    <w:rsid w:val="370865A2"/>
    <w:rsid w:val="370B438A"/>
    <w:rsid w:val="370C414F"/>
    <w:rsid w:val="37394B6F"/>
    <w:rsid w:val="37411994"/>
    <w:rsid w:val="375179FA"/>
    <w:rsid w:val="375548CA"/>
    <w:rsid w:val="375C2281"/>
    <w:rsid w:val="37775CD9"/>
    <w:rsid w:val="37A52850"/>
    <w:rsid w:val="37B13CB2"/>
    <w:rsid w:val="37BB0B1F"/>
    <w:rsid w:val="37C03E3F"/>
    <w:rsid w:val="37C33FD2"/>
    <w:rsid w:val="37CB1755"/>
    <w:rsid w:val="383946A1"/>
    <w:rsid w:val="384E0C14"/>
    <w:rsid w:val="3850190B"/>
    <w:rsid w:val="385D1352"/>
    <w:rsid w:val="385E721A"/>
    <w:rsid w:val="387964C7"/>
    <w:rsid w:val="389758FE"/>
    <w:rsid w:val="389A7841"/>
    <w:rsid w:val="389D78F4"/>
    <w:rsid w:val="38A16A29"/>
    <w:rsid w:val="38A74AAA"/>
    <w:rsid w:val="38AA0669"/>
    <w:rsid w:val="38C409A5"/>
    <w:rsid w:val="38CA2B01"/>
    <w:rsid w:val="38D82825"/>
    <w:rsid w:val="38E40145"/>
    <w:rsid w:val="38FB1047"/>
    <w:rsid w:val="38FC468C"/>
    <w:rsid w:val="38FE6AF6"/>
    <w:rsid w:val="3912574C"/>
    <w:rsid w:val="39155CC9"/>
    <w:rsid w:val="391F3E6C"/>
    <w:rsid w:val="392F334A"/>
    <w:rsid w:val="39401649"/>
    <w:rsid w:val="39404CCA"/>
    <w:rsid w:val="39542E1A"/>
    <w:rsid w:val="396F1445"/>
    <w:rsid w:val="399330A7"/>
    <w:rsid w:val="39966439"/>
    <w:rsid w:val="39967A4C"/>
    <w:rsid w:val="39AD392D"/>
    <w:rsid w:val="39B06F76"/>
    <w:rsid w:val="39C037CE"/>
    <w:rsid w:val="39C47648"/>
    <w:rsid w:val="3A07243A"/>
    <w:rsid w:val="3A0D3858"/>
    <w:rsid w:val="3A0F50BF"/>
    <w:rsid w:val="3A232A8E"/>
    <w:rsid w:val="3A2E0686"/>
    <w:rsid w:val="3A547F14"/>
    <w:rsid w:val="3A584AAA"/>
    <w:rsid w:val="3A7F2018"/>
    <w:rsid w:val="3A9F0813"/>
    <w:rsid w:val="3ABA3B8B"/>
    <w:rsid w:val="3ABE3E88"/>
    <w:rsid w:val="3AD978F8"/>
    <w:rsid w:val="3ADA0E2B"/>
    <w:rsid w:val="3ADC6B63"/>
    <w:rsid w:val="3AE6135D"/>
    <w:rsid w:val="3AFC6DF8"/>
    <w:rsid w:val="3B1258E4"/>
    <w:rsid w:val="3B2F7C05"/>
    <w:rsid w:val="3B324914"/>
    <w:rsid w:val="3B3678C9"/>
    <w:rsid w:val="3B424B80"/>
    <w:rsid w:val="3B4A15C3"/>
    <w:rsid w:val="3B4F1E3A"/>
    <w:rsid w:val="3B575B13"/>
    <w:rsid w:val="3B5A1214"/>
    <w:rsid w:val="3B606A1E"/>
    <w:rsid w:val="3B613F5A"/>
    <w:rsid w:val="3B7B1224"/>
    <w:rsid w:val="3B830F21"/>
    <w:rsid w:val="3BB74069"/>
    <w:rsid w:val="3BC81513"/>
    <w:rsid w:val="3BD46F75"/>
    <w:rsid w:val="3BD5458B"/>
    <w:rsid w:val="3BD92649"/>
    <w:rsid w:val="3BEF1774"/>
    <w:rsid w:val="3C001227"/>
    <w:rsid w:val="3C043739"/>
    <w:rsid w:val="3C1301C5"/>
    <w:rsid w:val="3C225B1F"/>
    <w:rsid w:val="3C371E08"/>
    <w:rsid w:val="3C513FD9"/>
    <w:rsid w:val="3C893DCE"/>
    <w:rsid w:val="3C906EB5"/>
    <w:rsid w:val="3C942FC0"/>
    <w:rsid w:val="3CA176C6"/>
    <w:rsid w:val="3CC637D9"/>
    <w:rsid w:val="3CC74ACF"/>
    <w:rsid w:val="3CCA0E81"/>
    <w:rsid w:val="3CF434B9"/>
    <w:rsid w:val="3D001B5D"/>
    <w:rsid w:val="3D0833DF"/>
    <w:rsid w:val="3D0F63E2"/>
    <w:rsid w:val="3D1612C7"/>
    <w:rsid w:val="3D31466F"/>
    <w:rsid w:val="3D3429C1"/>
    <w:rsid w:val="3D4E49BC"/>
    <w:rsid w:val="3D5B62D3"/>
    <w:rsid w:val="3D7C352D"/>
    <w:rsid w:val="3D805CA2"/>
    <w:rsid w:val="3D9730D4"/>
    <w:rsid w:val="3D9817BE"/>
    <w:rsid w:val="3DA342FB"/>
    <w:rsid w:val="3DA40903"/>
    <w:rsid w:val="3DA9164D"/>
    <w:rsid w:val="3DA9686B"/>
    <w:rsid w:val="3DDE4C51"/>
    <w:rsid w:val="3DEE792F"/>
    <w:rsid w:val="3E22021C"/>
    <w:rsid w:val="3E2328B3"/>
    <w:rsid w:val="3E4D2BC6"/>
    <w:rsid w:val="3E7016B2"/>
    <w:rsid w:val="3E7222CA"/>
    <w:rsid w:val="3E8F4754"/>
    <w:rsid w:val="3E914C38"/>
    <w:rsid w:val="3EA15515"/>
    <w:rsid w:val="3EAB3269"/>
    <w:rsid w:val="3EB15CA2"/>
    <w:rsid w:val="3EB80034"/>
    <w:rsid w:val="3EE55BD9"/>
    <w:rsid w:val="3EEF6830"/>
    <w:rsid w:val="3EFA177D"/>
    <w:rsid w:val="3EFB2694"/>
    <w:rsid w:val="3F2A5313"/>
    <w:rsid w:val="3F3F5EDE"/>
    <w:rsid w:val="3F511881"/>
    <w:rsid w:val="3F56349D"/>
    <w:rsid w:val="3F5C4973"/>
    <w:rsid w:val="3F636B8A"/>
    <w:rsid w:val="3F6B157F"/>
    <w:rsid w:val="3F895BC8"/>
    <w:rsid w:val="3F8A0B7D"/>
    <w:rsid w:val="3FBC5B89"/>
    <w:rsid w:val="3FC42E8A"/>
    <w:rsid w:val="3FCD1A27"/>
    <w:rsid w:val="3FD01C2F"/>
    <w:rsid w:val="3FE756BB"/>
    <w:rsid w:val="3FFD3DD9"/>
    <w:rsid w:val="401C0367"/>
    <w:rsid w:val="405673EC"/>
    <w:rsid w:val="405F00AD"/>
    <w:rsid w:val="406367A8"/>
    <w:rsid w:val="40693C3C"/>
    <w:rsid w:val="407A1958"/>
    <w:rsid w:val="40824356"/>
    <w:rsid w:val="40880297"/>
    <w:rsid w:val="408A4171"/>
    <w:rsid w:val="40A644E8"/>
    <w:rsid w:val="40AD1651"/>
    <w:rsid w:val="40C057A2"/>
    <w:rsid w:val="40C96278"/>
    <w:rsid w:val="40CF35E1"/>
    <w:rsid w:val="40DF1738"/>
    <w:rsid w:val="4109786C"/>
    <w:rsid w:val="412C7DEC"/>
    <w:rsid w:val="41387B1A"/>
    <w:rsid w:val="416846EC"/>
    <w:rsid w:val="41784AB7"/>
    <w:rsid w:val="41923800"/>
    <w:rsid w:val="4192786B"/>
    <w:rsid w:val="41964AD6"/>
    <w:rsid w:val="419E7290"/>
    <w:rsid w:val="41A11905"/>
    <w:rsid w:val="41AB7612"/>
    <w:rsid w:val="41B23732"/>
    <w:rsid w:val="41B52C95"/>
    <w:rsid w:val="41E675E3"/>
    <w:rsid w:val="41E87C40"/>
    <w:rsid w:val="42070FF2"/>
    <w:rsid w:val="42081422"/>
    <w:rsid w:val="42154958"/>
    <w:rsid w:val="4226672A"/>
    <w:rsid w:val="422C4EE8"/>
    <w:rsid w:val="42330050"/>
    <w:rsid w:val="423E2F69"/>
    <w:rsid w:val="424F6AB4"/>
    <w:rsid w:val="425A0931"/>
    <w:rsid w:val="427C388C"/>
    <w:rsid w:val="42841777"/>
    <w:rsid w:val="42A412AD"/>
    <w:rsid w:val="42A46147"/>
    <w:rsid w:val="42B03565"/>
    <w:rsid w:val="42C40922"/>
    <w:rsid w:val="42F71B3E"/>
    <w:rsid w:val="43083390"/>
    <w:rsid w:val="432314DB"/>
    <w:rsid w:val="4326280E"/>
    <w:rsid w:val="436774B3"/>
    <w:rsid w:val="437D59B5"/>
    <w:rsid w:val="4384404B"/>
    <w:rsid w:val="438D62CF"/>
    <w:rsid w:val="43A10F2E"/>
    <w:rsid w:val="43AC2434"/>
    <w:rsid w:val="43BF2634"/>
    <w:rsid w:val="43FC58A5"/>
    <w:rsid w:val="44050F35"/>
    <w:rsid w:val="44113F4C"/>
    <w:rsid w:val="44383684"/>
    <w:rsid w:val="444F26B7"/>
    <w:rsid w:val="445434A5"/>
    <w:rsid w:val="44756371"/>
    <w:rsid w:val="447906FE"/>
    <w:rsid w:val="447D6EC0"/>
    <w:rsid w:val="447E0F3C"/>
    <w:rsid w:val="4485675A"/>
    <w:rsid w:val="448645F7"/>
    <w:rsid w:val="44BA3C50"/>
    <w:rsid w:val="44C606FE"/>
    <w:rsid w:val="44DF1B8D"/>
    <w:rsid w:val="44EB64B4"/>
    <w:rsid w:val="44F8735F"/>
    <w:rsid w:val="44FD45B7"/>
    <w:rsid w:val="44FE772F"/>
    <w:rsid w:val="450A5C15"/>
    <w:rsid w:val="451D2AC3"/>
    <w:rsid w:val="45254515"/>
    <w:rsid w:val="455E2FAC"/>
    <w:rsid w:val="456F4F10"/>
    <w:rsid w:val="45723F87"/>
    <w:rsid w:val="45761664"/>
    <w:rsid w:val="459E19BF"/>
    <w:rsid w:val="459E34A1"/>
    <w:rsid w:val="45B3022F"/>
    <w:rsid w:val="45C92204"/>
    <w:rsid w:val="45D55C4C"/>
    <w:rsid w:val="45D603C3"/>
    <w:rsid w:val="45E0339C"/>
    <w:rsid w:val="45E30A64"/>
    <w:rsid w:val="45E72702"/>
    <w:rsid w:val="4609328A"/>
    <w:rsid w:val="461D1D71"/>
    <w:rsid w:val="46284D54"/>
    <w:rsid w:val="462F0EB3"/>
    <w:rsid w:val="46476BC6"/>
    <w:rsid w:val="464B09EF"/>
    <w:rsid w:val="465C35C1"/>
    <w:rsid w:val="466060F2"/>
    <w:rsid w:val="466306B0"/>
    <w:rsid w:val="46780E1B"/>
    <w:rsid w:val="46942157"/>
    <w:rsid w:val="469914E3"/>
    <w:rsid w:val="46A46780"/>
    <w:rsid w:val="46CC190F"/>
    <w:rsid w:val="46D01214"/>
    <w:rsid w:val="46D46184"/>
    <w:rsid w:val="46E433DD"/>
    <w:rsid w:val="46E75DE1"/>
    <w:rsid w:val="47417C83"/>
    <w:rsid w:val="47422245"/>
    <w:rsid w:val="47484C91"/>
    <w:rsid w:val="474E07CE"/>
    <w:rsid w:val="4760157E"/>
    <w:rsid w:val="478B2A70"/>
    <w:rsid w:val="47A570D1"/>
    <w:rsid w:val="47A621BC"/>
    <w:rsid w:val="47AC2559"/>
    <w:rsid w:val="47C25A11"/>
    <w:rsid w:val="47C34BF5"/>
    <w:rsid w:val="47F51F0F"/>
    <w:rsid w:val="47FB0D99"/>
    <w:rsid w:val="481F6236"/>
    <w:rsid w:val="4840094D"/>
    <w:rsid w:val="48405637"/>
    <w:rsid w:val="484B76C4"/>
    <w:rsid w:val="485B64FF"/>
    <w:rsid w:val="48610D0F"/>
    <w:rsid w:val="48765D3B"/>
    <w:rsid w:val="488B2D4E"/>
    <w:rsid w:val="489D5B39"/>
    <w:rsid w:val="48D33F3C"/>
    <w:rsid w:val="48D769C6"/>
    <w:rsid w:val="48DF1859"/>
    <w:rsid w:val="48E02DC6"/>
    <w:rsid w:val="48E8440E"/>
    <w:rsid w:val="48F1787E"/>
    <w:rsid w:val="48F22F2C"/>
    <w:rsid w:val="48F655EA"/>
    <w:rsid w:val="490A6692"/>
    <w:rsid w:val="490B58F5"/>
    <w:rsid w:val="49122557"/>
    <w:rsid w:val="49165CD4"/>
    <w:rsid w:val="492A5F03"/>
    <w:rsid w:val="493914B1"/>
    <w:rsid w:val="49584931"/>
    <w:rsid w:val="49617747"/>
    <w:rsid w:val="4984103C"/>
    <w:rsid w:val="49853C69"/>
    <w:rsid w:val="4985631A"/>
    <w:rsid w:val="498A296D"/>
    <w:rsid w:val="49970F7C"/>
    <w:rsid w:val="49AF11BC"/>
    <w:rsid w:val="49CF101F"/>
    <w:rsid w:val="49D163A6"/>
    <w:rsid w:val="4A02129E"/>
    <w:rsid w:val="4A0A5439"/>
    <w:rsid w:val="4A1B6691"/>
    <w:rsid w:val="4A1D080F"/>
    <w:rsid w:val="4A3676F0"/>
    <w:rsid w:val="4A434F96"/>
    <w:rsid w:val="4A7702D7"/>
    <w:rsid w:val="4A7B647E"/>
    <w:rsid w:val="4A7F713E"/>
    <w:rsid w:val="4A8A50DF"/>
    <w:rsid w:val="4AC7261C"/>
    <w:rsid w:val="4ADB495A"/>
    <w:rsid w:val="4AE85E5D"/>
    <w:rsid w:val="4AEF335B"/>
    <w:rsid w:val="4AFB24CA"/>
    <w:rsid w:val="4B046833"/>
    <w:rsid w:val="4B047438"/>
    <w:rsid w:val="4B0A06B5"/>
    <w:rsid w:val="4B1531A5"/>
    <w:rsid w:val="4B57248F"/>
    <w:rsid w:val="4B5A6AB7"/>
    <w:rsid w:val="4B6C42FA"/>
    <w:rsid w:val="4BAB095C"/>
    <w:rsid w:val="4BAD681C"/>
    <w:rsid w:val="4BBE5FED"/>
    <w:rsid w:val="4BC33C4E"/>
    <w:rsid w:val="4BC50E75"/>
    <w:rsid w:val="4BC57954"/>
    <w:rsid w:val="4BE758AD"/>
    <w:rsid w:val="4BEC6632"/>
    <w:rsid w:val="4BF04569"/>
    <w:rsid w:val="4C05108B"/>
    <w:rsid w:val="4C1066B8"/>
    <w:rsid w:val="4C1B1030"/>
    <w:rsid w:val="4C1E2099"/>
    <w:rsid w:val="4C347AB6"/>
    <w:rsid w:val="4C3C1C60"/>
    <w:rsid w:val="4C480DB4"/>
    <w:rsid w:val="4C6A3AD4"/>
    <w:rsid w:val="4C7B4571"/>
    <w:rsid w:val="4C7F7227"/>
    <w:rsid w:val="4CAC6F1E"/>
    <w:rsid w:val="4CC13636"/>
    <w:rsid w:val="4CD26D0B"/>
    <w:rsid w:val="4CDE5035"/>
    <w:rsid w:val="4CF71CF2"/>
    <w:rsid w:val="4CFD5C6C"/>
    <w:rsid w:val="4D215EA9"/>
    <w:rsid w:val="4D2F3630"/>
    <w:rsid w:val="4D321D1B"/>
    <w:rsid w:val="4D416DCE"/>
    <w:rsid w:val="4D4D4BC3"/>
    <w:rsid w:val="4D566987"/>
    <w:rsid w:val="4D572F51"/>
    <w:rsid w:val="4D595963"/>
    <w:rsid w:val="4D5F7E09"/>
    <w:rsid w:val="4D6E7EEA"/>
    <w:rsid w:val="4D8054CC"/>
    <w:rsid w:val="4D855132"/>
    <w:rsid w:val="4D9A47CB"/>
    <w:rsid w:val="4DA80A75"/>
    <w:rsid w:val="4DBD7FEE"/>
    <w:rsid w:val="4DC85818"/>
    <w:rsid w:val="4DD13350"/>
    <w:rsid w:val="4DD618B5"/>
    <w:rsid w:val="4DEE47A1"/>
    <w:rsid w:val="4DF63713"/>
    <w:rsid w:val="4E0A0633"/>
    <w:rsid w:val="4E103B15"/>
    <w:rsid w:val="4E117848"/>
    <w:rsid w:val="4E3B1CB8"/>
    <w:rsid w:val="4E3F02AD"/>
    <w:rsid w:val="4E414F0A"/>
    <w:rsid w:val="4E496574"/>
    <w:rsid w:val="4E4D0ED0"/>
    <w:rsid w:val="4E540C26"/>
    <w:rsid w:val="4E7D791B"/>
    <w:rsid w:val="4E9969DE"/>
    <w:rsid w:val="4EAD3542"/>
    <w:rsid w:val="4EB71C47"/>
    <w:rsid w:val="4ECC08D2"/>
    <w:rsid w:val="4ED0625B"/>
    <w:rsid w:val="4ED7799E"/>
    <w:rsid w:val="4EE3239F"/>
    <w:rsid w:val="4EEC301D"/>
    <w:rsid w:val="4F115C8D"/>
    <w:rsid w:val="4F1456D4"/>
    <w:rsid w:val="4F1F055D"/>
    <w:rsid w:val="4F210F7E"/>
    <w:rsid w:val="4F281A58"/>
    <w:rsid w:val="4F284D8A"/>
    <w:rsid w:val="4F2E009B"/>
    <w:rsid w:val="4F3C0536"/>
    <w:rsid w:val="4F465418"/>
    <w:rsid w:val="4F473CA0"/>
    <w:rsid w:val="4F4E1E29"/>
    <w:rsid w:val="4F4E3061"/>
    <w:rsid w:val="4F4E7DA7"/>
    <w:rsid w:val="4F5A7BCE"/>
    <w:rsid w:val="4F5D7CE2"/>
    <w:rsid w:val="4F615AA1"/>
    <w:rsid w:val="4F674A69"/>
    <w:rsid w:val="4F6C3989"/>
    <w:rsid w:val="4F913523"/>
    <w:rsid w:val="4F98719E"/>
    <w:rsid w:val="4FC45732"/>
    <w:rsid w:val="4FD60AE6"/>
    <w:rsid w:val="4FD866C0"/>
    <w:rsid w:val="4FDF59EF"/>
    <w:rsid w:val="4FE2041A"/>
    <w:rsid w:val="4FE475EC"/>
    <w:rsid w:val="4FF725D7"/>
    <w:rsid w:val="4FF83E0B"/>
    <w:rsid w:val="500258E6"/>
    <w:rsid w:val="50092D56"/>
    <w:rsid w:val="502B2E0F"/>
    <w:rsid w:val="502D6A6C"/>
    <w:rsid w:val="504070C6"/>
    <w:rsid w:val="504B2B61"/>
    <w:rsid w:val="504E06F8"/>
    <w:rsid w:val="506127DE"/>
    <w:rsid w:val="50617A72"/>
    <w:rsid w:val="50674414"/>
    <w:rsid w:val="50684AD2"/>
    <w:rsid w:val="50797895"/>
    <w:rsid w:val="508C4C23"/>
    <w:rsid w:val="509806EB"/>
    <w:rsid w:val="50AB3514"/>
    <w:rsid w:val="50B16E22"/>
    <w:rsid w:val="50D0126F"/>
    <w:rsid w:val="50E52E73"/>
    <w:rsid w:val="50F64239"/>
    <w:rsid w:val="50FD57F6"/>
    <w:rsid w:val="510B0F78"/>
    <w:rsid w:val="51397FE2"/>
    <w:rsid w:val="5144471C"/>
    <w:rsid w:val="515738B4"/>
    <w:rsid w:val="515E50B1"/>
    <w:rsid w:val="517A0490"/>
    <w:rsid w:val="519E7D36"/>
    <w:rsid w:val="51A12F95"/>
    <w:rsid w:val="51D01E40"/>
    <w:rsid w:val="51DF24C3"/>
    <w:rsid w:val="51EB08A2"/>
    <w:rsid w:val="51F40437"/>
    <w:rsid w:val="51FD15A5"/>
    <w:rsid w:val="52175561"/>
    <w:rsid w:val="52377367"/>
    <w:rsid w:val="52524AEE"/>
    <w:rsid w:val="525862B6"/>
    <w:rsid w:val="526C1858"/>
    <w:rsid w:val="52BA7E5F"/>
    <w:rsid w:val="52C906EB"/>
    <w:rsid w:val="52FE4B64"/>
    <w:rsid w:val="530C459A"/>
    <w:rsid w:val="531E11C9"/>
    <w:rsid w:val="533031C8"/>
    <w:rsid w:val="533C628D"/>
    <w:rsid w:val="534F61D0"/>
    <w:rsid w:val="53906089"/>
    <w:rsid w:val="539A7C4E"/>
    <w:rsid w:val="53A50769"/>
    <w:rsid w:val="53A854CE"/>
    <w:rsid w:val="53B0778A"/>
    <w:rsid w:val="53C547A2"/>
    <w:rsid w:val="53C77E3C"/>
    <w:rsid w:val="53CF49DB"/>
    <w:rsid w:val="53DF5036"/>
    <w:rsid w:val="53E64E17"/>
    <w:rsid w:val="53E76A21"/>
    <w:rsid w:val="53EE60CA"/>
    <w:rsid w:val="53F10DC5"/>
    <w:rsid w:val="53FC5934"/>
    <w:rsid w:val="540C7B51"/>
    <w:rsid w:val="54210ABC"/>
    <w:rsid w:val="543F309C"/>
    <w:rsid w:val="54473E25"/>
    <w:rsid w:val="544B4AA2"/>
    <w:rsid w:val="545A32F1"/>
    <w:rsid w:val="54887BE7"/>
    <w:rsid w:val="54951E40"/>
    <w:rsid w:val="54970CA3"/>
    <w:rsid w:val="54A5693C"/>
    <w:rsid w:val="54AF5BB0"/>
    <w:rsid w:val="54B600C8"/>
    <w:rsid w:val="54BD0ACE"/>
    <w:rsid w:val="54CF3730"/>
    <w:rsid w:val="54FA3346"/>
    <w:rsid w:val="550B0D67"/>
    <w:rsid w:val="551534DB"/>
    <w:rsid w:val="551804E7"/>
    <w:rsid w:val="55235E9C"/>
    <w:rsid w:val="552770F4"/>
    <w:rsid w:val="553D2899"/>
    <w:rsid w:val="554866D1"/>
    <w:rsid w:val="555443C0"/>
    <w:rsid w:val="5558321B"/>
    <w:rsid w:val="557B071D"/>
    <w:rsid w:val="558256CE"/>
    <w:rsid w:val="55825885"/>
    <w:rsid w:val="559302EF"/>
    <w:rsid w:val="559428AB"/>
    <w:rsid w:val="559C1817"/>
    <w:rsid w:val="559E62B1"/>
    <w:rsid w:val="55B61089"/>
    <w:rsid w:val="55B82241"/>
    <w:rsid w:val="55C54477"/>
    <w:rsid w:val="55CA71B9"/>
    <w:rsid w:val="55E756C6"/>
    <w:rsid w:val="55F45A95"/>
    <w:rsid w:val="56050C0A"/>
    <w:rsid w:val="561C493E"/>
    <w:rsid w:val="562063C9"/>
    <w:rsid w:val="5666296A"/>
    <w:rsid w:val="568E51CE"/>
    <w:rsid w:val="5693457C"/>
    <w:rsid w:val="56C261D2"/>
    <w:rsid w:val="56C95303"/>
    <w:rsid w:val="56D207FC"/>
    <w:rsid w:val="56D718B5"/>
    <w:rsid w:val="56DC439B"/>
    <w:rsid w:val="56E46B9A"/>
    <w:rsid w:val="56F16C86"/>
    <w:rsid w:val="56F44BCF"/>
    <w:rsid w:val="56FD29B0"/>
    <w:rsid w:val="570840DB"/>
    <w:rsid w:val="571C2E06"/>
    <w:rsid w:val="57324E19"/>
    <w:rsid w:val="574213F1"/>
    <w:rsid w:val="574363FD"/>
    <w:rsid w:val="574633BB"/>
    <w:rsid w:val="574B490C"/>
    <w:rsid w:val="57545DF1"/>
    <w:rsid w:val="57582CE7"/>
    <w:rsid w:val="575A2338"/>
    <w:rsid w:val="577C54C6"/>
    <w:rsid w:val="577D706D"/>
    <w:rsid w:val="57845BEA"/>
    <w:rsid w:val="578B0953"/>
    <w:rsid w:val="57910B7C"/>
    <w:rsid w:val="579642DC"/>
    <w:rsid w:val="579B4DBC"/>
    <w:rsid w:val="57A104CF"/>
    <w:rsid w:val="57A46442"/>
    <w:rsid w:val="57A7215B"/>
    <w:rsid w:val="57BB145C"/>
    <w:rsid w:val="57CC563B"/>
    <w:rsid w:val="57EF2330"/>
    <w:rsid w:val="57F97460"/>
    <w:rsid w:val="580344FE"/>
    <w:rsid w:val="58051478"/>
    <w:rsid w:val="58213243"/>
    <w:rsid w:val="583B12A8"/>
    <w:rsid w:val="5848611E"/>
    <w:rsid w:val="584E0317"/>
    <w:rsid w:val="586D3C4F"/>
    <w:rsid w:val="586E1D15"/>
    <w:rsid w:val="586E20AF"/>
    <w:rsid w:val="587B1618"/>
    <w:rsid w:val="588424EB"/>
    <w:rsid w:val="58895171"/>
    <w:rsid w:val="588A6D7E"/>
    <w:rsid w:val="5896354E"/>
    <w:rsid w:val="58A53B75"/>
    <w:rsid w:val="58C65131"/>
    <w:rsid w:val="58E44507"/>
    <w:rsid w:val="59111B36"/>
    <w:rsid w:val="592D772B"/>
    <w:rsid w:val="59334B76"/>
    <w:rsid w:val="59353149"/>
    <w:rsid w:val="594125BC"/>
    <w:rsid w:val="597D292F"/>
    <w:rsid w:val="59843B7C"/>
    <w:rsid w:val="59B21841"/>
    <w:rsid w:val="59B61EBB"/>
    <w:rsid w:val="59C22904"/>
    <w:rsid w:val="59DB0E78"/>
    <w:rsid w:val="59F97A72"/>
    <w:rsid w:val="5A00004B"/>
    <w:rsid w:val="5A28278D"/>
    <w:rsid w:val="5A4939EF"/>
    <w:rsid w:val="5A497B25"/>
    <w:rsid w:val="5A5D69D5"/>
    <w:rsid w:val="5A6264FA"/>
    <w:rsid w:val="5A732741"/>
    <w:rsid w:val="5A7B2EFD"/>
    <w:rsid w:val="5A940859"/>
    <w:rsid w:val="5AA02DF4"/>
    <w:rsid w:val="5AA21F4B"/>
    <w:rsid w:val="5AB12DE9"/>
    <w:rsid w:val="5ABA03A9"/>
    <w:rsid w:val="5AD01168"/>
    <w:rsid w:val="5AD7514B"/>
    <w:rsid w:val="5ADE6A7C"/>
    <w:rsid w:val="5ADF68D9"/>
    <w:rsid w:val="5AF42BC7"/>
    <w:rsid w:val="5AF97E89"/>
    <w:rsid w:val="5AFC6699"/>
    <w:rsid w:val="5B01717B"/>
    <w:rsid w:val="5B0664B5"/>
    <w:rsid w:val="5B0B7700"/>
    <w:rsid w:val="5B271A1B"/>
    <w:rsid w:val="5B417443"/>
    <w:rsid w:val="5B4F0A46"/>
    <w:rsid w:val="5B504AB3"/>
    <w:rsid w:val="5B560075"/>
    <w:rsid w:val="5B7220D6"/>
    <w:rsid w:val="5B7500DD"/>
    <w:rsid w:val="5BB432CD"/>
    <w:rsid w:val="5BC14A33"/>
    <w:rsid w:val="5BDD548F"/>
    <w:rsid w:val="5BE25679"/>
    <w:rsid w:val="5BE40239"/>
    <w:rsid w:val="5BEE72C6"/>
    <w:rsid w:val="5BF908A9"/>
    <w:rsid w:val="5BFC1211"/>
    <w:rsid w:val="5C1803CE"/>
    <w:rsid w:val="5C221E86"/>
    <w:rsid w:val="5C4C2D10"/>
    <w:rsid w:val="5C4F7C25"/>
    <w:rsid w:val="5C530275"/>
    <w:rsid w:val="5C7D15FE"/>
    <w:rsid w:val="5C7E26CE"/>
    <w:rsid w:val="5C8952DB"/>
    <w:rsid w:val="5C9510ED"/>
    <w:rsid w:val="5C9A5243"/>
    <w:rsid w:val="5CB22670"/>
    <w:rsid w:val="5CB46B63"/>
    <w:rsid w:val="5CB730BC"/>
    <w:rsid w:val="5CC10BC2"/>
    <w:rsid w:val="5CEE08B7"/>
    <w:rsid w:val="5CFE600A"/>
    <w:rsid w:val="5D084180"/>
    <w:rsid w:val="5D194574"/>
    <w:rsid w:val="5D22623E"/>
    <w:rsid w:val="5D6B546A"/>
    <w:rsid w:val="5D7E7612"/>
    <w:rsid w:val="5D904F70"/>
    <w:rsid w:val="5D946993"/>
    <w:rsid w:val="5D9C4A5F"/>
    <w:rsid w:val="5DA23857"/>
    <w:rsid w:val="5DAC5BCA"/>
    <w:rsid w:val="5DD82259"/>
    <w:rsid w:val="5DDC0341"/>
    <w:rsid w:val="5DE67C07"/>
    <w:rsid w:val="5DF94E32"/>
    <w:rsid w:val="5E001545"/>
    <w:rsid w:val="5E01782A"/>
    <w:rsid w:val="5E2B2390"/>
    <w:rsid w:val="5E491A1E"/>
    <w:rsid w:val="5E52682A"/>
    <w:rsid w:val="5E725D25"/>
    <w:rsid w:val="5E7A5F15"/>
    <w:rsid w:val="5E8F7F57"/>
    <w:rsid w:val="5E902F79"/>
    <w:rsid w:val="5E9665F0"/>
    <w:rsid w:val="5EB825B0"/>
    <w:rsid w:val="5EC43077"/>
    <w:rsid w:val="5ECE1AC8"/>
    <w:rsid w:val="5EE04E68"/>
    <w:rsid w:val="5EE75CAC"/>
    <w:rsid w:val="5EFB7F86"/>
    <w:rsid w:val="5F070A1E"/>
    <w:rsid w:val="5F0C00E7"/>
    <w:rsid w:val="5F16276C"/>
    <w:rsid w:val="5F244448"/>
    <w:rsid w:val="5F297A2D"/>
    <w:rsid w:val="5F2B5531"/>
    <w:rsid w:val="5F2B7341"/>
    <w:rsid w:val="5F3429A7"/>
    <w:rsid w:val="5F522276"/>
    <w:rsid w:val="5F5960E5"/>
    <w:rsid w:val="5F61293D"/>
    <w:rsid w:val="5F817255"/>
    <w:rsid w:val="5F914D7F"/>
    <w:rsid w:val="5F954394"/>
    <w:rsid w:val="5FA16FBA"/>
    <w:rsid w:val="5FAD091F"/>
    <w:rsid w:val="5FB1086C"/>
    <w:rsid w:val="5FEF52EC"/>
    <w:rsid w:val="5FFD7F22"/>
    <w:rsid w:val="60024EE1"/>
    <w:rsid w:val="60040B7A"/>
    <w:rsid w:val="60042160"/>
    <w:rsid w:val="601F142B"/>
    <w:rsid w:val="602417D1"/>
    <w:rsid w:val="603776BB"/>
    <w:rsid w:val="60395667"/>
    <w:rsid w:val="603B02EB"/>
    <w:rsid w:val="603D3BE6"/>
    <w:rsid w:val="60432759"/>
    <w:rsid w:val="6060444F"/>
    <w:rsid w:val="60796CF9"/>
    <w:rsid w:val="608225BC"/>
    <w:rsid w:val="60A61DD9"/>
    <w:rsid w:val="60BE7077"/>
    <w:rsid w:val="60C45B2E"/>
    <w:rsid w:val="60D235C8"/>
    <w:rsid w:val="60E0720F"/>
    <w:rsid w:val="60EB4128"/>
    <w:rsid w:val="60EC59B8"/>
    <w:rsid w:val="60F909C0"/>
    <w:rsid w:val="61193C12"/>
    <w:rsid w:val="613D61AF"/>
    <w:rsid w:val="614E2AB0"/>
    <w:rsid w:val="61562B3D"/>
    <w:rsid w:val="615659FA"/>
    <w:rsid w:val="619038D0"/>
    <w:rsid w:val="61906480"/>
    <w:rsid w:val="619E6CD9"/>
    <w:rsid w:val="61A11A3C"/>
    <w:rsid w:val="61BD36EA"/>
    <w:rsid w:val="61C50310"/>
    <w:rsid w:val="61CD0046"/>
    <w:rsid w:val="61EA2300"/>
    <w:rsid w:val="61EB0C67"/>
    <w:rsid w:val="61ED1A94"/>
    <w:rsid w:val="61EF300D"/>
    <w:rsid w:val="61F8377E"/>
    <w:rsid w:val="62081938"/>
    <w:rsid w:val="622E2E60"/>
    <w:rsid w:val="62365E99"/>
    <w:rsid w:val="623930DF"/>
    <w:rsid w:val="623E0D13"/>
    <w:rsid w:val="625C5B39"/>
    <w:rsid w:val="6261081B"/>
    <w:rsid w:val="62631991"/>
    <w:rsid w:val="628F3D6E"/>
    <w:rsid w:val="629C66C4"/>
    <w:rsid w:val="629E2A0A"/>
    <w:rsid w:val="629F4BFF"/>
    <w:rsid w:val="62C41D3B"/>
    <w:rsid w:val="62CD07B8"/>
    <w:rsid w:val="630F50D2"/>
    <w:rsid w:val="63230F89"/>
    <w:rsid w:val="63482BFD"/>
    <w:rsid w:val="634C693F"/>
    <w:rsid w:val="636815EF"/>
    <w:rsid w:val="637762DC"/>
    <w:rsid w:val="63864DA2"/>
    <w:rsid w:val="63971C76"/>
    <w:rsid w:val="639747AB"/>
    <w:rsid w:val="63A41890"/>
    <w:rsid w:val="63AB1925"/>
    <w:rsid w:val="63B74933"/>
    <w:rsid w:val="63C12D81"/>
    <w:rsid w:val="63C828C8"/>
    <w:rsid w:val="63CF6F23"/>
    <w:rsid w:val="63D31CE9"/>
    <w:rsid w:val="63D75392"/>
    <w:rsid w:val="64020B91"/>
    <w:rsid w:val="64234664"/>
    <w:rsid w:val="643A36BC"/>
    <w:rsid w:val="644E004E"/>
    <w:rsid w:val="646060BC"/>
    <w:rsid w:val="6477327D"/>
    <w:rsid w:val="647C25A2"/>
    <w:rsid w:val="648356A4"/>
    <w:rsid w:val="648B3BC8"/>
    <w:rsid w:val="649A6024"/>
    <w:rsid w:val="64AB242C"/>
    <w:rsid w:val="64B56D76"/>
    <w:rsid w:val="64D97995"/>
    <w:rsid w:val="64E213A8"/>
    <w:rsid w:val="64ED5C9D"/>
    <w:rsid w:val="64F05B5C"/>
    <w:rsid w:val="64F2779B"/>
    <w:rsid w:val="64FC3B1C"/>
    <w:rsid w:val="64FE471F"/>
    <w:rsid w:val="65055B18"/>
    <w:rsid w:val="65060A46"/>
    <w:rsid w:val="650729F6"/>
    <w:rsid w:val="650C2ACA"/>
    <w:rsid w:val="651D5090"/>
    <w:rsid w:val="652726C8"/>
    <w:rsid w:val="6533366C"/>
    <w:rsid w:val="653B0591"/>
    <w:rsid w:val="65491A5A"/>
    <w:rsid w:val="654C4484"/>
    <w:rsid w:val="654F4AFD"/>
    <w:rsid w:val="655E6525"/>
    <w:rsid w:val="6598163C"/>
    <w:rsid w:val="659C1F4E"/>
    <w:rsid w:val="659F1ED9"/>
    <w:rsid w:val="65B25C22"/>
    <w:rsid w:val="65BF3C3E"/>
    <w:rsid w:val="65C7132C"/>
    <w:rsid w:val="65CB73A6"/>
    <w:rsid w:val="65DB7B0B"/>
    <w:rsid w:val="65DC575F"/>
    <w:rsid w:val="65DF5886"/>
    <w:rsid w:val="65E7516D"/>
    <w:rsid w:val="65E7775D"/>
    <w:rsid w:val="65F30FDB"/>
    <w:rsid w:val="65F32669"/>
    <w:rsid w:val="661D6FA9"/>
    <w:rsid w:val="664645B9"/>
    <w:rsid w:val="664D5BD4"/>
    <w:rsid w:val="66614E8A"/>
    <w:rsid w:val="666D0C81"/>
    <w:rsid w:val="66713E0E"/>
    <w:rsid w:val="6685187A"/>
    <w:rsid w:val="668775B1"/>
    <w:rsid w:val="668E57FE"/>
    <w:rsid w:val="669B149F"/>
    <w:rsid w:val="66A3657B"/>
    <w:rsid w:val="66A86F50"/>
    <w:rsid w:val="66C04E2F"/>
    <w:rsid w:val="66CC3F32"/>
    <w:rsid w:val="66D25D58"/>
    <w:rsid w:val="66EA3125"/>
    <w:rsid w:val="66FF120D"/>
    <w:rsid w:val="67081B5C"/>
    <w:rsid w:val="67093DDB"/>
    <w:rsid w:val="670D527F"/>
    <w:rsid w:val="6712481A"/>
    <w:rsid w:val="671D358C"/>
    <w:rsid w:val="672607E6"/>
    <w:rsid w:val="67266968"/>
    <w:rsid w:val="673111C5"/>
    <w:rsid w:val="673A63CC"/>
    <w:rsid w:val="674116ED"/>
    <w:rsid w:val="674809F6"/>
    <w:rsid w:val="67587A82"/>
    <w:rsid w:val="676D6A02"/>
    <w:rsid w:val="676F1F8F"/>
    <w:rsid w:val="67732DB1"/>
    <w:rsid w:val="67824405"/>
    <w:rsid w:val="678B486D"/>
    <w:rsid w:val="678B63D6"/>
    <w:rsid w:val="678C27E9"/>
    <w:rsid w:val="67D356E3"/>
    <w:rsid w:val="67D9159A"/>
    <w:rsid w:val="67DB4029"/>
    <w:rsid w:val="68020117"/>
    <w:rsid w:val="6810642E"/>
    <w:rsid w:val="681520D5"/>
    <w:rsid w:val="68153D6B"/>
    <w:rsid w:val="681A7A2F"/>
    <w:rsid w:val="681C682F"/>
    <w:rsid w:val="681E048C"/>
    <w:rsid w:val="681E7EC4"/>
    <w:rsid w:val="68312D6B"/>
    <w:rsid w:val="683B303A"/>
    <w:rsid w:val="683E488F"/>
    <w:rsid w:val="683F2D3D"/>
    <w:rsid w:val="684F7773"/>
    <w:rsid w:val="685F342D"/>
    <w:rsid w:val="686530B6"/>
    <w:rsid w:val="688030AF"/>
    <w:rsid w:val="689C7E23"/>
    <w:rsid w:val="68A16137"/>
    <w:rsid w:val="68A25D44"/>
    <w:rsid w:val="68AB32F7"/>
    <w:rsid w:val="68BC5902"/>
    <w:rsid w:val="68DC3997"/>
    <w:rsid w:val="68DD52F3"/>
    <w:rsid w:val="68E07C96"/>
    <w:rsid w:val="68E11EE0"/>
    <w:rsid w:val="68E648F2"/>
    <w:rsid w:val="68E9068D"/>
    <w:rsid w:val="68EB7739"/>
    <w:rsid w:val="690E7113"/>
    <w:rsid w:val="691A1697"/>
    <w:rsid w:val="691E4D29"/>
    <w:rsid w:val="694A7680"/>
    <w:rsid w:val="694C3962"/>
    <w:rsid w:val="69507B54"/>
    <w:rsid w:val="695866F2"/>
    <w:rsid w:val="695A6831"/>
    <w:rsid w:val="6961093E"/>
    <w:rsid w:val="69693705"/>
    <w:rsid w:val="69727858"/>
    <w:rsid w:val="697678E2"/>
    <w:rsid w:val="697E43E9"/>
    <w:rsid w:val="69821043"/>
    <w:rsid w:val="699B12D1"/>
    <w:rsid w:val="69A35DAC"/>
    <w:rsid w:val="69BB0ED7"/>
    <w:rsid w:val="69C826D5"/>
    <w:rsid w:val="69DE778C"/>
    <w:rsid w:val="69F547D3"/>
    <w:rsid w:val="6A033A48"/>
    <w:rsid w:val="6A185401"/>
    <w:rsid w:val="6A1C0209"/>
    <w:rsid w:val="6A2008A9"/>
    <w:rsid w:val="6A4449A2"/>
    <w:rsid w:val="6A672ACF"/>
    <w:rsid w:val="6A7309C2"/>
    <w:rsid w:val="6A972321"/>
    <w:rsid w:val="6ABB09AA"/>
    <w:rsid w:val="6ACF2BCF"/>
    <w:rsid w:val="6AD136EC"/>
    <w:rsid w:val="6ADC113D"/>
    <w:rsid w:val="6AF17397"/>
    <w:rsid w:val="6B115B35"/>
    <w:rsid w:val="6B13045D"/>
    <w:rsid w:val="6B17695C"/>
    <w:rsid w:val="6B1F6CA8"/>
    <w:rsid w:val="6B446EAD"/>
    <w:rsid w:val="6B5B70C5"/>
    <w:rsid w:val="6B5F4C89"/>
    <w:rsid w:val="6B735E15"/>
    <w:rsid w:val="6B746BC6"/>
    <w:rsid w:val="6B7E4AF9"/>
    <w:rsid w:val="6B850E97"/>
    <w:rsid w:val="6B9222E9"/>
    <w:rsid w:val="6B940745"/>
    <w:rsid w:val="6B9E6825"/>
    <w:rsid w:val="6BB35E6F"/>
    <w:rsid w:val="6BB4760E"/>
    <w:rsid w:val="6BBF0E10"/>
    <w:rsid w:val="6BCD22D3"/>
    <w:rsid w:val="6BD1565E"/>
    <w:rsid w:val="6BFF5135"/>
    <w:rsid w:val="6C0A560D"/>
    <w:rsid w:val="6C0D7937"/>
    <w:rsid w:val="6C164D7B"/>
    <w:rsid w:val="6C1F36D8"/>
    <w:rsid w:val="6C1F7B80"/>
    <w:rsid w:val="6C471E85"/>
    <w:rsid w:val="6C530B12"/>
    <w:rsid w:val="6C750681"/>
    <w:rsid w:val="6C84158F"/>
    <w:rsid w:val="6C8855BD"/>
    <w:rsid w:val="6C902808"/>
    <w:rsid w:val="6C9D2B5B"/>
    <w:rsid w:val="6CAE498C"/>
    <w:rsid w:val="6CAF340C"/>
    <w:rsid w:val="6CC25370"/>
    <w:rsid w:val="6CC9333E"/>
    <w:rsid w:val="6CEE083F"/>
    <w:rsid w:val="6D0249E6"/>
    <w:rsid w:val="6D0F5D7A"/>
    <w:rsid w:val="6D194017"/>
    <w:rsid w:val="6D1C6D5B"/>
    <w:rsid w:val="6D205ECA"/>
    <w:rsid w:val="6D237EC3"/>
    <w:rsid w:val="6D316262"/>
    <w:rsid w:val="6D4C4C2C"/>
    <w:rsid w:val="6D576863"/>
    <w:rsid w:val="6D612F81"/>
    <w:rsid w:val="6D6F05C5"/>
    <w:rsid w:val="6D803701"/>
    <w:rsid w:val="6D891453"/>
    <w:rsid w:val="6DA8338D"/>
    <w:rsid w:val="6DAA24B4"/>
    <w:rsid w:val="6DCB04FF"/>
    <w:rsid w:val="6DEF339A"/>
    <w:rsid w:val="6DFD1AC4"/>
    <w:rsid w:val="6E015443"/>
    <w:rsid w:val="6E037298"/>
    <w:rsid w:val="6E07256D"/>
    <w:rsid w:val="6E0D2C1A"/>
    <w:rsid w:val="6E154EA9"/>
    <w:rsid w:val="6E34057F"/>
    <w:rsid w:val="6E3E7A82"/>
    <w:rsid w:val="6E4C3AFD"/>
    <w:rsid w:val="6E5B5B4B"/>
    <w:rsid w:val="6E6042B7"/>
    <w:rsid w:val="6EA1679B"/>
    <w:rsid w:val="6EA94433"/>
    <w:rsid w:val="6EBE610A"/>
    <w:rsid w:val="6EBF6A23"/>
    <w:rsid w:val="6EEB1FF9"/>
    <w:rsid w:val="6EF530A1"/>
    <w:rsid w:val="6EFD5BB7"/>
    <w:rsid w:val="6F1D21DB"/>
    <w:rsid w:val="6F214E2F"/>
    <w:rsid w:val="6F3C6F9F"/>
    <w:rsid w:val="6F457E36"/>
    <w:rsid w:val="6F4E38E2"/>
    <w:rsid w:val="6F571D77"/>
    <w:rsid w:val="6F60512D"/>
    <w:rsid w:val="6F737180"/>
    <w:rsid w:val="6FBC0412"/>
    <w:rsid w:val="6FEC6EB2"/>
    <w:rsid w:val="704C1F5B"/>
    <w:rsid w:val="70513492"/>
    <w:rsid w:val="705A39EE"/>
    <w:rsid w:val="706B34D7"/>
    <w:rsid w:val="7074603D"/>
    <w:rsid w:val="70882B50"/>
    <w:rsid w:val="70883EF3"/>
    <w:rsid w:val="70916977"/>
    <w:rsid w:val="709B1686"/>
    <w:rsid w:val="70A47194"/>
    <w:rsid w:val="70A873E0"/>
    <w:rsid w:val="70B06ADF"/>
    <w:rsid w:val="70CA3E58"/>
    <w:rsid w:val="70D4698A"/>
    <w:rsid w:val="70D61123"/>
    <w:rsid w:val="70E56E67"/>
    <w:rsid w:val="710F3499"/>
    <w:rsid w:val="711C4915"/>
    <w:rsid w:val="7131560B"/>
    <w:rsid w:val="71355338"/>
    <w:rsid w:val="71530627"/>
    <w:rsid w:val="71553388"/>
    <w:rsid w:val="719951B1"/>
    <w:rsid w:val="719A6E26"/>
    <w:rsid w:val="71A251A9"/>
    <w:rsid w:val="71B06F18"/>
    <w:rsid w:val="71CB7536"/>
    <w:rsid w:val="71D33586"/>
    <w:rsid w:val="71E23E55"/>
    <w:rsid w:val="71E97FD0"/>
    <w:rsid w:val="71EC21EE"/>
    <w:rsid w:val="720A446E"/>
    <w:rsid w:val="720E22AD"/>
    <w:rsid w:val="721D6B8E"/>
    <w:rsid w:val="722E6CF3"/>
    <w:rsid w:val="723328F5"/>
    <w:rsid w:val="72335D03"/>
    <w:rsid w:val="72494552"/>
    <w:rsid w:val="724D45E8"/>
    <w:rsid w:val="72550017"/>
    <w:rsid w:val="72675F56"/>
    <w:rsid w:val="72743F82"/>
    <w:rsid w:val="727907A8"/>
    <w:rsid w:val="729F1647"/>
    <w:rsid w:val="72B55756"/>
    <w:rsid w:val="72C43D2B"/>
    <w:rsid w:val="72CB6CD3"/>
    <w:rsid w:val="72D32909"/>
    <w:rsid w:val="72F50DA2"/>
    <w:rsid w:val="72FC5047"/>
    <w:rsid w:val="73023D3C"/>
    <w:rsid w:val="73150CE0"/>
    <w:rsid w:val="73165E38"/>
    <w:rsid w:val="732C6828"/>
    <w:rsid w:val="73626594"/>
    <w:rsid w:val="73664CE5"/>
    <w:rsid w:val="737A6252"/>
    <w:rsid w:val="738C0E6F"/>
    <w:rsid w:val="73961C45"/>
    <w:rsid w:val="739737DB"/>
    <w:rsid w:val="739E6BD1"/>
    <w:rsid w:val="73A44F2A"/>
    <w:rsid w:val="73A72821"/>
    <w:rsid w:val="74150FB5"/>
    <w:rsid w:val="742C6B21"/>
    <w:rsid w:val="74304CFB"/>
    <w:rsid w:val="74311DD1"/>
    <w:rsid w:val="746A51C2"/>
    <w:rsid w:val="74756067"/>
    <w:rsid w:val="74790613"/>
    <w:rsid w:val="747B2BE8"/>
    <w:rsid w:val="74862800"/>
    <w:rsid w:val="74B34A1B"/>
    <w:rsid w:val="74B925AB"/>
    <w:rsid w:val="74CC21AE"/>
    <w:rsid w:val="74D55B39"/>
    <w:rsid w:val="74D70BCA"/>
    <w:rsid w:val="74D73DB7"/>
    <w:rsid w:val="74DA0D6F"/>
    <w:rsid w:val="75097805"/>
    <w:rsid w:val="75215882"/>
    <w:rsid w:val="754B57C9"/>
    <w:rsid w:val="75525B38"/>
    <w:rsid w:val="75556648"/>
    <w:rsid w:val="755C1D57"/>
    <w:rsid w:val="75626C57"/>
    <w:rsid w:val="756824FE"/>
    <w:rsid w:val="75690A45"/>
    <w:rsid w:val="757A704C"/>
    <w:rsid w:val="75AE4C20"/>
    <w:rsid w:val="75AF6B69"/>
    <w:rsid w:val="75BE1F92"/>
    <w:rsid w:val="75D20666"/>
    <w:rsid w:val="75EB79E1"/>
    <w:rsid w:val="760B1664"/>
    <w:rsid w:val="760D357D"/>
    <w:rsid w:val="761645D4"/>
    <w:rsid w:val="761A7ED8"/>
    <w:rsid w:val="762B3152"/>
    <w:rsid w:val="763C68F7"/>
    <w:rsid w:val="76405038"/>
    <w:rsid w:val="764B5DA3"/>
    <w:rsid w:val="7650028D"/>
    <w:rsid w:val="766F6EAC"/>
    <w:rsid w:val="767A39B0"/>
    <w:rsid w:val="767D5B60"/>
    <w:rsid w:val="768713E9"/>
    <w:rsid w:val="76DB7851"/>
    <w:rsid w:val="76E50D82"/>
    <w:rsid w:val="770241FA"/>
    <w:rsid w:val="772C7786"/>
    <w:rsid w:val="77345980"/>
    <w:rsid w:val="77436BAC"/>
    <w:rsid w:val="774735A6"/>
    <w:rsid w:val="774F797E"/>
    <w:rsid w:val="777C440F"/>
    <w:rsid w:val="778A0B12"/>
    <w:rsid w:val="7797055E"/>
    <w:rsid w:val="779E7EAC"/>
    <w:rsid w:val="77B708C0"/>
    <w:rsid w:val="77C12F64"/>
    <w:rsid w:val="77C82A3B"/>
    <w:rsid w:val="77F82FAA"/>
    <w:rsid w:val="77F961C0"/>
    <w:rsid w:val="78103538"/>
    <w:rsid w:val="782660CF"/>
    <w:rsid w:val="7826733A"/>
    <w:rsid w:val="782A37EE"/>
    <w:rsid w:val="782D3BBB"/>
    <w:rsid w:val="783B11AE"/>
    <w:rsid w:val="78535EC7"/>
    <w:rsid w:val="787E2CC6"/>
    <w:rsid w:val="788A7E91"/>
    <w:rsid w:val="78A75316"/>
    <w:rsid w:val="78B37F1F"/>
    <w:rsid w:val="78B80E89"/>
    <w:rsid w:val="78C7252D"/>
    <w:rsid w:val="78CB0584"/>
    <w:rsid w:val="78DC5AA4"/>
    <w:rsid w:val="78E43151"/>
    <w:rsid w:val="78E5358C"/>
    <w:rsid w:val="7908577F"/>
    <w:rsid w:val="790C722C"/>
    <w:rsid w:val="7914255C"/>
    <w:rsid w:val="792B7DEB"/>
    <w:rsid w:val="792F330B"/>
    <w:rsid w:val="793F1DFC"/>
    <w:rsid w:val="794265DA"/>
    <w:rsid w:val="794B2C3E"/>
    <w:rsid w:val="795154E8"/>
    <w:rsid w:val="795A550A"/>
    <w:rsid w:val="795C1656"/>
    <w:rsid w:val="795E4577"/>
    <w:rsid w:val="79604E77"/>
    <w:rsid w:val="796801D9"/>
    <w:rsid w:val="79717414"/>
    <w:rsid w:val="79971C87"/>
    <w:rsid w:val="799955A3"/>
    <w:rsid w:val="79A72C1A"/>
    <w:rsid w:val="79A96B10"/>
    <w:rsid w:val="79AB49A5"/>
    <w:rsid w:val="79B21405"/>
    <w:rsid w:val="79BA6278"/>
    <w:rsid w:val="79C14EE3"/>
    <w:rsid w:val="79D720FD"/>
    <w:rsid w:val="7A0309D9"/>
    <w:rsid w:val="7A081A64"/>
    <w:rsid w:val="7A0A209C"/>
    <w:rsid w:val="7A16784F"/>
    <w:rsid w:val="7A28643E"/>
    <w:rsid w:val="7A2C0CB2"/>
    <w:rsid w:val="7A2C6A89"/>
    <w:rsid w:val="7A37486C"/>
    <w:rsid w:val="7A40723A"/>
    <w:rsid w:val="7A825166"/>
    <w:rsid w:val="7A851585"/>
    <w:rsid w:val="7A851910"/>
    <w:rsid w:val="7A994E56"/>
    <w:rsid w:val="7AAE06C3"/>
    <w:rsid w:val="7AD07D15"/>
    <w:rsid w:val="7AE644DF"/>
    <w:rsid w:val="7AF6094A"/>
    <w:rsid w:val="7AF82C8B"/>
    <w:rsid w:val="7AFB4DBC"/>
    <w:rsid w:val="7AFF71A6"/>
    <w:rsid w:val="7B0E08AE"/>
    <w:rsid w:val="7B0F72C1"/>
    <w:rsid w:val="7B1A261A"/>
    <w:rsid w:val="7B2B62C3"/>
    <w:rsid w:val="7B2C33A2"/>
    <w:rsid w:val="7B3557F8"/>
    <w:rsid w:val="7B3F165E"/>
    <w:rsid w:val="7B5B3EA0"/>
    <w:rsid w:val="7B6C6B7E"/>
    <w:rsid w:val="7B93404B"/>
    <w:rsid w:val="7B966084"/>
    <w:rsid w:val="7B966EFF"/>
    <w:rsid w:val="7BB33FD5"/>
    <w:rsid w:val="7BDA41D7"/>
    <w:rsid w:val="7BEB1183"/>
    <w:rsid w:val="7BEF1E84"/>
    <w:rsid w:val="7C072AEA"/>
    <w:rsid w:val="7C405E00"/>
    <w:rsid w:val="7CA2250C"/>
    <w:rsid w:val="7CC73F63"/>
    <w:rsid w:val="7CD410F5"/>
    <w:rsid w:val="7CDB08FC"/>
    <w:rsid w:val="7CDD7D1D"/>
    <w:rsid w:val="7CEA3839"/>
    <w:rsid w:val="7CF2215B"/>
    <w:rsid w:val="7D0E2BF9"/>
    <w:rsid w:val="7D176697"/>
    <w:rsid w:val="7D291F29"/>
    <w:rsid w:val="7D3A7A01"/>
    <w:rsid w:val="7D3C4DB4"/>
    <w:rsid w:val="7D3F352C"/>
    <w:rsid w:val="7D412E69"/>
    <w:rsid w:val="7D431AB3"/>
    <w:rsid w:val="7D567406"/>
    <w:rsid w:val="7D763C42"/>
    <w:rsid w:val="7D8A547F"/>
    <w:rsid w:val="7D9214A8"/>
    <w:rsid w:val="7DBF4D5A"/>
    <w:rsid w:val="7DD13198"/>
    <w:rsid w:val="7DD13C8D"/>
    <w:rsid w:val="7DD15EDC"/>
    <w:rsid w:val="7DF4442A"/>
    <w:rsid w:val="7DF7680D"/>
    <w:rsid w:val="7DFC0E0A"/>
    <w:rsid w:val="7E031A6F"/>
    <w:rsid w:val="7E0A2067"/>
    <w:rsid w:val="7E17183C"/>
    <w:rsid w:val="7E1B5DCF"/>
    <w:rsid w:val="7E207CD7"/>
    <w:rsid w:val="7E247364"/>
    <w:rsid w:val="7E421E59"/>
    <w:rsid w:val="7E8A7B59"/>
    <w:rsid w:val="7E9C3E45"/>
    <w:rsid w:val="7E9E40E7"/>
    <w:rsid w:val="7EA71F32"/>
    <w:rsid w:val="7EAB3599"/>
    <w:rsid w:val="7ECB015F"/>
    <w:rsid w:val="7ECC0BFF"/>
    <w:rsid w:val="7ED30C88"/>
    <w:rsid w:val="7EE565DB"/>
    <w:rsid w:val="7F020597"/>
    <w:rsid w:val="7F370479"/>
    <w:rsid w:val="7F3B5265"/>
    <w:rsid w:val="7F5B70E0"/>
    <w:rsid w:val="7F6C6FE7"/>
    <w:rsid w:val="7F8546AB"/>
    <w:rsid w:val="7FA23C18"/>
    <w:rsid w:val="7FCA1367"/>
    <w:rsid w:val="7FCD7C81"/>
    <w:rsid w:val="7FD42015"/>
    <w:rsid w:val="7FE31C3E"/>
    <w:rsid w:val="7FF77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300" w:lineRule="auto"/>
      <w:ind w:left="0" w:leftChars="0" w:firstLine="400" w:firstLineChars="200"/>
      <w:jc w:val="left"/>
    </w:pPr>
    <w:rPr>
      <w:rFonts w:ascii="Times New Roman" w:hAnsi="Times New Roman" w:eastAsia="宋体" w:cstheme="minorBidi"/>
      <w:kern w:val="2"/>
      <w:sz w:val="21"/>
      <w:szCs w:val="21"/>
      <w:lang w:val="en-US" w:eastAsia="zh-CN" w:bidi="ar-SA"/>
    </w:rPr>
  </w:style>
  <w:style w:type="paragraph" w:styleId="2">
    <w:name w:val="heading 1"/>
    <w:next w:val="1"/>
    <w:link w:val="39"/>
    <w:qFormat/>
    <w:uiPriority w:val="9"/>
    <w:pPr>
      <w:keepNext/>
      <w:keepLines/>
      <w:numPr>
        <w:ilvl w:val="0"/>
        <w:numId w:val="1"/>
      </w:numPr>
      <w:tabs>
        <w:tab w:val="left" w:pos="0"/>
      </w:tabs>
      <w:adjustRightInd w:val="0"/>
      <w:snapToGrid w:val="0"/>
      <w:spacing w:before="50" w:beforeLines="50" w:after="20" w:afterLines="20" w:line="288" w:lineRule="auto"/>
      <w:outlineLvl w:val="0"/>
    </w:pPr>
    <w:rPr>
      <w:rFonts w:ascii="Times New Roman" w:hAnsi="Times New Roman" w:eastAsia="黑体" w:cs="Times New Roman"/>
      <w:bCs/>
      <w:kern w:val="44"/>
      <w:sz w:val="28"/>
      <w:szCs w:val="44"/>
      <w:lang w:val="en-US" w:eastAsia="zh-CN" w:bidi="ar-SA"/>
    </w:rPr>
  </w:style>
  <w:style w:type="paragraph" w:styleId="3">
    <w:name w:val="heading 2"/>
    <w:basedOn w:val="4"/>
    <w:next w:val="1"/>
    <w:link w:val="43"/>
    <w:unhideWhenUsed/>
    <w:qFormat/>
    <w:uiPriority w:val="9"/>
    <w:pPr>
      <w:outlineLvl w:val="1"/>
    </w:pPr>
  </w:style>
  <w:style w:type="paragraph" w:styleId="5">
    <w:name w:val="heading 3"/>
    <w:basedOn w:val="4"/>
    <w:next w:val="1"/>
    <w:unhideWhenUsed/>
    <w:qFormat/>
    <w:uiPriority w:val="9"/>
    <w:pPr>
      <w:spacing w:after="62"/>
      <w:ind w:firstLine="480"/>
      <w:outlineLvl w:val="2"/>
    </w:pPr>
  </w:style>
  <w:style w:type="paragraph" w:styleId="6">
    <w:name w:val="heading 4"/>
    <w:basedOn w:val="1"/>
    <w:next w:val="1"/>
    <w:unhideWhenUsed/>
    <w:qFormat/>
    <w:uiPriority w:val="9"/>
    <w:pPr>
      <w:outlineLvl w:val="3"/>
    </w:pPr>
    <w:rPr>
      <w:sz w:val="16"/>
      <w:szCs w:val="16"/>
    </w:rPr>
  </w:style>
  <w:style w:type="paragraph" w:styleId="7">
    <w:name w:val="heading 5"/>
    <w:basedOn w:val="1"/>
    <w:next w:val="8"/>
    <w:unhideWhenUsed/>
    <w:qFormat/>
    <w:uiPriority w:val="9"/>
    <w:pPr>
      <w:ind w:firstLine="0" w:firstLineChars="0"/>
      <w:jc w:val="center"/>
      <w:outlineLvl w:val="4"/>
    </w:pPr>
    <w:rPr>
      <w:rFonts w:ascii="Times New Roman" w:hAnsi="Times New Roman"/>
      <w:sz w:val="20"/>
      <w:szCs w:val="20"/>
    </w:rPr>
  </w:style>
  <w:style w:type="paragraph" w:styleId="9">
    <w:name w:val="heading 6"/>
    <w:basedOn w:val="1"/>
    <w:next w:val="8"/>
    <w:unhideWhenUsed/>
    <w:qFormat/>
    <w:uiPriority w:val="0"/>
    <w:pPr>
      <w:ind w:firstLine="300"/>
      <w:outlineLvl w:val="5"/>
    </w:pPr>
    <w:rPr>
      <w:sz w:val="13"/>
      <w:szCs w:val="20"/>
    </w:rPr>
  </w:style>
  <w:style w:type="paragraph" w:styleId="10">
    <w:name w:val="heading 7"/>
    <w:basedOn w:val="1"/>
    <w:next w:val="8"/>
    <w:unhideWhenUsed/>
    <w:qFormat/>
    <w:uiPriority w:val="0"/>
    <w:pPr>
      <w:numPr>
        <w:ilvl w:val="6"/>
        <w:numId w:val="1"/>
      </w:numPr>
      <w:spacing w:before="50" w:beforeLines="50" w:line="288" w:lineRule="auto"/>
      <w:jc w:val="left"/>
      <w:outlineLvl w:val="6"/>
    </w:pPr>
    <w:rPr>
      <w:rFonts w:ascii="微软雅黑" w:hAnsi="微软雅黑"/>
      <w:b/>
      <w:bCs/>
      <w:sz w:val="24"/>
    </w:rPr>
  </w:style>
  <w:style w:type="paragraph" w:styleId="11">
    <w:name w:val="heading 8"/>
    <w:basedOn w:val="1"/>
    <w:next w:val="8"/>
    <w:unhideWhenUsed/>
    <w:qFormat/>
    <w:uiPriority w:val="0"/>
    <w:pPr>
      <w:numPr>
        <w:ilvl w:val="7"/>
        <w:numId w:val="1"/>
      </w:numPr>
      <w:tabs>
        <w:tab w:val="left" w:pos="0"/>
      </w:tabs>
      <w:spacing w:before="50" w:beforeLines="50" w:line="288" w:lineRule="auto"/>
      <w:outlineLvl w:val="7"/>
    </w:pPr>
    <w:rPr>
      <w:rFonts w:ascii="微软雅黑" w:hAnsi="微软雅黑" w:cstheme="majorBidi"/>
      <w:b/>
      <w:bCs/>
      <w:sz w:val="24"/>
    </w:rPr>
  </w:style>
  <w:style w:type="paragraph" w:styleId="12">
    <w:name w:val="heading 9"/>
    <w:basedOn w:val="1"/>
    <w:next w:val="8"/>
    <w:unhideWhenUsed/>
    <w:qFormat/>
    <w:uiPriority w:val="0"/>
    <w:pPr>
      <w:numPr>
        <w:ilvl w:val="8"/>
        <w:numId w:val="1"/>
      </w:numPr>
      <w:spacing w:before="50" w:beforeLines="50" w:line="288" w:lineRule="auto"/>
      <w:outlineLvl w:val="8"/>
    </w:pPr>
    <w:rPr>
      <w:rFonts w:ascii="微软雅黑" w:hAnsi="微软雅黑" w:cstheme="majorBidi"/>
      <w:b/>
      <w:bCs/>
      <w:sz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widowControl/>
      <w:spacing w:beforeAutospacing="1"/>
    </w:pPr>
    <w:rPr>
      <w:rFonts w:ascii="微软雅黑" w:hAnsi="微软雅黑"/>
      <w:sz w:val="24"/>
    </w:rPr>
  </w:style>
  <w:style w:type="paragraph" w:styleId="8">
    <w:name w:val="Body Text"/>
    <w:basedOn w:val="1"/>
    <w:qFormat/>
    <w:uiPriority w:val="0"/>
    <w:pPr>
      <w:spacing w:line="288" w:lineRule="auto"/>
      <w:ind w:firstLine="0" w:firstLineChars="0"/>
    </w:pPr>
    <w:rPr>
      <w:rFonts w:ascii="微软雅黑" w:hAnsi="微软雅黑"/>
      <w:szCs w:val="21"/>
    </w:rPr>
  </w:style>
  <w:style w:type="paragraph" w:styleId="13">
    <w:name w:val="caption"/>
    <w:basedOn w:val="1"/>
    <w:next w:val="1"/>
    <w:unhideWhenUsed/>
    <w:qFormat/>
    <w:uiPriority w:val="0"/>
    <w:pPr>
      <w:ind w:firstLine="0" w:firstLineChars="0"/>
    </w:pPr>
    <w:rPr>
      <w:rFonts w:ascii="微软雅黑" w:hAnsi="微软雅黑" w:cs="Times New Roman"/>
      <w:sz w:val="20"/>
      <w:szCs w:val="20"/>
    </w:rPr>
  </w:style>
  <w:style w:type="paragraph" w:styleId="14">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5">
    <w:name w:val="Salutation"/>
    <w:basedOn w:val="1"/>
    <w:next w:val="1"/>
    <w:qFormat/>
    <w:uiPriority w:val="0"/>
    <w:pPr>
      <w:ind w:firstLine="0" w:firstLineChars="0"/>
    </w:pPr>
    <w:rPr>
      <w:rFonts w:ascii="微软雅黑" w:hAnsi="微软雅黑"/>
      <w:szCs w:val="21"/>
    </w:rPr>
  </w:style>
  <w:style w:type="paragraph" w:styleId="16">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8">
    <w:name w:val="Balloon Text"/>
    <w:basedOn w:val="1"/>
    <w:qFormat/>
    <w:uiPriority w:val="0"/>
    <w:rPr>
      <w:rFonts w:ascii="微软雅黑" w:hAnsi="微软雅黑"/>
      <w:sz w:val="18"/>
      <w:szCs w:val="18"/>
    </w:rPr>
  </w:style>
  <w:style w:type="paragraph" w:styleId="19">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1">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2">
    <w:name w:val="Subtitle"/>
    <w:basedOn w:val="1"/>
    <w:next w:val="8"/>
    <w:qFormat/>
    <w:uiPriority w:val="0"/>
    <w:pPr>
      <w:spacing w:after="100" w:afterLines="100" w:line="240" w:lineRule="auto"/>
      <w:jc w:val="center"/>
    </w:pPr>
    <w:rPr>
      <w:rFonts w:ascii="微软雅黑" w:hAnsi="微软雅黑"/>
      <w:b/>
      <w:bCs/>
      <w:kern w:val="28"/>
      <w:sz w:val="36"/>
      <w:szCs w:val="36"/>
    </w:rPr>
  </w:style>
  <w:style w:type="paragraph" w:styleId="23">
    <w:name w:val="footnote text"/>
    <w:basedOn w:val="1"/>
    <w:qFormat/>
    <w:uiPriority w:val="0"/>
    <w:pPr>
      <w:jc w:val="left"/>
    </w:pPr>
    <w:rPr>
      <w:rFonts w:ascii="微软雅黑" w:hAnsi="微软雅黑" w:eastAsia="微软雅黑"/>
      <w:sz w:val="24"/>
    </w:rPr>
  </w:style>
  <w:style w:type="paragraph" w:styleId="2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25">
    <w:name w:val="Title"/>
    <w:basedOn w:val="1"/>
    <w:qFormat/>
    <w:uiPriority w:val="10"/>
    <w:pPr>
      <w:spacing w:after="100" w:afterLines="100" w:line="288" w:lineRule="auto"/>
      <w:jc w:val="center"/>
    </w:pPr>
    <w:rPr>
      <w:rFonts w:ascii="微软雅黑" w:hAnsi="微软雅黑"/>
      <w:b/>
      <w:bCs/>
      <w:sz w:val="48"/>
      <w:szCs w:val="48"/>
    </w:rPr>
  </w:style>
  <w:style w:type="paragraph" w:styleId="26">
    <w:name w:val="annotation subject"/>
    <w:basedOn w:val="14"/>
    <w:next w:val="14"/>
    <w:qFormat/>
    <w:uiPriority w:val="0"/>
    <w:rPr>
      <w:b/>
      <w:bCs/>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rFonts w:ascii="微软雅黑" w:hAnsi="微软雅黑" w:eastAsia="微软雅黑"/>
      <w:b/>
      <w:color w:val="auto"/>
      <w:u w:val="single"/>
    </w:rPr>
  </w:style>
  <w:style w:type="character" w:styleId="31">
    <w:name w:val="endnote reference"/>
    <w:basedOn w:val="29"/>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2">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3">
    <w:name w:val="FollowedHyperlink"/>
    <w:basedOn w:val="29"/>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4">
    <w:name w:val="Emphasis"/>
    <w:basedOn w:val="29"/>
    <w:qFormat/>
    <w:uiPriority w:val="20"/>
    <w:rPr>
      <w:rFonts w:ascii="Arial" w:hAnsi="Arial" w:eastAsia="微软雅黑"/>
      <w:b/>
      <w:bCs/>
      <w:i/>
      <w:color w:val="auto"/>
      <w:sz w:val="24"/>
      <w:szCs w:val="22"/>
    </w:rPr>
  </w:style>
  <w:style w:type="character" w:styleId="35">
    <w:name w:val="Hyperlink"/>
    <w:basedOn w:val="29"/>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6">
    <w:name w:val="HTML Code"/>
    <w:basedOn w:val="29"/>
    <w:qFormat/>
    <w:uiPriority w:val="0"/>
    <w:rPr>
      <w:rFonts w:ascii="Courier New" w:hAnsi="Courier New"/>
      <w:sz w:val="20"/>
    </w:rPr>
  </w:style>
  <w:style w:type="character" w:styleId="37">
    <w:name w:val="annotation reference"/>
    <w:basedOn w:val="29"/>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8">
    <w:name w:val="footnote reference"/>
    <w:basedOn w:val="29"/>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customStyle="1" w:styleId="39">
    <w:name w:val="标题 1 字符"/>
    <w:link w:val="2"/>
    <w:autoRedefine/>
    <w:qFormat/>
    <w:uiPriority w:val="9"/>
    <w:rPr>
      <w:rFonts w:ascii="Times New Roman" w:hAnsi="Times New Roman" w:eastAsia="黑体" w:cs="Times New Roman"/>
      <w:bCs/>
      <w:kern w:val="44"/>
      <w:sz w:val="28"/>
      <w:szCs w:val="44"/>
    </w:rPr>
  </w:style>
  <w:style w:type="paragraph" w:customStyle="1" w:styleId="40">
    <w:name w:val="题目"/>
    <w:basedOn w:val="25"/>
    <w:autoRedefine/>
    <w:qFormat/>
    <w:uiPriority w:val="0"/>
    <w:pPr>
      <w:spacing w:before="126" w:line="188" w:lineRule="auto"/>
      <w:ind w:left="2242"/>
    </w:pPr>
    <w:rPr>
      <w:rFonts w:ascii="Times New Roman" w:hAnsi="Times New Roman" w:eastAsia="Times New Roman" w:cs="Times New Roman"/>
      <w:snapToGrid w:val="0"/>
      <w:color w:val="000000"/>
      <w:spacing w:val="6"/>
      <w:kern w:val="0"/>
      <w:sz w:val="41"/>
      <w:szCs w:val="41"/>
      <w:lang w:eastAsia="en-US"/>
    </w:rPr>
  </w:style>
  <w:style w:type="paragraph" w:customStyle="1" w:styleId="41">
    <w:name w:val="书目1"/>
    <w:basedOn w:val="1"/>
    <w:qFormat/>
    <w:uiPriority w:val="0"/>
    <w:pPr>
      <w:spacing w:line="240" w:lineRule="auto"/>
      <w:ind w:left="720"/>
    </w:pPr>
  </w:style>
  <w:style w:type="paragraph" w:customStyle="1" w:styleId="42">
    <w:name w:val="Revision"/>
    <w:hidden/>
    <w:unhideWhenUsed/>
    <w:qFormat/>
    <w:uiPriority w:val="99"/>
    <w:rPr>
      <w:rFonts w:ascii="Times New Roman" w:hAnsi="Times New Roman" w:eastAsia="宋体" w:cstheme="minorBidi"/>
      <w:kern w:val="2"/>
      <w:sz w:val="21"/>
      <w:szCs w:val="24"/>
      <w:lang w:val="en-US" w:eastAsia="zh-CN" w:bidi="ar-SA"/>
    </w:rPr>
  </w:style>
  <w:style w:type="character" w:customStyle="1" w:styleId="43">
    <w:name w:val="标题 2 Char"/>
    <w:link w:val="3"/>
    <w:qFormat/>
    <w:uiPriority w:val="9"/>
  </w:style>
  <w:style w:type="paragraph" w:customStyle="1" w:styleId="44">
    <w:name w:val="Bibliography"/>
    <w:basedOn w:val="1"/>
    <w:qFormat/>
    <w:uiPriority w:val="0"/>
    <w:pPr>
      <w:tabs>
        <w:tab w:val="left" w:pos="504"/>
      </w:tabs>
      <w:spacing w:line="240" w:lineRule="auto"/>
      <w:ind w:left="504"/>
    </w:pPr>
  </w:style>
  <w:style w:type="paragraph" w:customStyle="1" w:styleId="45">
    <w:name w:val="图表字"/>
    <w:basedOn w:val="1"/>
    <w:uiPriority w:val="0"/>
    <w:pPr>
      <w:spacing w:after="20" w:line="276" w:lineRule="auto"/>
      <w:ind w:firstLine="0" w:firstLineChars="0"/>
    </w:pPr>
    <w:rPr>
      <w:sz w:val="15"/>
      <w:szCs w:val="15"/>
    </w:rPr>
  </w:style>
  <w:style w:type="paragraph" w:styleId="4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3980</Words>
  <Characters>4376</Characters>
  <Lines>969</Lines>
  <Paragraphs>273</Paragraphs>
  <TotalTime>0</TotalTime>
  <ScaleCrop>false</ScaleCrop>
  <LinksUpToDate>false</LinksUpToDate>
  <CharactersWithSpaces>4443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2026-06-04T14:04:00Z</dcterms:created>
  <dc:creator>nature气吞山河</dc:creator>
  <cp:lastModifiedBy>nature气吞山河</cp:lastModifiedBy>
  <dcterms:modified xsi:type="dcterms:W3CDTF">2026-06-16T02:25:53Z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215E623597E94576817910FEB2C69AEC_13</vt:lpwstr>
  </property>
  <property fmtid="{D5CDD505-2E9C-101B-9397-08002B2CF9AE}" pid="4" name="KSOTemplateDocerSaveRecord">
    <vt:lpwstr>eyJoZGlkIjoiNmM1YzIyNDY4ZGFkMWVlMTdkYzRhZWQzYTVmMzYwZWMiLCJ1c2VySWQiOiIxMzE1OTk2MzcxIn0=</vt:lpwstr>
  </property>
  <property fmtid="{D5CDD505-2E9C-101B-9397-08002B2CF9AE}" pid="5" name="ZOTERO_PREF_1">
    <vt:lpwstr>&lt;data data-version="3" zotero-version="9.0.4"&gt;&lt;session id="HtQR65FJ"/&gt;&lt;style id="http://www.zotero.org/styles/china-national-standard-gb-t-7714-2015-numeric" hasBibliography="1" bibliographyStyleHasBeenSet="1"/&gt;&lt;prefs&gt;&lt;pref name="fieldType" value="Field"/</vt:lpwstr>
  </property>
  <property fmtid="{D5CDD505-2E9C-101B-9397-08002B2CF9AE}" pid="6" name="ZOTERO_PREF_2">
    <vt:lpwstr>&gt;&lt;pref name="automaticJournalAbbreviations" value="true"/&gt;&lt;/prefs&gt;&lt;/data&gt;</vt:lpwstr>
  </property>
</Properties>
</file>