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宜昌市城镇供水、燃气行业</w:t>
      </w:r>
    </w:p>
    <w:p>
      <w:pPr>
        <w:spacing w:after="400" w:before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数据大屏需求规格说明书</w:t>
      </w:r>
    </w:p>
    <w:p>
      <w:pPr>
        <w:spacing w:after="200" w:before="200"/>
        <w:jc w:val="center"/>
      </w:pPr>
      <w:r>
        <w:rPr>
          <w:rFonts w:ascii="Arial" w:eastAsia="Microsoft YaHei" w:hAnsi="Arial"/>
          <w:sz w:val="32"/>
          <w:szCs w:val="32"/>
        </w:rPr>
        <w:t xml:space="preserve">（诉求分析平台可视化子系统）</w:t>
      </w:r>
    </w:p>
    <w:p>
      <w:pPr>
        <w:spacing w:before="2000"/>
        <w:jc w:val="center"/>
      </w:pPr>
      <w:r>
        <w:rPr>
          <w:rFonts w:ascii="Arial" w:eastAsia="Microsoft YaHei" w:hAnsi="Arial"/>
          <w:sz w:val="24"/>
          <w:szCs w:val="24"/>
        </w:rPr>
        <w:t xml:space="preserve">版本：V1.0</w:t>
      </w:r>
    </w:p>
    <w:p>
      <w:pPr>
        <w:spacing w:after="100"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日期：2025年5月</w:t>
      </w:r>
    </w:p>
    <w:p>
      <w:pPr>
        <w:spacing w:after="100" w:before="100"/>
        <w:jc w:val="center"/>
      </w:pPr>
      <w:r>
        <w:rPr>
          <w:rFonts w:ascii="Arial" w:eastAsia="Microsoft YaHei" w:hAnsi="Arial"/>
          <w:sz w:val="24"/>
          <w:szCs w:val="24"/>
        </w:rPr>
        <w:t xml:space="preserve">编制单位：住新局水燃中心</w:t>
      </w:r>
    </w:p>
    <w:p>
      <w:r>
        <w:br w:type="page"/>
      </w:r>
    </w:p>
    <w:p>
      <w:pPr>
        <w:pStyle w:val="Heading1"/>
      </w:pPr>
      <w:r>
        <w:t xml:space="preserve">1. 数据大屏概述</w:t>
      </w:r>
    </w:p>
    <w:p>
      <w:pPr>
        <w:pStyle w:val="Heading2"/>
      </w:pPr>
      <w:r>
        <w:t xml:space="preserve">1.1 模块定位</w:t>
      </w:r>
    </w:p>
    <w:p>
      <w:pPr>
        <w:spacing w:after="200"/>
      </w:pPr>
      <w:r>
        <w:rPr>
          <w:rFonts w:ascii="Arial" w:eastAsia="Microsoft YaHei" w:hAnsi="Arial"/>
        </w:rPr>
        <w:t xml:space="preserve">数据大屏是宜昌市城镇供水、燃气行业诉求分析平台的核心可视化展示模块，为住新局水燃中心管理人员提供直观、全面的行业态势感知。数据大屏整合供水、供气两大行业的关键业务数据，通过地理信息可视化、数据图表、实时指标等多维度展示方式，支持日常监管调度和应急指挥决策。</w:t>
      </w:r>
    </w:p>
    <w:p>
      <w:pPr>
        <w:pStyle w:val="Heading2"/>
      </w:pPr>
      <w:r>
        <w:t xml:space="preserve">1.2 展示主题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99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主题名称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入口模块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行业态势总览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供水、燃气行业整体态势感知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首页（大屏默认视图）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诉求分析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用户诉求数据多维分析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诉求分析模块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生命线监测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供水供气管道等生命线工程监测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生命线模块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入户安检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居民用户入户安全检查情况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入户安检模块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液化气监管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液化气充装、储运、使用的全流程监管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二次供水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二次供水设备运行和水质监测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二次供水模块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公用事业管理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停供管理、施工改造等业务管理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公用事业模块</w:t>
            </w:r>
          </w:p>
        </w:tc>
      </w:tr>
    </w:tbl>
    <w:p>
      <w:pPr>
        <w:pStyle w:val="Heading2"/>
      </w:pPr>
      <w:r>
        <w:t xml:space="preserve">1.3 使用场景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日常监管：实时监控行业运行态势，及时发现异常情况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指挥调度：突发事件时的统一指挥和资源调度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数据研究：诉求数据深度分析，识别行业共性问题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汇报展示：向上级领导展示行业管理成果和工作成效</w:t>
      </w:r>
    </w:p>
    <w:p>
      <w:pPr>
        <w:pStyle w:val="Heading1"/>
      </w:pPr>
      <w:r>
        <w:t xml:space="preserve">2. 界面布局设计</w:t>
      </w:r>
    </w:p>
    <w:p>
      <w:pPr>
        <w:pStyle w:val="Heading2"/>
      </w:pPr>
      <w:r>
        <w:t xml:space="preserve">2.1 整体布局</w:t>
      </w:r>
    </w:p>
    <w:p>
      <w:pPr>
        <w:spacing w:after="200"/>
      </w:pPr>
      <w:r>
        <w:rPr>
          <w:rFonts w:ascii="Arial" w:eastAsia="Microsoft YaHei" w:hAnsi="Arial"/>
        </w:rPr>
        <w:t xml:space="preserve">数据大屏采用"三区+顶部"的经典大屏布局模式：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49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区域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位置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主要功能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顶部标题栏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屏幕最上方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展示页面标题、当前时间、系统Logo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左侧面板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屏幕左侧（占约30%宽度）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城镇供水态势数据展示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中间面板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屏幕中央（占约40%宽度）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GIS地理信息可视化地图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右侧面板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屏幕右侧（占约30%宽度）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城镇燃气态势数据展示</w:t>
            </w:r>
          </w:p>
        </w:tc>
      </w:tr>
    </w:tbl>
    <w:p>
      <w:pPr>
        <w:pStyle w:val="Heading2"/>
      </w:pPr>
      <w:r>
        <w:t xml:space="preserve">2.2 视觉风格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设计要素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规格说明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整体色调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深蓝色/深灰色背景（#0a1628或类似色系），营造科技感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强调色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青色/蓝绿色（#00D4FF或类似色系）用于关键数据高亮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供水配色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蓝色系（#2196F3等）代表供水相关数据和管线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燃气配色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绿色系（#4CAF50等）代表燃气相关数据和管线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发光效果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关键数据和管线使用霓虹发光效果，增强视觉层次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字体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数字使用等宽字体（如DIN字体）确保对齐美观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动态效果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数据加载时使用平滑过渡动画，数据变化时使用闪烁或滚动效果</w:t>
            </w:r>
          </w:p>
        </w:tc>
      </w:tr>
    </w:tbl>
    <w:p>
      <w:pPr>
        <w:pStyle w:val="Heading2"/>
      </w:pPr>
      <w:r>
        <w:t xml:space="preserve">2.3 界面原型示意图</w:t>
      </w:r>
    </w:p>
    <w:p>
      <w:pPr>
        <w:spacing w:after="100"/>
      </w:pPr>
      <w:r>
        <w:rPr>
          <w:rFonts w:ascii="Arial" w:eastAsia="Microsoft YaHei" w:hAnsi="Arial"/>
        </w:rPr>
        <w:t xml:space="preserve">以下为数据大屏界面原型示意图，展示了完整的界面布局、数据展示区域和视觉风格：</w:t>
      </w:r>
    </w:p>
    <w:p>
      <w:pPr>
        <w:spacing w:after="100" w:before="200"/>
        <w:jc w:val="center"/>
      </w:pPr>
      <w:r>
        <w:drawing>
          <wp:inline distT="0" distB="0" distL="0" distR="0">
            <wp:extent cx="5638800" cy="3171825"/>
            <wp:effectExtent t="0" r="0" b="0" l="0"/>
            <wp:docPr id="1" name="dashboard" descr="宜昌市城镇供水燃气行业态势大屏界面" title="数据大屏示意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图1：宜昌市城镇供水、燃气行业态势大屏界面原型</w:t>
      </w:r>
    </w:p>
    <w:p>
      <w:pPr>
        <w:pStyle w:val="Heading1"/>
      </w:pPr>
      <w:r>
        <w:t xml:space="preserve">3. 功能模块详情</w:t>
      </w:r>
    </w:p>
    <w:p>
      <w:pPr>
        <w:pStyle w:val="Heading2"/>
      </w:pPr>
      <w:r>
        <w:t xml:space="preserve">3.1 顶部标题栏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4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更新频率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页面标题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宜昌市城镇供水、燃气行业态势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静态展示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当前时间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格式：YYYY-MM-DD HH:mm:ss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实时更新（每秒）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快捷入口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可配置跳转到其他主题模块的图标按钮</w:t>
            </w:r>
          </w:p>
        </w:tc>
        <w:tc>
          <w:tcPr>
            <w:tcW w:type="dxa" w:w="1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静态展示</w:t>
            </w:r>
          </w:p>
        </w:tc>
      </w:tr>
    </w:tbl>
    <w:p>
      <w:pPr>
        <w:pStyle w:val="Heading2"/>
      </w:pPr>
      <w:r>
        <w:t xml:space="preserve">3.2 顶部汇总指标</w:t>
      </w:r>
    </w:p>
    <w:p>
      <w:pPr>
        <w:spacing w:after="200"/>
      </w:pPr>
      <w:r>
        <w:rPr>
          <w:rFonts w:ascii="Arial" w:eastAsia="Microsoft YaHei" w:hAnsi="Arial"/>
        </w:rPr>
        <w:t xml:space="preserve">顶部汇总指标展示供水、燃气两大行业的核心汇总数据，便于管理人员快速掌握全市整体情况：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指标分类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全市企业数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供水企业总数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管道长度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供水管道总长度（单位：KM）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去年用量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去年全年供水量（单位：m³）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今日用量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当日累计供水量（单位：m³）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燃气-天然气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全市企业数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天然气供气企业总数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燃气-天然气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管道长度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天然气管道总长度（单位：KM）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燃气-天然气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去年用量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去年全年天然气用气量（单位：m³）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燃气-天然气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今日用量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当日累计天然气用气量（单位：m³）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燃气-液化气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去年用量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去年全年液化气用气量（单位：m³）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燃气-液化气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今日用量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当日累计液化气用气量（单位：m³）</w:t>
            </w:r>
          </w:p>
        </w:tc>
      </w:tr>
    </w:tbl>
    <w:p>
      <w:pPr>
        <w:pStyle w:val="Heading2"/>
      </w:pPr>
      <w:r>
        <w:t xml:space="preserve">3.3 左侧面板 — 城镇供水总体态势</w:t>
      </w:r>
    </w:p>
    <w:p>
      <w:pPr>
        <w:pStyle w:val="Heading3"/>
      </w:pPr>
      <w:r>
        <w:t xml:space="preserve">3.3.1 基本信息区块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去年供水量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去年全年累计供水量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日均供水量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本年度日均供水量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峰值日供水量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本年度单日最高供水量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供水企业数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持证供水企业数量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水厂数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设计水厂数量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调压泵站数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调压泵站（含阀门井）数量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供水服务用户总数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户</w:t>
            </w:r>
          </w:p>
        </w:tc>
      </w:tr>
    </w:tbl>
    <w:p>
      <w:pPr>
        <w:pStyle w:val="Heading3"/>
      </w:pPr>
      <w:r>
        <w:t xml:space="preserve">3.3.2 管网信息区块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管线级别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长度（KM）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市政级管线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825.15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47.7%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庭院级管线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904.06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52.3%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立管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管线总计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1729.21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100%</w:t>
            </w:r>
          </w:p>
        </w:tc>
      </w:tr>
    </w:tbl>
    <w:p>
      <w:pPr>
        <w:spacing w:after="200"/>
      </w:pPr>
      <w:r>
        <w:rPr>
          <w:rFonts w:ascii="Arial" w:eastAsia="Microsoft YaHei" w:hAnsi="Arial"/>
          <w:color w:val="666666"/>
          <w:sz w:val="20"/>
          <w:szCs w:val="20"/>
        </w:rPr>
        <w:t xml:space="preserve">注：管线长度数据应与GIS系统保持同步，支持钻取查看各区县级分布。</w:t>
      </w:r>
    </w:p>
    <w:p>
      <w:pPr>
        <w:pStyle w:val="Heading3"/>
      </w:pPr>
      <w:r>
        <w:t xml:space="preserve">3.3.3 诉求分析区块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展示形式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本年累计诉求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本年度累计受理的供水相关诉求数量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大字号数字展示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日均诉求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本年度日均诉求量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数字+趋势箭头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已解决数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本年度已办结的诉求数量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数字+进度条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解决率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已解决诉求占累计诉求的比例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百分比（环形进度图）</w:t>
            </w:r>
          </w:p>
        </w:tc>
      </w:tr>
    </w:tbl>
    <w:p>
      <w:pPr>
        <w:pStyle w:val="Heading3"/>
      </w:pPr>
      <w:r>
        <w:t xml:space="preserve">3.3.4 设备监测区块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告警规则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待处理告警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待处理的设备告警数量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数值&gt;0时高亮显示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告警总数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本年度累计设备告警数量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趋势统计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处理率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已处理告警占告警总数的比例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百分比（&gt;=95%为正常）</w:t>
            </w:r>
          </w:p>
        </w:tc>
      </w:tr>
    </w:tbl>
    <w:p>
      <w:pPr>
        <w:pStyle w:val="Heading3"/>
      </w:pPr>
      <w:r>
        <w:t xml:space="preserve">3.3.5 二次供水区块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数据来源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管辖内小区数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纳入监管的二次供水小区数量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设备管理系统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已移交户数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已完成移交的自来水公司管理的户数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物业/水司数据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未移交户数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仍由开发商/物业管理的户数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物业/水司数据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总用户数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二次供水覆盖的居民用户总数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自动计算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已移交用户数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已移交部分的居民用户数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物业/水司数据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未移交用户数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未移交部分的居民用户数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自动计算</w:t>
            </w:r>
          </w:p>
        </w:tc>
      </w:tr>
    </w:tbl>
    <w:p>
      <w:pPr>
        <w:pStyle w:val="Heading2"/>
      </w:pPr>
      <w:r>
        <w:t xml:space="preserve">3.4 中间面板 — 地理信息可视化</w:t>
      </w:r>
    </w:p>
    <w:p>
      <w:pPr>
        <w:spacing w:after="200"/>
      </w:pPr>
      <w:r>
        <w:rPr>
          <w:rFonts w:ascii="Arial" w:eastAsia="Microsoft YaHei" w:hAnsi="Arial"/>
        </w:rPr>
        <w:t xml:space="preserve">中间面板为宜昌市城区地图，叠加展示供水、燃气管网和重要设施的空间分布：</w:t>
      </w:r>
    </w:p>
    <w:p>
      <w:pPr>
        <w:pStyle w:val="Heading3"/>
      </w:pPr>
      <w:r>
        <w:t xml:space="preserve">3.4.1 管线展示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颜色/样式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当前供水管线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蓝色发光线条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已建成的供水管道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规划供水管线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蓝色虚线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规划中尚未建设的供水管道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当前燃气管线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绿色发光线条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已建成的燃气管道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规划燃气管线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绿色虚线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规划中尚未建设的燃气管道</w:t>
            </w:r>
          </w:p>
        </w:tc>
      </w:tr>
    </w:tbl>
    <w:p>
      <w:pPr>
        <w:pStyle w:val="Heading3"/>
      </w:pPr>
      <w:r>
        <w:t xml:space="preserve">3.4.2 设施标记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设施类型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图标样式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当前水厂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蓝色实心圆形图标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已投入运营的水厂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规划水厂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蓝色空心圆形图标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规划中尚未建成的水厂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调压泵站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小型蓝色圆点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管网上的调压设施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场站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绿色图标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燃气门站、储配站等</w:t>
            </w:r>
          </w:p>
        </w:tc>
      </w:tr>
    </w:tbl>
    <w:p>
      <w:pPr>
        <w:pStyle w:val="Heading3"/>
      </w:pPr>
      <w:r>
        <w:t xml:space="preserve">3.4.3 水源保护区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49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保护区名称</w:t>
            </w:r>
          </w:p>
        </w:tc>
        <w:tc>
          <w:tcPr>
            <w:tcW w:type="dxa" w:w="4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清江</w:t>
            </w:r>
          </w:p>
        </w:tc>
        <w:tc>
          <w:tcPr>
            <w:tcW w:type="dxa" w:w="4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长江重要支流，城区重要水源地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长江</w:t>
            </w:r>
          </w:p>
        </w:tc>
        <w:tc>
          <w:tcPr>
            <w:tcW w:type="dxa" w:w="4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流经城区的主要河流，沿线有多个取水口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黄柏河</w:t>
            </w:r>
          </w:p>
        </w:tc>
        <w:tc>
          <w:tcPr>
            <w:tcW w:type="dxa" w:w="4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城区北部支流，部分区段为水源保护区</w:t>
            </w:r>
          </w:p>
        </w:tc>
      </w:tr>
    </w:tbl>
    <w:p>
      <w:pPr>
        <w:pStyle w:val="Heading3"/>
      </w:pPr>
      <w:r>
        <w:t xml:space="preserve">3.4.4 地图交互功能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缩放：支持鼠标滚轮或按钮缩放，层级不少于5级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平移：支持鼠标拖拽移动地图视野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点击：点击设施图标显示详细信息弹窗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图层控制：可勾选显示/隐藏供水管线、燃气管线、设施标记等图层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定位：支持按设施名称或地址搜索并定位</w:t>
      </w:r>
    </w:p>
    <w:p>
      <w:pPr>
        <w:pStyle w:val="Heading3"/>
      </w:pPr>
      <w:r>
        <w:t xml:space="preserve">3.4.5 图例说明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图例项目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样式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当前水厂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蓝色实心圆形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地图右下角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规划水厂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蓝色空心圆形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地图右下角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实线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地图右下角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规划管线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虚线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地图右下角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水源保护区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半透明多边形区域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地图右下角</w:t>
            </w:r>
          </w:p>
        </w:tc>
      </w:tr>
    </w:tbl>
    <w:p>
      <w:pPr>
        <w:pStyle w:val="Heading2"/>
      </w:pPr>
      <w:r>
        <w:t xml:space="preserve">3.5 右侧面板 — 城镇燃气总体态势</w:t>
      </w:r>
    </w:p>
    <w:p>
      <w:pPr>
        <w:pStyle w:val="Heading3"/>
      </w:pPr>
      <w:r>
        <w:t xml:space="preserve">3.5.1 天然气区块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去年供气量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去年全年累计天然气供气量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日均供气量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本年度日均天然气供气量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供气企业数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天然气供气企业数量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场站数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门站、储配站、调压站等场站数量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天然气服务用户总数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已安检用户数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已完成入户安检的用户数量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安检覆盖率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已安检用户占总用户的比例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百分比</w:t>
            </w:r>
          </w:p>
        </w:tc>
      </w:tr>
    </w:tbl>
    <w:p>
      <w:pPr>
        <w:pStyle w:val="Heading3"/>
      </w:pPr>
      <w:r>
        <w:t xml:space="preserve">3.5.2 管网信息区块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管线级别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长度（KM）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占比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市政级管线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825.15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47.7%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庭院级管线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904.06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52.3%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立管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管线总计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1729.21</w:t>
            </w:r>
          </w:p>
        </w:tc>
        <w:tc>
          <w:tcPr>
            <w:tcW w:type="dxa" w:w="2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100%</w:t>
            </w:r>
          </w:p>
        </w:tc>
      </w:tr>
    </w:tbl>
    <w:p>
      <w:pPr>
        <w:pStyle w:val="Heading3"/>
      </w:pPr>
      <w:r>
        <w:t xml:space="preserve">3.5.3 液化气区块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9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日供气量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当日累计液化气销售量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年累计供气量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本年度累计液化气销售量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m³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充装企业数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液化气充装企业数量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家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充装站数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液化气充装站点数量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座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钢瓶数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在用液化气钢瓶数量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只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用户数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液化气服务用户总数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抽检率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本年度随机抽检覆盖率</w:t>
            </w:r>
          </w:p>
        </w:tc>
        <w:tc>
          <w:tcPr>
            <w:tcW w:type="dxa" w:w="1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百分比</w:t>
            </w:r>
          </w:p>
        </w:tc>
      </w:tr>
    </w:tbl>
    <w:p>
      <w:pPr>
        <w:pStyle w:val="Heading3"/>
      </w:pPr>
      <w:r>
        <w:t xml:space="preserve">3.5.4 诉求分析区块</w:t>
      </w:r>
    </w:p>
    <w:p>
      <w:pPr>
        <w:spacing w:after="200"/>
      </w:pPr>
      <w:r>
        <w:rPr>
          <w:rFonts w:ascii="Arial" w:eastAsia="Microsoft YaHei" w:hAnsi="Arial"/>
          <w:color w:val="666666"/>
          <w:sz w:val="20"/>
          <w:szCs w:val="20"/>
        </w:rPr>
        <w:t xml:space="preserve">注：诉求分析区块数据与左侧供水面板保持一致，展示供水、燃气综合诉求数据。</w:t>
      </w:r>
    </w:p>
    <w:p>
      <w:pPr>
        <w:pStyle w:val="Heading3"/>
      </w:pPr>
      <w:r>
        <w:t xml:space="preserve">3.5.5 设备监测区块</w:t>
      </w:r>
    </w:p>
    <w:p>
      <w:pPr>
        <w:spacing w:after="200"/>
      </w:pPr>
      <w:r>
        <w:rPr>
          <w:rFonts w:ascii="Arial" w:eastAsia="Microsoft YaHei" w:hAnsi="Arial"/>
          <w:color w:val="666666"/>
          <w:sz w:val="20"/>
          <w:szCs w:val="20"/>
        </w:rPr>
        <w:t xml:space="preserve">注：设备监测区块数据与左侧供水面板保持一致，展示综合设备告警数据。</w:t>
      </w:r>
    </w:p>
    <w:p>
      <w:pPr>
        <w:pStyle w:val="Heading2"/>
      </w:pPr>
      <w:r>
        <w:t xml:space="preserve">3.6 底部导航栏</w:t>
      </w:r>
    </w:p>
    <w:p>
      <w:pPr>
        <w:spacing w:after="200"/>
      </w:pPr>
      <w:r>
        <w:rPr>
          <w:rFonts w:ascii="Arial" w:eastAsia="Microsoft YaHei" w:hAnsi="Arial"/>
        </w:rPr>
        <w:t xml:space="preserve">底部导航栏提供快速跳转到各功能模块的入口图标：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49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图标名称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图标样式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跳转目标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生命线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管道图标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生命线监测详情页面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诉求分析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对话气泡图标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诉求分析专题页面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入户安检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房屋图标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入户安检统计页面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钢瓶图标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液化气监管详情页面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二次供水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水箱图标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二次供水设备页面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公用事业管理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公文包图标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公用事业管理页面</w:t>
            </w:r>
          </w:p>
        </w:tc>
      </w:tr>
    </w:tbl>
    <w:p>
      <w:pPr>
        <w:pStyle w:val="Heading1"/>
      </w:pPr>
      <w:r>
        <w:t xml:space="preserve">4. 数据刷新机制</w:t>
      </w:r>
    </w:p>
    <w:p>
      <w:pPr>
        <w:pStyle w:val="Heading2"/>
      </w:pPr>
      <w:r>
        <w:t xml:space="preserve">4.1 实时数据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4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刷新频率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实现方式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当前时间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每秒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前端JS定时器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今日用量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每5分钟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接口轮询/WebSocket推送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告警数据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实时推送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WebSocket推送</w:t>
            </w:r>
          </w:p>
        </w:tc>
      </w:tr>
    </w:tbl>
    <w:p>
      <w:pPr>
        <w:pStyle w:val="Heading2"/>
      </w:pPr>
      <w:r>
        <w:t xml:space="preserve">4.2 定期数据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34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刷新频率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诉求统计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每日凌晨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前一日诉求数据汇总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安检进度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每日凌晨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前一日安检数据汇总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设备台账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每周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设备基础信息定期同步</w:t>
            </w:r>
          </w:p>
        </w:tc>
      </w:tr>
    </w:tbl>
    <w:p>
      <w:pPr>
        <w:pStyle w:val="Heading1"/>
      </w:pPr>
      <w:r>
        <w:t xml:space="preserve">5. 技术要求</w:t>
      </w:r>
    </w:p>
    <w:p>
      <w:pPr>
        <w:pStyle w:val="Heading2"/>
      </w:pPr>
      <w:r>
        <w:t xml:space="preserve">5.1 前端技术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采用Vue/React等主流前端框架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地图组件使用ECharts + 高德/百度/天地图API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图表组件使用ECharts，数据可视化效果丰富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eastAsia="Microsoft YaHei" w:hAnsi="Arial"/>
        </w:rPr>
        <w:t xml:space="preserve">支持1920×1080及以上分辨率自适应</w:t>
      </w:r>
    </w:p>
    <w:p>
      <w:pPr>
        <w:pStyle w:val="Heading2"/>
      </w:pPr>
      <w:r>
        <w:t xml:space="preserve">5.2 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99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指标</w:t>
            </w:r>
          </w:p>
        </w:tc>
        <w:tc>
          <w:tcPr>
            <w:tcW w:type="dxa" w:w="4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要求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页面加载时间</w:t>
            </w:r>
          </w:p>
        </w:tc>
        <w:tc>
          <w:tcPr>
            <w:tcW w:type="dxa" w:w="4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首屏加载不超过3秒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数据更新延迟</w:t>
            </w:r>
          </w:p>
        </w:tc>
        <w:tc>
          <w:tcPr>
            <w:tcW w:type="dxa" w:w="4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从数据库更新到大屏显示不超过5秒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内存占用</w:t>
            </w:r>
          </w:p>
        </w:tc>
        <w:tc>
          <w:tcPr>
            <w:tcW w:type="dxa" w:w="4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长时间运行（24小时）内存占用稳定，无明显泄漏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动画帧率</w:t>
            </w:r>
          </w:p>
        </w:tc>
        <w:tc>
          <w:tcPr>
            <w:tcW w:type="dxa" w:w="49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保持60fps流畅动画效果</w:t>
            </w:r>
          </w:p>
        </w:tc>
      </w:tr>
    </w:tbl>
    <w:p>
      <w:pPr>
        <w:pStyle w:val="Heading2"/>
      </w:pPr>
      <w:r>
        <w:t xml:space="preserve">5.3 展示环境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4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环境类型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规格要求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显示屏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建议55寸以上商用显示屏，支持横屏/竖屏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分辨率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支持1920×1080（Full HD）、2560×1440（2K）、3840×2160（4K）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网络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局域网环境，延迟&lt;50ms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控制方式</w:t>
            </w:r>
          </w:p>
        </w:tc>
        <w:tc>
          <w:tcPr>
            <w:tcW w:type="dxa" w:w="5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支持鼠标、触屏、遥控器等多种交互方式</w:t>
            </w:r>
          </w:p>
        </w:tc>
      </w:tr>
    </w:tbl>
    <w:p>
      <w:pPr>
        <w:pStyle w:val="Heading1"/>
      </w:pPr>
      <w:r>
        <w:t xml:space="preserve">6. 附录</w:t>
      </w:r>
    </w:p>
    <w:p>
      <w:pPr>
        <w:pStyle w:val="Heading2"/>
      </w:pPr>
      <w:r>
        <w:t xml:space="preserve">6.1 界面原型参考</w:t>
      </w:r>
    </w:p>
    <w:p>
      <w:pPr>
        <w:spacing w:after="100"/>
      </w:pPr>
      <w:r>
        <w:rPr>
          <w:rFonts w:ascii="Arial" w:eastAsia="Microsoft YaHei" w:hAnsi="Arial"/>
        </w:rPr>
        <w:t xml:space="preserve">界面原型请参见本文档2.3节中的图1。</w:t>
      </w:r>
    </w:p>
    <w:p>
      <w:pPr>
        <w:pStyle w:val="Heading2"/>
      </w:pPr>
      <w:r>
        <w:t xml:space="preserve">6.2 数据来源接口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49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数据模块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来源系统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接口方式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供气/用气数据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燃气企业SCADA系统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API接口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管线GIS数据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GIS地理信息系统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WMTS服务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诉求数据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12345市民热线系统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数据库同步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设备告警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设备监控系统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消息队列推送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安检数据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入户安检APP</w:t>
            </w:r>
          </w:p>
        </w:tc>
        <w:tc>
          <w:tcPr>
            <w:tcW w:type="dxa" w:w="2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API接口</w:t>
            </w:r>
          </w:p>
        </w:tc>
      </w:tr>
    </w:tbl>
    <w:p>
      <w:pPr>
        <w:pStyle w:val="Heading2"/>
      </w:pPr>
      <w:r>
        <w:t xml:space="preserve">6.3 文档版本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49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日期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作者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</w:rPr>
              <w:t xml:space="preserve">变更说明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2025年5月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住新局水燃中心</w:t>
            </w:r>
          </w:p>
        </w:tc>
        <w:tc>
          <w:tcPr>
            <w:tcW w:type="dxa" w:w="34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</w:rPr>
              <w:t xml:space="preserve">初始版本</w:t>
            </w:r>
          </w:p>
        </w:tc>
      </w:tr>
    </w:tbl>
    <w:sectPr>
      <w:head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2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00" w:before="20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e4c3b792621f5920d2d45e4fcb1a59fe89e59e.png"/><Relationship Id="rId8" Type="http://schemas.openxmlformats.org/officeDocument/2006/relationships/fontTable" Target="fontTable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2026-05-28T07:09:14.181Z</dcterms:created>
  <dcterms:modified xsi:type="dcterms:W3CDTF">2026-05-28T07:09:14.183Z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