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w:t>
      </w:r>
      <w:r>
        <w:t xml:space="preserve"> </w:t>
      </w:r>
      <w:r>
        <w:t xml:space="preserve">8:</w:t>
      </w:r>
      <w:r>
        <w:t xml:space="preserve"> </w:t>
      </w:r>
      <w:r>
        <w:t xml:space="preserve">Bootstrap</w:t>
      </w:r>
      <w:r>
        <w:t xml:space="preserve"> </w:t>
      </w:r>
      <w:r>
        <w:t xml:space="preserve">Methods</w:t>
      </w:r>
      <w:r>
        <w:t xml:space="preserve"> </w:t>
      </w:r>
      <w:r>
        <w:t xml:space="preserve">and</w:t>
      </w:r>
      <w:r>
        <w:t xml:space="preserve"> </w:t>
      </w:r>
      <w:r>
        <w:t xml:space="preserve">Applications</w:t>
      </w:r>
    </w:p>
    <w:p>
      <w:pPr>
        <w:pStyle w:val="Author"/>
      </w:pPr>
      <w:r>
        <w:t xml:space="preserve">Your</w:t>
      </w:r>
      <w:r>
        <w:t xml:space="preserve"> </w:t>
      </w:r>
      <w:r>
        <w:t xml:space="preserve">Name</w:t>
      </w:r>
    </w:p>
    <w:p>
      <w:pPr>
        <w:pStyle w:val="Date"/>
      </w:pPr>
      <w:r>
        <w:t xml:space="preserve">Due: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p>
      <w:pPr>
        <w:pStyle w:val="FirstParagraph"/>
      </w:pPr>
      <w:r>
        <w:br/>
      </w:r>
    </w:p>
    <w:bookmarkStart w:id="20" w:name="assignment-objectives"/>
    <w:p>
      <w:pPr>
        <w:pStyle w:val="Heading2"/>
      </w:pPr>
      <w:r>
        <w:rPr>
          <w:bCs/>
          <w:b/>
        </w:rPr>
        <w:t xml:space="preserve">Assignment Objectives</w:t>
      </w:r>
    </w:p>
    <w:p>
      <w:pPr>
        <w:numPr>
          <w:ilvl w:val="0"/>
          <w:numId w:val="1001"/>
        </w:numPr>
      </w:pPr>
      <w:r>
        <w:t xml:space="preserve">Reinforce the understanding of Bootstrap sampling .</w:t>
      </w:r>
    </w:p>
    <w:p>
      <w:pPr>
        <w:numPr>
          <w:ilvl w:val="0"/>
          <w:numId w:val="1001"/>
        </w:numPr>
      </w:pPr>
      <w:r>
        <w:t xml:space="preserve">Understand the bootstrap estimation: confidence interval and sampling distribution.</w:t>
      </w:r>
    </w:p>
    <w:bookmarkEnd w:id="20"/>
    <w:bookmarkStart w:id="21" w:name="policies-of-using-ai-tools"/>
    <w:p>
      <w:pPr>
        <w:pStyle w:val="Heading2"/>
      </w:pPr>
      <w:r>
        <w:rPr>
          <w:bCs/>
          <w:b/>
        </w:rPr>
        <w:t xml:space="preserve">Policies of Using AI Tools</w:t>
      </w:r>
    </w:p>
    <w:p>
      <w:pPr>
        <w:pStyle w:val="FirstParagraph"/>
      </w:pPr>
      <w:r>
        <w:rPr>
          <w:bCs/>
          <w:b/>
        </w:rPr>
        <w:t xml:space="preserve">Policy on AI Tool Use</w:t>
      </w:r>
      <w:r>
        <w:t xml:space="preserve">: Please adhere to the AI tool policy specified in the course syllabus. The direct copying of AI-generated content is strictly prohibited. All submitted work must reflect your own understanding; where external tools are consulted, content must be thoroughly rephrased and synthesized in your own words.</w:t>
      </w:r>
    </w:p>
    <w:p>
      <w:pPr>
        <w:pStyle w:val="BodyText"/>
      </w:pPr>
      <w:r>
        <w:rPr>
          <w:bCs/>
          <w:b/>
        </w:rPr>
        <w:t xml:space="preserve">Code Inclusion Requirement</w:t>
      </w:r>
      <w:r>
        <w:t xml:space="preserve">: Any code included in your essay must be properly commented to explain the purpose and/or expected output of key code lines. Submitting AI-generated code without meaningful, student-added comments will not be accepted.</w:t>
      </w:r>
    </w:p>
    <w:p>
      <w:pPr>
        <w:pStyle w:val="BodyText"/>
      </w:pPr>
      <w:r>
        <w:rPr>
          <w:bCs/>
          <w:b/>
        </w:rPr>
        <w:t xml:space="preserve">Log-normal Distribution Revisited</w:t>
      </w:r>
    </w:p>
    <w:p>
      <w:pPr>
        <w:pStyle w:val="BodyText"/>
      </w:pPr>
      <w:r>
        <w:t xml:space="preserve">If</w:t>
      </w:r>
      <w:r>
        <w:t xml:space="preserve"> </w:t>
      </w:r>
      <m:oMath>
        <m:r>
          <m:t>Y</m:t>
        </m:r>
        <m:r>
          <m:rPr>
            <m:sty m:val="p"/>
          </m:rPr>
          <m:t>=</m:t>
        </m:r>
        <m:r>
          <m:rPr>
            <m:sty m:val="p"/>
          </m:rPr>
          <m:t>ln</m:t>
        </m:r>
        <m:d>
          <m:dPr>
            <m:begChr m:val="("/>
            <m:endChr m:val=")"/>
            <m:sepChr m:val=""/>
            <m:grow/>
          </m:dPr>
          <m:e>
            <m:r>
              <m:t>X</m:t>
            </m:r>
          </m:e>
        </m:d>
        <m:r>
          <m:rPr>
            <m:sty m:val="p"/>
          </m:rPr>
          <m:t>∼</m:t>
        </m:r>
        <m:r>
          <m:t>N</m:t>
        </m:r>
        <m:d>
          <m:dPr>
            <m:begChr m:val="("/>
            <m:endChr m:val=")"/>
            <m:sepChr m:val=""/>
            <m:grow/>
          </m:dPr>
          <m:e>
            <m:r>
              <m:t>μ</m:t>
            </m:r>
            <m:r>
              <m:rPr>
                <m:sty m:val="p"/>
              </m:rPr>
              <m:t>,</m:t>
            </m:r>
            <m:sSup>
              <m:e>
                <m:r>
                  <m:t>σ</m:t>
                </m:r>
              </m:e>
              <m:sup>
                <m:r>
                  <m:t>2</m:t>
                </m:r>
              </m:sup>
            </m:sSup>
          </m:e>
        </m:d>
      </m:oMath>
      <w:r>
        <w:t xml:space="preserve">, then</w:t>
      </w:r>
      <w:r>
        <w:t xml:space="preserve"> </w:t>
      </w:r>
      <m:oMath>
        <m:r>
          <m:t>X</m:t>
        </m:r>
      </m:oMath>
      <w:r>
        <w:t xml:space="preserve"> </w:t>
      </w:r>
      <w:r>
        <w:t xml:space="preserve">follows a lognormal distribution</w:t>
      </w:r>
      <w:r>
        <w:t xml:space="preserve"> </w:t>
      </w:r>
      <m:oMath>
        <m:r>
          <m:t>X</m:t>
        </m:r>
        <m:r>
          <m:rPr>
            <m:sty m:val="p"/>
          </m:rPr>
          <m:t>∼</m:t>
        </m:r>
        <m:r>
          <m:rPr>
            <m:nor/>
            <m:sty m:val="p"/>
          </m:rPr>
          <m:t>Lognormal</m:t>
        </m:r>
        <m:d>
          <m:dPr>
            <m:begChr m:val="("/>
            <m:endChr m:val=")"/>
            <m:sepChr m:val=""/>
            <m:grow/>
          </m:dPr>
          <m:e>
            <m:r>
              <m:t>μ</m:t>
            </m:r>
            <m:r>
              <m:rPr>
                <m:sty m:val="p"/>
              </m:rPr>
              <m:t>,</m:t>
            </m:r>
            <m:sSup>
              <m:e>
                <m:r>
                  <m:t>σ</m:t>
                </m:r>
              </m:e>
              <m:sup>
                <m:r>
                  <m:t>2</m:t>
                </m:r>
              </m:sup>
            </m:sSup>
          </m:e>
        </m:d>
      </m:oMath>
      <w:r>
        <w:t xml:space="preserve">. The probability density is given by</w:t>
      </w:r>
    </w:p>
    <w:p>
      <w:pPr>
        <w:pStyle w:val="BodyText"/>
      </w:pPr>
      <m:oMathPara>
        <m:oMathParaPr>
          <m:jc m:val="center"/>
        </m:oMathParaPr>
        <m:oMath>
          <m:r>
            <m:t>f</m:t>
          </m:r>
          <m:d>
            <m:dPr>
              <m:begChr m:val="("/>
              <m:endChr m:val=")"/>
              <m:sepChr m:val=""/>
              <m:grow/>
            </m:dPr>
            <m:e>
              <m:r>
                <m:t>x</m:t>
              </m:r>
              <m:r>
                <m:rPr>
                  <m:sty m:val="p"/>
                </m:rPr>
                <m:t>|</m:t>
              </m:r>
              <m:r>
                <m:t>μ</m:t>
              </m:r>
              <m:r>
                <m:rPr>
                  <m:sty m:val="p"/>
                </m:rPr>
                <m:t>,</m:t>
              </m:r>
              <m:r>
                <m:t>σ</m:t>
              </m:r>
            </m:e>
          </m:d>
          <m:r>
            <m:rPr>
              <m:sty m:val="p"/>
            </m:rPr>
            <m:t>=</m:t>
          </m:r>
          <m:f>
            <m:fPr>
              <m:type m:val="bar"/>
            </m:fPr>
            <m:num>
              <m:r>
                <m:t>1</m:t>
              </m:r>
            </m:num>
            <m:den>
              <m:r>
                <m:t>x</m:t>
              </m:r>
              <m:r>
                <m:t>σ</m:t>
              </m:r>
              <m:rad>
                <m:radPr>
                  <m:degHide m:val="1"/>
                </m:radPr>
                <m:deg/>
                <m:e>
                  <m:r>
                    <m:t>2</m:t>
                  </m:r>
                  <m:r>
                    <m:t>π</m:t>
                  </m:r>
                </m:e>
              </m:rad>
            </m:den>
          </m:f>
          <m:r>
            <m:rPr>
              <m:sty m:val="p"/>
            </m:rPr>
            <m:t>exp</m:t>
          </m:r>
          <m:d>
            <m:dPr>
              <m:begChr m:val="("/>
              <m:endChr m:val=")"/>
              <m:sepChr m:val=""/>
              <m:grow/>
            </m:dPr>
            <m:e>
              <m:r>
                <m:rPr>
                  <m:sty m:val="p"/>
                </m:rPr>
                <m:t>−</m:t>
              </m:r>
              <m:f>
                <m:fPr>
                  <m:type m:val="bar"/>
                </m:fPr>
                <m:num>
                  <m:sSup>
                    <m:e>
                      <m:d>
                        <m:dPr>
                          <m:begChr m:val="("/>
                          <m:endChr m:val=")"/>
                          <m:sepChr m:val=""/>
                          <m:grow/>
                        </m:dPr>
                        <m:e>
                          <m:r>
                            <m:rPr>
                              <m:sty m:val="p"/>
                            </m:rPr>
                            <m:t>ln</m:t>
                          </m:r>
                          <m:r>
                            <m:t>x</m:t>
                          </m:r>
                          <m:r>
                            <m:rPr>
                              <m:sty m:val="p"/>
                            </m:rPr>
                            <m:t>−</m:t>
                          </m:r>
                          <m:r>
                            <m:t>μ</m:t>
                          </m:r>
                        </m:e>
                      </m:d>
                    </m:e>
                    <m:sup>
                      <m:r>
                        <m:t>2</m:t>
                      </m:r>
                    </m:sup>
                  </m:sSup>
                </m:num>
                <m:den>
                  <m:r>
                    <m:t>2</m:t>
                  </m:r>
                  <m:sSup>
                    <m:e>
                      <m:r>
                        <m:t>σ</m:t>
                      </m:r>
                    </m:e>
                    <m:sup>
                      <m:r>
                        <m:t>2</m:t>
                      </m:r>
                    </m:sup>
                  </m:sSup>
                </m:den>
              </m:f>
            </m:e>
          </m:d>
          <m:r>
            <m:rPr>
              <m:sty m:val="p"/>
            </m:rPr>
            <m:t>,</m:t>
          </m:r>
          <m:r>
            <m:t> </m:t>
          </m:r>
          <m:r>
            <m:t>x</m:t>
          </m:r>
          <m:r>
            <m:rPr>
              <m:sty m:val="p"/>
            </m:rPr>
            <m:t>&gt;</m:t>
          </m:r>
          <m:r>
            <m:t>0</m:t>
          </m:r>
        </m:oMath>
      </m:oMathPara>
    </w:p>
    <w:p>
      <w:pPr>
        <w:pStyle w:val="FirstParagraph"/>
      </w:pPr>
      <w:r>
        <w:t xml:space="preserve">After some algebra, we can express the mean and variance of the above lognormal distribution in the following</w:t>
      </w:r>
    </w:p>
    <w:p>
      <w:pPr>
        <w:pStyle w:val="BodyText"/>
      </w:pPr>
      <m:oMathPara>
        <m:oMathParaPr>
          <m:jc m:val="center"/>
        </m:oMathParaPr>
        <m:oMath>
          <m:m>
            <m:mPr>
              <m:baseJc m:val="center"/>
              <m:plcHide m:val="1"/>
              <m:mcs>
                <m:mc>
                  <m:mcPr>
                    <m:mcJc m:val="right"/>
                    <m:count m:val="1"/>
                  </m:mcPr>
                </m:mc>
                <m:mc>
                  <m:mcPr>
                    <m:mcJc m:val="left"/>
                    <m:count m:val="1"/>
                  </m:mcPr>
                </m:mc>
              </m:mcs>
            </m:mPr>
            <m:mr>
              <m:e>
                <m:r>
                  <m:rPr>
                    <m:sty m:val="p"/>
                    <m:scr m:val="double-struck"/>
                  </m:rPr>
                  <m:t>E</m:t>
                </m:r>
                <m:d>
                  <m:dPr>
                    <m:begChr m:val="["/>
                    <m:endChr m:val="]"/>
                    <m:sepChr m:val=""/>
                    <m:grow/>
                  </m:dPr>
                  <m:e>
                    <m:r>
                      <m:t>X</m:t>
                    </m:r>
                  </m:e>
                </m:d>
              </m:e>
              <m:e>
                <m:r>
                  <m:rPr>
                    <m:sty m:val="p"/>
                  </m:rPr>
                  <m:t>=</m:t>
                </m:r>
                <m:r>
                  <m:rPr>
                    <m:sty m:val="p"/>
                  </m:rPr>
                  <m:t>exp</m:t>
                </m:r>
                <m:d>
                  <m:dPr>
                    <m:begChr m:val="("/>
                    <m:endChr m:val=")"/>
                    <m:sepChr m:val=""/>
                    <m:grow/>
                  </m:dPr>
                  <m:e>
                    <m:r>
                      <m:t>μ</m:t>
                    </m:r>
                    <m:r>
                      <m:rPr>
                        <m:sty m:val="p"/>
                      </m:rPr>
                      <m:t>+</m:t>
                    </m:r>
                    <m:f>
                      <m:fPr>
                        <m:type m:val="bar"/>
                      </m:fPr>
                      <m:num>
                        <m:sSup>
                          <m:e>
                            <m:r>
                              <m:t>σ</m:t>
                            </m:r>
                          </m:e>
                          <m:sup>
                            <m:r>
                              <m:t>2</m:t>
                            </m:r>
                          </m:sup>
                        </m:sSup>
                      </m:num>
                      <m:den>
                        <m:r>
                          <m:t>2</m:t>
                        </m:r>
                      </m:den>
                    </m:f>
                  </m:e>
                </m:d>
              </m:e>
            </m:mr>
            <m:mr>
              <m:e>
                <m:r>
                  <m:rPr>
                    <m:nor/>
                    <m:sty m:val="p"/>
                  </m:rPr>
                  <m:t>Var</m:t>
                </m:r>
                <m:d>
                  <m:dPr>
                    <m:begChr m:val="("/>
                    <m:endChr m:val=")"/>
                    <m:sepChr m:val=""/>
                    <m:grow/>
                  </m:dPr>
                  <m:e>
                    <m:r>
                      <m:t>X</m:t>
                    </m:r>
                  </m:e>
                </m:d>
              </m:e>
              <m:e>
                <m:r>
                  <m:rPr>
                    <m:sty m:val="p"/>
                  </m:rPr>
                  <m:t>=</m:t>
                </m:r>
                <m:d>
                  <m:dPr>
                    <m:begChr m:val="["/>
                    <m:endChr m:val="]"/>
                    <m:sepChr m:val=""/>
                    <m:grow/>
                  </m:dPr>
                  <m:e>
                    <m:r>
                      <m:rPr>
                        <m:sty m:val="p"/>
                      </m:rPr>
                      <m:t>exp</m:t>
                    </m:r>
                    <m:d>
                      <m:dPr>
                        <m:begChr m:val="("/>
                        <m:endChr m:val=")"/>
                        <m:sepChr m:val=""/>
                        <m:grow/>
                      </m:dPr>
                      <m:e>
                        <m:sSup>
                          <m:e>
                            <m:r>
                              <m:t>σ</m:t>
                            </m:r>
                          </m:e>
                          <m:sup>
                            <m:r>
                              <m:t>2</m:t>
                            </m:r>
                          </m:sup>
                        </m:sSup>
                      </m:e>
                    </m:d>
                    <m:r>
                      <m:rPr>
                        <m:sty m:val="p"/>
                      </m:rPr>
                      <m:t>−</m:t>
                    </m:r>
                    <m:r>
                      <m:t>1</m:t>
                    </m:r>
                  </m:e>
                </m:d>
                <m:r>
                  <m:rPr>
                    <m:sty m:val="p"/>
                  </m:rPr>
                  <m:t>exp</m:t>
                </m:r>
                <m:d>
                  <m:dPr>
                    <m:begChr m:val="("/>
                    <m:endChr m:val=")"/>
                    <m:sepChr m:val=""/>
                    <m:grow/>
                  </m:dPr>
                  <m:e>
                    <m:r>
                      <m:t>2</m:t>
                    </m:r>
                    <m:r>
                      <m:t>μ</m:t>
                    </m:r>
                    <m:r>
                      <m:rPr>
                        <m:sty m:val="p"/>
                      </m:rPr>
                      <m:t>+</m:t>
                    </m:r>
                    <m:sSup>
                      <m:e>
                        <m:r>
                          <m:t>σ</m:t>
                        </m:r>
                      </m:e>
                      <m:sup>
                        <m:r>
                          <m:t>2</m:t>
                        </m:r>
                      </m:sup>
                    </m:sSup>
                  </m:e>
                </m:d>
              </m:e>
            </m:mr>
          </m:m>
        </m:oMath>
      </m:oMathPara>
    </w:p>
    <w:p>
      <w:pPr>
        <w:pStyle w:val="FirstParagraph"/>
      </w:pPr>
      <w:r>
        <w:t xml:space="preserve">Using the relationship between normal and log-normal distribution and a sample</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the MLE estimators of</w:t>
      </w:r>
      <w:r>
        <w:t xml:space="preserve"> </w:t>
      </w:r>
      <m:oMath>
        <m:r>
          <m:t>μ</m:t>
        </m:r>
      </m:oMath>
      <w:r>
        <w:t xml:space="preserve"> </w:t>
      </w:r>
      <w:r>
        <w:t xml:space="preserve">and</w:t>
      </w:r>
      <w:r>
        <w:t xml:space="preserve"> </w:t>
      </w:r>
      <m:oMath>
        <m:sSup>
          <m:e>
            <m:r>
              <m:t>σ</m:t>
            </m:r>
          </m:e>
          <m:sup>
            <m:r>
              <m:t>2</m:t>
            </m:r>
          </m:sup>
        </m:sSup>
      </m:oMath>
      <w:r>
        <w:t xml:space="preserve"> </w:t>
      </w:r>
      <w:r>
        <w:t xml:space="preserve">are given by</w:t>
      </w:r>
    </w:p>
    <w:p>
      <w:pPr>
        <w:pStyle w:val="BodyText"/>
      </w:pPr>
      <m:oMathPara>
        <m:oMathParaPr>
          <m:jc m:val="center"/>
        </m:oMathParaPr>
        <m:oMath>
          <m:m>
            <m:mPr>
              <m:baseJc m:val="center"/>
              <m:plcHide m:val="1"/>
              <m:mcs>
                <m:mc>
                  <m:mcPr>
                    <m:mcJc m:val="right"/>
                    <m:count m:val="1"/>
                  </m:mcPr>
                </m:mc>
                <m:mc>
                  <m:mcPr>
                    <m:mcJc m:val="left"/>
                    <m:count m:val="1"/>
                  </m:mcPr>
                </m:mc>
              </m:mcs>
            </m:mPr>
            <m:mr>
              <m:e>
                <m:acc>
                  <m:accPr>
                    <m:chr m:val="̂"/>
                  </m:accPr>
                  <m:e>
                    <m:r>
                      <m:t>μ</m:t>
                    </m:r>
                  </m:e>
                </m:acc>
              </m:e>
              <m:e>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r>
                      <m:rPr>
                        <m:sty m:val="p"/>
                      </m:rPr>
                      <m:t>ln</m:t>
                    </m:r>
                  </m:e>
                </m:nary>
                <m:d>
                  <m:dPr>
                    <m:begChr m:val="("/>
                    <m:endChr m:val=")"/>
                    <m:sepChr m:val=""/>
                    <m:grow/>
                  </m:dPr>
                  <m:e>
                    <m:sSub>
                      <m:e>
                        <m:r>
                          <m:t>x</m:t>
                        </m:r>
                      </m:e>
                      <m:sub>
                        <m:r>
                          <m:t>i</m:t>
                        </m:r>
                      </m:sub>
                    </m:sSub>
                  </m:e>
                </m:d>
              </m:e>
            </m:mr>
            <m:mr>
              <m:e>
                <m:sSup>
                  <m:e>
                    <m:acc>
                      <m:accPr>
                        <m:chr m:val="̂"/>
                      </m:accPr>
                      <m:e>
                        <m:r>
                          <m:t>σ</m:t>
                        </m:r>
                      </m:e>
                    </m:acc>
                  </m:e>
                  <m:sup>
                    <m:r>
                      <m:t>2</m:t>
                    </m:r>
                  </m:sup>
                </m:sSup>
              </m:e>
              <m:e>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sSup>
                      <m:e>
                        <m:d>
                          <m:dPr>
                            <m:begChr m:val="("/>
                            <m:endChr m:val=")"/>
                            <m:sepChr m:val=""/>
                            <m:grow/>
                          </m:dPr>
                          <m:e>
                            <m:r>
                              <m:rPr>
                                <m:sty m:val="p"/>
                              </m:rPr>
                              <m:t>ln</m:t>
                            </m:r>
                            <m:d>
                              <m:dPr>
                                <m:begChr m:val="("/>
                                <m:endChr m:val=")"/>
                                <m:sepChr m:val=""/>
                                <m:grow/>
                              </m:dPr>
                              <m:e>
                                <m:sSub>
                                  <m:e>
                                    <m:r>
                                      <m:t>x</m:t>
                                    </m:r>
                                  </m:e>
                                  <m:sub>
                                    <m:r>
                                      <m:t>i</m:t>
                                    </m:r>
                                  </m:sub>
                                </m:sSub>
                              </m:e>
                            </m:d>
                            <m:r>
                              <m:rPr>
                                <m:sty m:val="p"/>
                              </m:rPr>
                              <m:t>−</m:t>
                            </m:r>
                            <m:acc>
                              <m:accPr>
                                <m:chr m:val="̂"/>
                              </m:accPr>
                              <m:e>
                                <m:r>
                                  <m:t>μ</m:t>
                                </m:r>
                              </m:e>
                            </m:acc>
                          </m:e>
                        </m:d>
                      </m:e>
                      <m:sup>
                        <m:r>
                          <m:t>2</m:t>
                        </m:r>
                      </m:sup>
                    </m:sSup>
                  </m:e>
                </m:nary>
              </m:e>
            </m:mr>
          </m:m>
        </m:oMath>
      </m:oMathPara>
    </w:p>
    <w:p>
      <w:pPr>
        <w:pStyle w:val="FirstParagraph"/>
      </w:pPr>
      <w:r>
        <w:t xml:space="preserve">Using the plug-in principle of MLE, we have the MLE of</w:t>
      </w:r>
      <w:r>
        <w:t xml:space="preserve"> </w:t>
      </w:r>
      <m:oMath>
        <m:r>
          <m:rPr>
            <m:sty m:val="p"/>
            <m:scr m:val="double-struck"/>
          </m:rPr>
          <m:t>E</m:t>
        </m:r>
        <m:d>
          <m:dPr>
            <m:begChr m:val="["/>
            <m:endChr m:val="]"/>
            <m:sepChr m:val=""/>
            <m:grow/>
          </m:dPr>
          <m:e>
            <m:r>
              <m:t>X</m:t>
            </m:r>
          </m:e>
        </m:d>
      </m:oMath>
      <w:r>
        <w:t xml:space="preserve"> </w:t>
      </w:r>
      <w:r>
        <w:t xml:space="preserve">and</w:t>
      </w:r>
      <w:r>
        <w:t xml:space="preserve"> </w:t>
      </w:r>
      <m:oMath>
        <m:r>
          <m:rPr>
            <m:nor/>
            <m:sty m:val="p"/>
          </m:rPr>
          <m:t>Var</m:t>
        </m:r>
        <m:d>
          <m:dPr>
            <m:begChr m:val="("/>
            <m:endChr m:val=")"/>
            <m:sepChr m:val=""/>
            <m:grow/>
          </m:dPr>
          <m:e>
            <m:r>
              <m:t>X</m:t>
            </m:r>
          </m:e>
        </m:d>
      </m:oMath>
      <w:r>
        <w:t xml:space="preserve"> </w:t>
      </w:r>
      <w:r>
        <w:t xml:space="preserve">in the following</w:t>
      </w:r>
    </w:p>
    <w:p>
      <w:pPr>
        <w:pStyle w:val="BodyText"/>
      </w:pPr>
      <m:oMathPara>
        <m:oMathParaPr>
          <m:jc m:val="center"/>
        </m:oMathParaPr>
        <m:oMath>
          <m:borderBox>
            <m:e>
              <m:acc>
                <m:accPr>
                  <m:chr m:val="̂"/>
                </m:accPr>
                <m:e>
                  <m:r>
                    <m:rPr>
                      <m:sty m:val="p"/>
                      <m:scr m:val="double-struck"/>
                    </m:rPr>
                    <m:t>E</m:t>
                  </m:r>
                  <m:d>
                    <m:dPr>
                      <m:begChr m:val="["/>
                      <m:endChr m:val="]"/>
                      <m:sepChr m:val=""/>
                      <m:grow/>
                    </m:dPr>
                    <m:e>
                      <m:r>
                        <m:t>X</m:t>
                      </m:r>
                    </m:e>
                  </m:d>
                </m:e>
              </m:acc>
              <m:r>
                <m:rPr>
                  <m:sty m:val="p"/>
                </m:rPr>
                <m:t>=</m:t>
              </m:r>
              <m:r>
                <m:rPr>
                  <m:sty m:val="p"/>
                </m:rPr>
                <m:t>exp</m:t>
              </m:r>
              <m:d>
                <m:dPr>
                  <m:begChr m:val="("/>
                  <m:endChr m:val=")"/>
                  <m:sepChr m:val=""/>
                  <m:grow/>
                </m:dPr>
                <m:e>
                  <m:acc>
                    <m:accPr>
                      <m:chr m:val="̂"/>
                    </m:accPr>
                    <m:e>
                      <m:r>
                        <m:t>μ</m:t>
                      </m:r>
                    </m:e>
                  </m:acc>
                  <m:r>
                    <m:rPr>
                      <m:sty m:val="p"/>
                    </m:rPr>
                    <m:t>+</m:t>
                  </m:r>
                  <m:f>
                    <m:fPr>
                      <m:type m:val="bar"/>
                    </m:fPr>
                    <m:num>
                      <m:sSup>
                        <m:e>
                          <m:acc>
                            <m:accPr>
                              <m:chr m:val="̂"/>
                            </m:accPr>
                            <m:e>
                              <m:r>
                                <m:t>σ</m:t>
                              </m:r>
                            </m:e>
                          </m:acc>
                        </m:e>
                        <m:sup>
                          <m:r>
                            <m:t>2</m:t>
                          </m:r>
                        </m:sup>
                      </m:sSup>
                    </m:num>
                    <m:den>
                      <m:r>
                        <m:t>2</m:t>
                      </m:r>
                    </m:den>
                  </m:f>
                </m:e>
              </m:d>
            </m:e>
          </m:borderBox>
        </m:oMath>
      </m:oMathPara>
    </w:p>
    <w:p>
      <w:pPr>
        <w:pStyle w:val="FirstParagraph"/>
      </w:pPr>
      <w:r>
        <w:rPr>
          <w:bCs/>
          <w:b/>
        </w:rPr>
        <w:t xml:space="preserve">This assignment focuses on constructing various bootstrap confidence intervals of the lognormal population mean</w:t>
      </w:r>
      <w:r>
        <w:rPr>
          <w:bCs/>
          <w:b/>
        </w:rPr>
        <w:t xml:space="preserve"> </w:t>
      </w:r>
      <m:oMath>
        <m:r>
          <m:rPr>
            <m:sty m:val="p"/>
            <m:scr m:val="double-struck"/>
          </m:rPr>
          <m:t>E</m:t>
        </m:r>
        <m:d>
          <m:dPr>
            <m:begChr m:val="["/>
            <m:endChr m:val="]"/>
            <m:sepChr m:val=""/>
            <m:grow/>
          </m:dPr>
          <m:e>
            <m:r>
              <m:t>X</m:t>
            </m:r>
          </m:e>
        </m:d>
      </m:oMath>
    </w:p>
    <w:p>
      <w:pPr>
        <w:pStyle w:val="BodyText"/>
      </w:pPr>
      <w:r>
        <w:br/>
      </w:r>
    </w:p>
    <w:bookmarkEnd w:id="21"/>
    <w:bookmarkStart w:id="22" w:name="X45452002d0c1020c2a132d2fd54e31b1f22c4bd"/>
    <w:p>
      <w:pPr>
        <w:pStyle w:val="Heading2"/>
      </w:pPr>
      <w:r>
        <w:rPr>
          <w:bCs/>
          <w:b/>
        </w:rPr>
        <w:t xml:space="preserve">Question: Trace Metal Concentrations in Soil</w:t>
      </w:r>
    </w:p>
    <w:p>
      <w:pPr>
        <w:pStyle w:val="FirstParagraph"/>
      </w:pPr>
      <w:r>
        <w:t xml:space="preserve">Soil lead (Pb) concentrations (mg/kg) from 55 urban garden sites. Trace metals in environmental media typically follow lognormal distributions due to:</w:t>
      </w:r>
    </w:p>
    <w:p>
      <w:pPr>
        <w:numPr>
          <w:ilvl w:val="0"/>
          <w:numId w:val="1002"/>
        </w:numPr>
      </w:pPr>
      <w:r>
        <w:t xml:space="preserve">Multiplicative processes controlling accumulation</w:t>
      </w:r>
    </w:p>
    <w:p>
      <w:pPr>
        <w:numPr>
          <w:ilvl w:val="0"/>
          <w:numId w:val="1002"/>
        </w:numPr>
      </w:pPr>
      <w:r>
        <w:t xml:space="preserve">Positive constraints (concentrations cannot be negative)</w:t>
      </w:r>
    </w:p>
    <w:p>
      <w:pPr>
        <w:numPr>
          <w:ilvl w:val="0"/>
          <w:numId w:val="1002"/>
        </w:numPr>
      </w:pPr>
      <w:r>
        <w:t xml:space="preserve">Right-skewed nature of contamination patterns</w:t>
      </w:r>
    </w:p>
    <w:p>
      <w:pPr>
        <w:pStyle w:val="SourceCode"/>
      </w:pPr>
      <w:r>
        <w:rPr>
          <w:rStyle w:val="VerbatimChar"/>
        </w:rPr>
        <w:t xml:space="preserve">0.85, 1.23, 0.92, 3.45, 2.11, 1.56, 4.89, 2.34, 1.78, 6.72, 0.95, 1.34, 8.91, </w:t>
      </w:r>
      <w:r>
        <w:br/>
      </w:r>
      <w:r>
        <w:rPr>
          <w:rStyle w:val="VerbatimChar"/>
        </w:rPr>
        <w:t xml:space="preserve">2.67, 1.89, 5.43, 1.12, 3.78, 2.45, 7.65, 1.05, 1.45, 12.34, 2.89, 2.01, 4.56, </w:t>
      </w:r>
      <w:r>
        <w:br/>
      </w:r>
      <w:r>
        <w:rPr>
          <w:rStyle w:val="VerbatimChar"/>
        </w:rPr>
        <w:t xml:space="preserve">1.23, 4.32, 2.67, 9.87, 0.99, 1.56, 15.23, 3.12, 2.34, 3.89, 1.34, 5.67, 2.89, </w:t>
      </w:r>
      <w:r>
        <w:br/>
      </w:r>
      <w:r>
        <w:rPr>
          <w:rStyle w:val="VerbatimChar"/>
        </w:rPr>
        <w:t xml:space="preserve">11.45, 1.12, 1.67, 18.90, 3.45, 2.56, 3.45, 1.45, 6.78, 3.12, 14.56, 1.23, 1.78, </w:t>
      </w:r>
      <w:r>
        <w:br/>
      </w:r>
      <w:r>
        <w:rPr>
          <w:rStyle w:val="VerbatimChar"/>
        </w:rPr>
        <w:t xml:space="preserve">22.34, 3.78, 2.78</w:t>
      </w:r>
    </w:p>
    <w:p>
      <w:pPr>
        <w:pStyle w:val="FirstParagraph"/>
      </w:pPr>
      <w:r>
        <w:t xml:space="preserve">Assuming the data follow a log-normal distribution. For each of the following questions, first describe your reasoning process for the analysis, then write code to perform the actual analysis. Finally, summarize the results to conclude the question.</w:t>
      </w:r>
    </w:p>
    <w:p>
      <w:pPr>
        <w:pStyle w:val="BodyText"/>
      </w:pPr>
      <w:r>
        <w:t xml:space="preserve">a). Perform 5000 bootstrap samples to estimate the</w:t>
      </w:r>
      <w:r>
        <w:t xml:space="preserve"> </w:t>
      </w:r>
      <w:r>
        <w:rPr>
          <w:bCs/>
          <w:b/>
        </w:rPr>
        <w:t xml:space="preserve">bootstrap sampling distribution</w:t>
      </w:r>
      <w:r>
        <w:t xml:space="preserve"> </w:t>
      </w:r>
      <w:r>
        <w:t xml:space="preserve">of</w:t>
      </w:r>
      <w:r>
        <w:t xml:space="preserve"> </w:t>
      </w:r>
      <w:r>
        <w:t xml:space="preserve">$\boxed{\widehat{\mathbb{E}[X]}$</w:t>
      </w:r>
      <w:r>
        <w:t xml:space="preserve"> </w:t>
      </w:r>
      <w:r>
        <w:t xml:space="preserve">and plot it as either a histogram or a kernel density curve. Comment on the shape and patterns observed in the bootstrap sampling distribution.</w:t>
      </w:r>
    </w:p>
    <w:p>
      <w:pPr>
        <w:numPr>
          <w:ilvl w:val="0"/>
          <w:numId w:val="1003"/>
        </w:numPr>
      </w:pPr>
      <w:r>
        <w:t xml:space="preserve">Construct a</w:t>
      </w:r>
      <w:r>
        <w:t xml:space="preserve"> </w:t>
      </w:r>
      <w:r>
        <w:rPr>
          <w:bCs/>
          <w:b/>
        </w:rPr>
        <w:t xml:space="preserve">95% bootstrap percentile confidence interval for</w:t>
      </w:r>
      <w:r>
        <w:rPr>
          <w:bCs/>
          <w:b/>
        </w:rPr>
        <w:t xml:space="preserve"> </w:t>
      </w:r>
      <m:oMath>
        <m:r>
          <m:rPr>
            <m:sty m:val="p"/>
            <m:scr m:val="double-struck"/>
          </m:rPr>
          <m:t>E</m:t>
        </m:r>
        <m:d>
          <m:dPr>
            <m:begChr m:val="["/>
            <m:endChr m:val="]"/>
            <m:sepChr m:val=""/>
            <m:grow/>
          </m:dPr>
          <m:e>
            <m:r>
              <m:t>X</m:t>
            </m:r>
          </m:e>
        </m:d>
      </m:oMath>
      <w:r>
        <w:t xml:space="preserve">.</w:t>
      </w:r>
    </w:p>
    <w:p>
      <w:pPr>
        <w:numPr>
          <w:ilvl w:val="0"/>
          <w:numId w:val="1003"/>
        </w:numPr>
      </w:pPr>
      <w:r>
        <w:t xml:space="preserve">Construct a</w:t>
      </w:r>
      <w:r>
        <w:t xml:space="preserve"> </w:t>
      </w:r>
      <w:r>
        <w:rPr>
          <w:bCs/>
          <w:b/>
        </w:rPr>
        <w:t xml:space="preserve">95% bootstrap BCa confidence interval</w:t>
      </w:r>
      <w:r>
        <w:t xml:space="preserve"> </w:t>
      </w:r>
      <w:r>
        <w:t xml:space="preserve">for</w:t>
      </w:r>
      <w:r>
        <w:t xml:space="preserve"> </w:t>
      </w:r>
      <m:oMath>
        <m:r>
          <m:rPr>
            <m:sty m:val="p"/>
            <m:scr m:val="double-struck"/>
          </m:rPr>
          <m:t>E</m:t>
        </m:r>
        <m:d>
          <m:dPr>
            <m:begChr m:val="["/>
            <m:endChr m:val="]"/>
            <m:sepChr m:val=""/>
            <m:grow/>
          </m:dPr>
          <m:e>
            <m:r>
              <m:t>X</m:t>
            </m:r>
          </m:e>
        </m:d>
      </m:oMath>
      <w:r>
        <w:t xml:space="preserve">.</w:t>
      </w:r>
    </w:p>
    <w:p>
      <w:pPr>
        <w:numPr>
          <w:ilvl w:val="0"/>
          <w:numId w:val="1003"/>
        </w:numPr>
      </w:pPr>
      <w:r>
        <w:t xml:space="preserve">Assuming both confidence intervals above are valid, compare them in terms of performance and recommend which method should be used in this analysis. Justify your recommendation.</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8: Bootstrap Methods and Applications</dc:title>
  <dc:creator>Your Name</dc:creator>
  <cp:keywords/>
  <dcterms:created xsi:type="dcterms:W3CDTF">2026-01-14T02:55:55Z</dcterms:created>
  <dcterms:modified xsi:type="dcterms:W3CDTF">2026-01-14T02:55:55Z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Due:</vt:lpwstr>
  </property>
  <property fmtid="{D5CDD505-2E9C-101B-9397-08002B2CF9AE}" pid="3" name="editor_options">
    <vt:lpwstr/>
  </property>
  <property fmtid="{D5CDD505-2E9C-101B-9397-08002B2CF9AE}" pid="4" name="output">
    <vt:lpwstr/>
  </property>
</Properties>
</file>