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830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0"/>
        <w:gridCol w:w="2522"/>
        <w:gridCol w:w="520"/>
        <w:gridCol w:w="1572"/>
        <w:gridCol w:w="520"/>
        <w:gridCol w:w="2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520"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信息名称：</w:t>
            </w:r>
          </w:p>
        </w:tc>
        <w:tc>
          <w:tcPr>
            <w:tcW w:w="7785" w:type="dxa"/>
            <w:gridSpan w:val="5"/>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教育部办公厅关于全国校外培训机构专项治理行动整改工作进展情况的通报（截至2018年10月30日）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20"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信息索引：</w:t>
            </w:r>
          </w:p>
        </w:tc>
        <w:tc>
          <w:tcPr>
            <w:tcW w:w="2522"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360A06-05-2018-0035-1</w:t>
            </w:r>
          </w:p>
        </w:tc>
        <w:tc>
          <w:tcPr>
            <w:tcW w:w="520"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生成日期：</w:t>
            </w:r>
          </w:p>
        </w:tc>
        <w:tc>
          <w:tcPr>
            <w:tcW w:w="1572"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2018-11-08</w:t>
            </w:r>
          </w:p>
        </w:tc>
        <w:tc>
          <w:tcPr>
            <w:tcW w:w="520"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发文机构：</w:t>
            </w:r>
          </w:p>
        </w:tc>
        <w:tc>
          <w:tcPr>
            <w:tcW w:w="2651"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教育部办公厅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20"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发文字号：</w:t>
            </w:r>
          </w:p>
        </w:tc>
        <w:tc>
          <w:tcPr>
            <w:tcW w:w="2522"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教基厅函〔2018〕87号</w:t>
            </w:r>
          </w:p>
        </w:tc>
        <w:tc>
          <w:tcPr>
            <w:tcW w:w="520"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信息类别：</w:t>
            </w:r>
          </w:p>
        </w:tc>
        <w:tc>
          <w:tcPr>
            <w:tcW w:w="4743" w:type="dxa"/>
            <w:gridSpan w:val="3"/>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基础教育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20"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内容概述：</w:t>
            </w:r>
          </w:p>
        </w:tc>
        <w:tc>
          <w:tcPr>
            <w:tcW w:w="7785" w:type="dxa"/>
            <w:gridSpan w:val="5"/>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教育部办公厅发布《关于全国校外培训机构专项治理行动整改工作进展情况的通报（截至2018年10月30日）》。</w:t>
            </w:r>
          </w:p>
        </w:tc>
      </w:tr>
    </w:tbl>
    <w:p/>
    <w:p/>
    <w:p>
      <w:pPr>
        <w:pStyle w:val="3"/>
        <w:keepNext w:val="0"/>
        <w:keepLines w:val="0"/>
        <w:widowControl/>
        <w:suppressLineNumbers w:val="0"/>
        <w:pBdr>
          <w:top w:val="none" w:color="auto" w:sz="0" w:space="0"/>
        </w:pBdr>
        <w:jc w:val="right"/>
      </w:pPr>
      <w:r>
        <w:t>教基厅函〔2018〕87号</w:t>
      </w:r>
    </w:p>
    <w:p>
      <w:pPr>
        <w:pStyle w:val="2"/>
        <w:keepNext w:val="0"/>
        <w:keepLines w:val="0"/>
        <w:widowControl/>
        <w:suppressLineNumbers w:val="0"/>
        <w:pBdr>
          <w:top w:val="none" w:color="auto" w:sz="0" w:space="0"/>
        </w:pBdr>
      </w:pPr>
      <w:r>
        <w:t>教育部办公厅关于全国校外培训机构专项治理</w:t>
      </w:r>
      <w:r>
        <w:br w:type="textWrapping"/>
      </w:r>
      <w:r>
        <w:t>行动整改工作进展情况的通报（截至2018年10月30日）</w:t>
      </w:r>
    </w:p>
    <w:p>
      <w:pPr>
        <w:pStyle w:val="3"/>
        <w:keepNext w:val="0"/>
        <w:keepLines w:val="0"/>
        <w:widowControl/>
        <w:suppressLineNumbers w:val="0"/>
      </w:pPr>
      <w:r>
        <w:t>各省、自治区、直辖市教育厅（教委），新疆生产建设兵团</w:t>
      </w:r>
      <w:bookmarkStart w:id="0" w:name="_GoBack"/>
      <w:bookmarkEnd w:id="0"/>
      <w:r>
        <w:t>教育局：</w:t>
      </w:r>
    </w:p>
    <w:p>
      <w:pPr>
        <w:pStyle w:val="3"/>
        <w:keepNext w:val="0"/>
        <w:keepLines w:val="0"/>
        <w:widowControl/>
        <w:suppressLineNumbers w:val="0"/>
      </w:pPr>
      <w:r>
        <w:t>　　根据各地上报统计数据，现将截至2018年10月30日整改情况通报如下：</w:t>
      </w:r>
    </w:p>
    <w:p>
      <w:pPr>
        <w:pStyle w:val="3"/>
        <w:keepNext w:val="0"/>
        <w:keepLines w:val="0"/>
        <w:widowControl/>
        <w:suppressLineNumbers w:val="0"/>
      </w:pPr>
      <w:r>
        <w:rPr>
          <w:rStyle w:val="5"/>
        </w:rPr>
        <w:t xml:space="preserve">　　一、各地的县（市、区）整改情况 </w:t>
      </w:r>
    </w:p>
    <w:p>
      <w:pPr>
        <w:pStyle w:val="3"/>
        <w:keepNext w:val="0"/>
        <w:keepLines w:val="0"/>
        <w:widowControl/>
        <w:suppressLineNumbers w:val="0"/>
      </w:pPr>
      <w:r>
        <w:t>　　全国2963个县（市、区）已启动专项治理整改工作，其中1046个县（市、区）已基本完成专项治理整改任务，县（市、区）完成率35.30%。</w:t>
      </w:r>
    </w:p>
    <w:p>
      <w:pPr>
        <w:pStyle w:val="3"/>
        <w:keepNext w:val="0"/>
        <w:keepLines w:val="0"/>
        <w:widowControl/>
        <w:suppressLineNumbers w:val="0"/>
      </w:pPr>
      <w:r>
        <w:t>　　其中：西藏所有县（市、区）已完成整改；河南、贵州、云南、甘肃、青海、新疆等省份及新疆生产建设兵团县（市、区）整改完成率达到50%以上；北京、天津、山西等省份尚无全面完成整改的县（市、区）。</w:t>
      </w:r>
    </w:p>
    <w:p>
      <w:pPr>
        <w:pStyle w:val="3"/>
        <w:keepNext w:val="0"/>
        <w:keepLines w:val="0"/>
        <w:widowControl/>
        <w:suppressLineNumbers w:val="0"/>
      </w:pPr>
      <w:r>
        <w:rPr>
          <w:rStyle w:val="5"/>
        </w:rPr>
        <w:t xml:space="preserve">　　二、校外培训机构整改情况 </w:t>
      </w:r>
    </w:p>
    <w:p>
      <w:pPr>
        <w:pStyle w:val="3"/>
        <w:keepNext w:val="0"/>
        <w:keepLines w:val="0"/>
        <w:widowControl/>
        <w:suppressLineNumbers w:val="0"/>
      </w:pPr>
      <w:r>
        <w:t>　　全国共摸排校外培训机构401050所，存在问题机构272671所，现已完成整改104711所，完成整改率38.40%。其中，西藏存在问题机构已全部整改；天津、河北、内蒙古、上海、江苏、浙江、安徽、山东、青海、宁夏、新疆等省份及新疆生产建设兵团存在问题机构整改完成率超过40%，海南等省份存在问题机构整改完成率不到15%。各地整改情况详见附件。</w:t>
      </w:r>
    </w:p>
    <w:p>
      <w:pPr>
        <w:pStyle w:val="3"/>
        <w:keepNext w:val="0"/>
        <w:keepLines w:val="0"/>
        <w:widowControl/>
        <w:suppressLineNumbers w:val="0"/>
      </w:pPr>
      <w:r>
        <w:rPr>
          <w:rStyle w:val="5"/>
        </w:rPr>
        <w:t xml:space="preserve">　　三、下一步工作要求 </w:t>
      </w:r>
    </w:p>
    <w:p>
      <w:pPr>
        <w:pStyle w:val="3"/>
        <w:keepNext w:val="0"/>
        <w:keepLines w:val="0"/>
        <w:widowControl/>
        <w:suppressLineNumbers w:val="0"/>
      </w:pPr>
      <w:r>
        <w:t>　　请各地强化推动部署，加快整改进度，抓紧完善校外培训机构设置标准，落实整改销号制度，切实做好审批和备案，确保不折不扣按时完成专项治理整改任务。　　</w:t>
      </w:r>
    </w:p>
    <w:p>
      <w:pPr>
        <w:pStyle w:val="3"/>
        <w:keepNext w:val="0"/>
        <w:keepLines w:val="0"/>
        <w:widowControl/>
        <w:suppressLineNumbers w:val="0"/>
      </w:pPr>
      <w:r>
        <w:t>　　附件：</w:t>
      </w:r>
      <w:r>
        <w:fldChar w:fldCharType="begin"/>
      </w:r>
      <w:r>
        <w:instrText xml:space="preserve"> HYPERLINK "http://www.moe.gov.cn/srcsite/A06/s3325/201811/W020181113404120979626.docx" \t "http://www.moe.gov.cn/srcsite/A06/s3325/201811/_blank" </w:instrText>
      </w:r>
      <w:r>
        <w:fldChar w:fldCharType="separate"/>
      </w:r>
      <w:r>
        <w:rPr>
          <w:rStyle w:val="6"/>
        </w:rPr>
        <w:t>校外培训机构专项治理整改情况汇总表</w:t>
      </w:r>
      <w:r>
        <w:fldChar w:fldCharType="end"/>
      </w:r>
    </w:p>
    <w:p>
      <w:pPr>
        <w:pStyle w:val="3"/>
        <w:keepNext w:val="0"/>
        <w:keepLines w:val="0"/>
        <w:widowControl/>
        <w:suppressLineNumbers w:val="0"/>
        <w:jc w:val="right"/>
      </w:pPr>
      <w:r>
        <w:t>教育部办公厅</w:t>
      </w:r>
    </w:p>
    <w:p>
      <w:pPr>
        <w:pStyle w:val="3"/>
        <w:keepNext w:val="0"/>
        <w:keepLines w:val="0"/>
        <w:widowControl/>
        <w:suppressLineNumbers w:val="0"/>
        <w:jc w:val="right"/>
      </w:pPr>
      <w:r>
        <w:t>2018年11月7日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BE2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夏</cp:lastModifiedBy>
  <dcterms:modified xsi:type="dcterms:W3CDTF">2018-11-28T08:40:57Z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