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TimesNewRomanPSMT" w:hAnsi="TimesNewRomanPSMT" w:eastAsia="TimesNewRomanPSMT" w:cs="TimesNewRomanPSMT"/>
          <w:i w:val="0"/>
          <w:color w:val="000000"/>
          <w:sz w:val="24"/>
          <w:szCs w:val="24"/>
        </w:rPr>
      </w:pPr>
      <w:r>
        <w:rPr>
          <w:rFonts w:ascii="TimesNewRomanPSMT" w:hAnsi="TimesNewRomanPSMT" w:eastAsia="TimesNewRomanPSMT" w:cs="TimesNewRomanPSMT"/>
          <w:i w:val="0"/>
          <w:color w:val="000000"/>
          <w:sz w:val="24"/>
          <w:szCs w:val="24"/>
        </w:rPr>
        <w:t>Descriptors are used by USB devices to report their attributes.</w:t>
      </w:r>
    </w:p>
    <w:p>
      <w:pPr>
        <w:rPr>
          <w:rFonts w:ascii="TimesNewRomanPSMT" w:hAnsi="TimesNewRomanPSMT" w:eastAsia="TimesNewRomanPSMT" w:cs="TimesNewRomanPSMT"/>
          <w:i w:val="0"/>
          <w:color w:val="000000"/>
          <w:sz w:val="24"/>
          <w:szCs w:val="24"/>
        </w:rPr>
      </w:pPr>
    </w:p>
    <w:p>
      <w:pPr>
        <w:rPr>
          <w:rFonts w:ascii="TimesNewRomanPSMT" w:hAnsi="TimesNewRomanPSMT" w:eastAsia="TimesNewRomanPSMT" w:cs="TimesNewRomanPSMT"/>
          <w:i w:val="0"/>
          <w:color w:val="000000"/>
          <w:sz w:val="24"/>
          <w:szCs w:val="24"/>
        </w:rPr>
      </w:pPr>
      <w:r>
        <w:rPr>
          <w:rFonts w:ascii="TimesNewRomanPS-BoldMT" w:hAnsi="TimesNewRomanPS-BoldMT" w:eastAsia="TimesNewRomanPS-BoldMT" w:cs="TimesNewRomanPS-BoldMT"/>
          <w:b/>
          <w:i w:val="0"/>
          <w:color w:val="000000"/>
          <w:sz w:val="24"/>
          <w:szCs w:val="24"/>
        </w:rPr>
        <w:t>bTerminalID</w:t>
      </w:r>
    </w:p>
    <w:p>
      <w:pPr>
        <w:rPr>
          <w:rFonts w:hint="default" w:ascii="TimesNewRomanPSMT" w:hAnsi="TimesNewRomanPSMT" w:eastAsia="TimesNewRomanPSMT" w:cs="TimesNewRomanPSMT"/>
          <w:i w:val="0"/>
          <w:color w:val="000000"/>
          <w:sz w:val="24"/>
          <w:szCs w:val="24"/>
        </w:rPr>
      </w:pPr>
      <w:r>
        <w:rPr>
          <w:rFonts w:ascii="TimesNewRomanPSMT" w:hAnsi="TimesNewRomanPSMT" w:eastAsia="TimesNewRomanPSMT" w:cs="TimesNewRomanPSMT"/>
          <w:i w:val="0"/>
          <w:color w:val="000000"/>
          <w:sz w:val="24"/>
          <w:szCs w:val="24"/>
        </w:rPr>
        <w:t>A non-zero constant that uniquely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4"/>
          <w:szCs w:val="24"/>
        </w:rPr>
        <w:t xml:space="preserve"> identifies the Terminal within the video function. This value is used in all requests to address this Terminal.</w:t>
      </w:r>
    </w:p>
    <w:p>
      <w:pPr>
        <w:rPr>
          <w:rFonts w:hint="default" w:ascii="TimesNewRomanPSMT" w:hAnsi="TimesNewRomanPSMT" w:eastAsia="TimesNewRomanPSMT" w:cs="TimesNewRomanPSMT"/>
          <w:i w:val="0"/>
          <w:color w:val="000000"/>
          <w:sz w:val="24"/>
          <w:szCs w:val="24"/>
        </w:rPr>
      </w:pPr>
    </w:p>
    <w:p>
      <w:pPr>
        <w:rPr>
          <w:rFonts w:hint="default" w:ascii="TimesNewRomanPSMT" w:hAnsi="TimesNewRomanPSMT" w:eastAsia="TimesNewRomanPSMT" w:cs="TimesNewRomanPSMT"/>
          <w:i w:val="0"/>
          <w:color w:val="000000"/>
          <w:sz w:val="24"/>
          <w:szCs w:val="24"/>
        </w:rPr>
      </w:pPr>
    </w:p>
    <w:p>
      <w:pPr>
        <w:rPr>
          <w:rFonts w:hint="eastAsia" w:ascii="TimesNewRomanPSMT" w:hAnsi="TimesNewRomanPSMT" w:eastAsia="宋体" w:cs="TimesNewRomanPSMT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NewRomanPSMT" w:hAnsi="TimesNewRomanPSMT" w:eastAsia="宋体" w:cs="TimesNewRomanPSMT"/>
          <w:i w:val="0"/>
          <w:color w:val="000000"/>
          <w:sz w:val="24"/>
          <w:szCs w:val="24"/>
          <w:lang w:val="en-US" w:eastAsia="zh-CN"/>
        </w:rPr>
        <w:t>增加扩展协议时要用到。</w:t>
      </w:r>
    </w:p>
    <w:p>
      <w:pPr>
        <w:rPr>
          <w:rFonts w:ascii="TimesNewRomanPSMT" w:hAnsi="TimesNewRomanPSMT" w:eastAsia="TimesNewRomanPSMT" w:cs="TimesNewRomanPSMT"/>
          <w:i w:val="0"/>
          <w:color w:val="000000"/>
          <w:sz w:val="24"/>
          <w:szCs w:val="24"/>
        </w:rPr>
      </w:pPr>
      <w:r>
        <w:rPr>
          <w:rFonts w:ascii="TimesNewRomanPSMT" w:hAnsi="TimesNewRomanPSMT" w:eastAsia="TimesNewRomanPSMT" w:cs="TimesNewRomanPSMT"/>
          <w:i w:val="0"/>
          <w:color w:val="000000"/>
          <w:sz w:val="24"/>
          <w:szCs w:val="24"/>
        </w:rPr>
        <w:t>Extension Unit descriptor</w:t>
      </w:r>
    </w:p>
    <w:p>
      <w:pPr/>
      <w:r>
        <w:drawing>
          <wp:inline distT="0" distB="0" distL="114300" distR="114300">
            <wp:extent cx="5269230" cy="2588895"/>
            <wp:effectExtent l="0" t="0" r="762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88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2405" cy="1873885"/>
            <wp:effectExtent l="0" t="0" r="444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73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Payload 传输类型与文档对应关系</w:t>
      </w:r>
    </w:p>
    <w:p>
      <w:pPr/>
      <w:r>
        <w:drawing>
          <wp:inline distT="0" distB="0" distL="114300" distR="114300">
            <wp:extent cx="5271135" cy="1967865"/>
            <wp:effectExtent l="0" t="0" r="571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67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>
        <w:rPr>
          <w:rFonts w:ascii="TimesNewRomanPS-BoldMT" w:hAnsi="TimesNewRomanPS-BoldMT" w:eastAsia="TimesNewRomanPS-BoldMT" w:cs="TimesNewRomanPS-BoldMT"/>
          <w:b/>
          <w:i w:val="0"/>
          <w:color w:val="000000"/>
          <w:sz w:val="24"/>
          <w:szCs w:val="24"/>
        </w:rPr>
      </w:pPr>
      <w:r>
        <w:rPr>
          <w:rFonts w:ascii="TimesNewRomanPS-BoldMT" w:hAnsi="TimesNewRomanPS-BoldMT" w:eastAsia="TimesNewRomanPS-BoldMT" w:cs="TimesNewRomanPS-BoldMT"/>
          <w:b/>
          <w:i w:val="0"/>
          <w:color w:val="000000"/>
          <w:sz w:val="24"/>
          <w:szCs w:val="24"/>
        </w:rPr>
        <w:t>Color Matching Descriptor</w:t>
      </w:r>
    </w:p>
    <w:p>
      <w:pPr>
        <w:rPr>
          <w:rFonts w:hint="eastAsia" w:ascii="TimesNewRomanPS-BoldMT" w:hAnsi="TimesNewRomanPS-BoldMT" w:eastAsia="宋体" w:cs="TimesNewRomanPS-BoldMT"/>
          <w:b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NewRomanPS-BoldMT" w:hAnsi="TimesNewRomanPS-BoldMT" w:eastAsia="宋体" w:cs="TimesNewRomanPS-BoldMT"/>
          <w:b/>
          <w:i w:val="0"/>
          <w:color w:val="000000"/>
          <w:sz w:val="24"/>
          <w:szCs w:val="24"/>
          <w:lang w:val="en-US" w:eastAsia="zh-CN"/>
        </w:rPr>
        <w:t>描述传送的数据颜色构成标准。</w:t>
      </w:r>
    </w:p>
    <w:p>
      <w:pPr>
        <w:rPr>
          <w:rFonts w:hint="eastAsia" w:ascii="TimesNewRomanPS-BoldMT" w:hAnsi="TimesNewRomanPS-BoldMT" w:eastAsia="宋体" w:cs="TimesNewRomanPS-BoldMT"/>
          <w:b/>
          <w:i w:val="0"/>
          <w:color w:val="000000"/>
          <w:sz w:val="24"/>
          <w:szCs w:val="24"/>
          <w:lang w:val="en-US" w:eastAsia="zh-CN"/>
        </w:rPr>
      </w:pPr>
    </w:p>
    <w:p>
      <w:pPr>
        <w:rPr>
          <w:rFonts w:hint="eastAsia" w:ascii="TimesNewRomanPS-BoldMT" w:hAnsi="TimesNewRomanPS-BoldMT" w:eastAsia="宋体" w:cs="TimesNewRomanPS-BoldMT"/>
          <w:b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NewRomanPS-BoldMT" w:hAnsi="TimesNewRomanPS-BoldMT" w:eastAsia="宋体" w:cs="TimesNewRomanPS-BoldMT"/>
          <w:b/>
          <w:i w:val="0"/>
          <w:color w:val="000000"/>
          <w:sz w:val="24"/>
          <w:szCs w:val="24"/>
          <w:lang w:val="en-US" w:eastAsia="zh-CN"/>
        </w:rPr>
        <w:t>Request：</w:t>
      </w:r>
    </w:p>
    <w:p>
      <w:pPr>
        <w:rPr>
          <w:rFonts w:hint="eastAsia" w:ascii="TimesNewRomanPSMT" w:hAnsi="TimesNewRomanPSMT" w:eastAsia="宋体" w:cs="TimesNewRomanPSMT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NewRomanPS-BoldMT" w:hAnsi="TimesNewRomanPS-BoldMT" w:eastAsia="宋体" w:cs="TimesNewRomanPS-BoldMT"/>
          <w:b/>
          <w:i w:val="0"/>
          <w:color w:val="000000"/>
          <w:sz w:val="24"/>
          <w:szCs w:val="24"/>
          <w:lang w:val="en-US" w:eastAsia="zh-CN"/>
        </w:rPr>
        <w:t>分为两类：</w:t>
      </w:r>
      <w:r>
        <w:rPr>
          <w:rFonts w:ascii="TimesNewRomanPSMT" w:hAnsi="TimesNewRomanPSMT" w:eastAsia="TimesNewRomanPSMT" w:cs="TimesNewRomanPSMT"/>
          <w:i w:val="0"/>
          <w:color w:val="000000"/>
          <w:sz w:val="24"/>
          <w:szCs w:val="24"/>
        </w:rPr>
        <w:t>VideoControl Requests</w:t>
      </w:r>
      <w:r>
        <w:rPr>
          <w:rFonts w:hint="eastAsia" w:ascii="TimesNewRomanPSMT" w:hAnsi="TimesNewRomanPSMT" w:eastAsia="宋体" w:cs="TimesNewRomanPSMT"/>
          <w:i w:val="0"/>
          <w:color w:val="000000"/>
          <w:sz w:val="24"/>
          <w:szCs w:val="24"/>
          <w:lang w:eastAsia="zh-CN"/>
        </w:rPr>
        <w:t>，</w:t>
      </w:r>
      <w:r>
        <w:rPr>
          <w:rFonts w:ascii="TimesNewRomanPSMT" w:hAnsi="TimesNewRomanPSMT" w:eastAsia="TimesNewRomanPSMT" w:cs="TimesNewRomanPSMT"/>
          <w:i w:val="0"/>
          <w:color w:val="000000"/>
          <w:sz w:val="24"/>
          <w:szCs w:val="24"/>
        </w:rPr>
        <w:t>VideoStreaming Requests</w:t>
      </w:r>
      <w:r>
        <w:rPr>
          <w:rFonts w:hint="eastAsia" w:ascii="TimesNewRomanPSMT" w:hAnsi="TimesNewRomanPSMT" w:eastAsia="宋体" w:cs="TimesNewRomanPSMT"/>
          <w:i w:val="0"/>
          <w:color w:val="000000"/>
          <w:sz w:val="24"/>
          <w:szCs w:val="24"/>
          <w:lang w:val="en-US" w:eastAsia="zh-CN"/>
        </w:rPr>
        <w:tab/>
      </w:r>
    </w:p>
    <w:p>
      <w:pPr>
        <w:rPr>
          <w:rFonts w:ascii="TimesNewRomanPSMT" w:hAnsi="TimesNewRomanPSMT" w:eastAsia="TimesNewRomanPSMT" w:cs="TimesNewRomanPSMT"/>
          <w:i w:val="0"/>
          <w:color w:val="000000"/>
          <w:sz w:val="24"/>
          <w:szCs w:val="24"/>
        </w:rPr>
      </w:pPr>
      <w:r>
        <w:rPr>
          <w:rFonts w:hint="eastAsia" w:ascii="TimesNewRomanPSMT" w:hAnsi="TimesNewRomanPSMT" w:eastAsia="宋体" w:cs="TimesNewRomanPSMT"/>
          <w:i w:val="0"/>
          <w:color w:val="000000"/>
          <w:sz w:val="24"/>
          <w:szCs w:val="24"/>
          <w:lang w:val="en-US" w:eastAsia="zh-CN"/>
        </w:rPr>
        <w:t>寻址：</w:t>
      </w:r>
      <w:r>
        <w:rPr>
          <w:rFonts w:ascii="TimesNewRomanPSMT" w:hAnsi="TimesNewRomanPSMT" w:eastAsia="TimesNewRomanPSMT" w:cs="TimesNewRomanPSMT"/>
          <w:i w:val="0"/>
          <w:color w:val="000000"/>
          <w:sz w:val="24"/>
          <w:szCs w:val="24"/>
        </w:rPr>
        <w:t>Unit ID, Control Selector</w:t>
      </w:r>
    </w:p>
    <w:p>
      <w:pPr>
        <w:rPr>
          <w:rFonts w:ascii="TimesNewRomanPSMT" w:hAnsi="TimesNewRomanPSMT" w:eastAsia="TimesNewRomanPSMT" w:cs="TimesNewRomanPSMT"/>
          <w:i w:val="0"/>
          <w:color w:val="000000"/>
          <w:sz w:val="24"/>
          <w:szCs w:val="24"/>
        </w:rPr>
      </w:pPr>
    </w:p>
    <w:p>
      <w:pPr/>
      <w:r>
        <w:drawing>
          <wp:inline distT="0" distB="0" distL="114300" distR="114300">
            <wp:extent cx="5273675" cy="835660"/>
            <wp:effectExtent l="0" t="0" r="317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35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ascii="TimesNewRomanPSMT" w:hAnsi="TimesNewRomanPSMT" w:eastAsia="TimesNewRomanPSMT" w:cs="TimesNewRomanPSMT"/>
          <w:i w:val="0"/>
          <w:color w:val="000000"/>
          <w:sz w:val="24"/>
          <w:szCs w:val="24"/>
        </w:rPr>
      </w:pPr>
      <w:r>
        <w:rPr>
          <w:rFonts w:ascii="Arial-BoldMT" w:hAnsi="Arial-BoldMT" w:eastAsia="Arial-BoldMT" w:cs="Arial-BoldMT"/>
          <w:b/>
          <w:i w:val="0"/>
          <w:color w:val="000000"/>
          <w:sz w:val="22"/>
          <w:szCs w:val="22"/>
        </w:rPr>
        <w:t>bmRequestType</w:t>
      </w:r>
      <w:r>
        <w:rPr>
          <w:rFonts w:hint="eastAsia" w:ascii="Arial-BoldMT" w:hAnsi="Arial-BoldMT" w:eastAsia="宋体" w:cs="Arial-BoldMT"/>
          <w:b/>
          <w:i w:val="0"/>
          <w:color w:val="000000"/>
          <w:sz w:val="22"/>
          <w:szCs w:val="22"/>
          <w:lang w:val="en-US" w:eastAsia="zh-CN"/>
        </w:rPr>
        <w:t xml:space="preserve"> 表示类型，共有两类 </w:t>
      </w:r>
      <w:r>
        <w:rPr>
          <w:rFonts w:ascii="TimesNewRomanPS-BoldMT" w:hAnsi="TimesNewRomanPS-BoldMT" w:eastAsia="TimesNewRomanPS-BoldMT" w:cs="TimesNewRomanPS-BoldMT"/>
          <w:b/>
          <w:i w:val="0"/>
          <w:color w:val="000000"/>
          <w:sz w:val="24"/>
          <w:szCs w:val="24"/>
        </w:rPr>
        <w:t>Get Request</w:t>
      </w:r>
      <w:r>
        <w:rPr>
          <w:rFonts w:hint="eastAsia" w:ascii="TimesNewRomanPS-BoldMT" w:hAnsi="TimesNewRomanPS-BoldMT" w:eastAsia="宋体" w:cs="TimesNewRomanPS-BoldMT"/>
          <w:b/>
          <w:i w:val="0"/>
          <w:color w:val="000000"/>
          <w:sz w:val="24"/>
          <w:szCs w:val="24"/>
          <w:lang w:val="en-US" w:eastAsia="zh-CN"/>
        </w:rPr>
        <w:t xml:space="preserve"> </w:t>
      </w:r>
      <w:r>
        <w:rPr>
          <w:rFonts w:ascii="TimesNewRomanPSMT" w:hAnsi="TimesNewRomanPSMT" w:eastAsia="TimesNewRomanPSMT" w:cs="TimesNewRomanPSMT"/>
          <w:i w:val="0"/>
          <w:color w:val="000000"/>
          <w:sz w:val="24"/>
          <w:szCs w:val="24"/>
        </w:rPr>
        <w:t>Se</w:t>
      </w:r>
      <w:r>
        <w:rPr>
          <w:rFonts w:hint="eastAsia" w:ascii="TimesNewRomanPSMT" w:hAnsi="TimesNewRomanPSMT" w:eastAsia="宋体" w:cs="TimesNewRomanPSMT"/>
          <w:i w:val="0"/>
          <w:color w:val="000000"/>
          <w:sz w:val="24"/>
          <w:szCs w:val="24"/>
          <w:lang w:val="en-US" w:eastAsia="zh-CN"/>
        </w:rPr>
        <w:t xml:space="preserve">t </w:t>
      </w:r>
      <w:r>
        <w:rPr>
          <w:rFonts w:ascii="TimesNewRomanPSMT" w:hAnsi="TimesNewRomanPSMT" w:eastAsia="TimesNewRomanPSMT" w:cs="TimesNewRomanPSMT"/>
          <w:i w:val="0"/>
          <w:color w:val="000000"/>
          <w:sz w:val="24"/>
          <w:szCs w:val="24"/>
        </w:rPr>
        <w:t>requests</w:t>
      </w:r>
    </w:p>
    <w:p>
      <w:pPr>
        <w:rPr>
          <w:rFonts w:hint="eastAsia" w:ascii="Arial-BoldMT" w:hAnsi="Arial-BoldMT" w:eastAsia="宋体" w:cs="Arial-BoldMT"/>
          <w:b/>
          <w:i w:val="0"/>
          <w:color w:val="000000"/>
          <w:sz w:val="22"/>
          <w:szCs w:val="22"/>
          <w:lang w:val="en-US" w:eastAsia="zh-CN"/>
        </w:rPr>
      </w:pPr>
      <w:r>
        <w:rPr>
          <w:rFonts w:ascii="Arial-BoldMT" w:hAnsi="Arial-BoldMT" w:eastAsia="Arial-BoldMT" w:cs="Arial-BoldMT"/>
          <w:b/>
          <w:i w:val="0"/>
          <w:color w:val="000000"/>
          <w:sz w:val="22"/>
          <w:szCs w:val="22"/>
        </w:rPr>
        <w:t>bRequest</w:t>
      </w:r>
      <w:r>
        <w:rPr>
          <w:rFonts w:hint="eastAsia" w:ascii="Arial-BoldMT" w:hAnsi="Arial-BoldMT" w:eastAsia="宋体" w:cs="Arial-BoldMT"/>
          <w:b/>
          <w:i w:val="0"/>
          <w:color w:val="000000"/>
          <w:sz w:val="22"/>
          <w:szCs w:val="22"/>
          <w:lang w:val="en-US" w:eastAsia="zh-CN"/>
        </w:rPr>
        <w:t xml:space="preserve"> 表示属性，属性共有七种</w:t>
      </w:r>
    </w:p>
    <w:p>
      <w:pPr/>
      <w:r>
        <w:drawing>
          <wp:inline distT="0" distB="0" distL="114300" distR="114300">
            <wp:extent cx="5124450" cy="2190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Wvalue 表示某种unit下各个命令的编码。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Windex 表示各个unit的编码。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F582C"/>
    <w:rsid w:val="06EA79F7"/>
    <w:rsid w:val="123D679A"/>
    <w:rsid w:val="1BFA79F3"/>
    <w:rsid w:val="25B319E3"/>
    <w:rsid w:val="4E4B7C6A"/>
    <w:rsid w:val="5036227E"/>
    <w:rsid w:val="546F33E1"/>
    <w:rsid w:val="6D5E1C6B"/>
    <w:rsid w:val="709864C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jia</dc:creator>
  <cp:lastModifiedBy>jia</cp:lastModifiedBy>
  <dcterms:modified xsi:type="dcterms:W3CDTF">2016-06-22T06:23:39Z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