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LEI-Based Ultimate Investor Economy Discovery for ASEAN</w:t>
      </w:r>
    </w:p>
    <w:p>
      <w:r>
        <w:t>Conference-style methodology and preliminary results note. Generated 2026-06-22.</w:t>
      </w:r>
    </w:p>
    <w:p>
      <w:pPr>
        <w:pStyle w:val="Heading1"/>
      </w:pPr>
      <w:r>
        <w:t>Abstract</w:t>
      </w:r>
    </w:p>
    <w:p>
      <w:r>
        <w:t>This note documents a public-data discovery pipeline for Ultimate Investor Economy (UIE) classification in ASEAN. The method combines GLEIF LEI entities, parent relationships, reporting exceptions, name matching, address clustering, machine-learning jurisdiction fallback, and CDIS validation ratios. Results should be read as a discovery layer for statistical follow-up rather than a final BPM7 compilation.</w:t>
      </w:r>
    </w:p>
    <w:p>
      <w:pPr>
        <w:pStyle w:val="Heading1"/>
      </w:pPr>
      <w:r>
        <w:t>1. Research Question</w:t>
      </w:r>
    </w:p>
    <w:p>
      <w:r>
        <w:t>Can public LEI data reveal economically useful ownership structure for direct-investment compilation, and where does Malaysia sit relative to the rest of ASEAN?</w:t>
      </w:r>
    </w:p>
    <w:p>
      <w:pPr>
        <w:pStyle w:val="Heading1"/>
      </w:pPr>
      <w:r>
        <w:t>2. Data Snapshot</w:t>
      </w:r>
    </w:p>
    <w:p>
      <w:r>
        <w:t>The tables below use files currently available in the workspace. Malaysia raw entities were refreshed on 2026-06-22, but the MY relationship refresh is still checkpointed in the background; processed UIE results therefore remain based on the last completed relationship output.</w:t>
      </w:r>
    </w:p>
    <w:tbl>
      <w:tblPr>
        <w:tblStyle w:val="TableGrid"/>
        <w:tblW w:w="0" w:type="auto"/>
      </w:tblPr>
      <w:tr>
        <w:tc>
          <w:tcPr>
            <w:tcW w:w="2400" w:type="dxa"/>
          </w:tcPr>
          <w:p>
            <w:r>
              <w:t>Host</w:t>
            </w:r>
          </w:p>
        </w:tc>
        <w:tc>
          <w:tcPr>
            <w:tcW w:w="2400" w:type="dxa"/>
          </w:tcPr>
          <w:p>
            <w:r>
              <w:t>Raw LEIs</w:t>
            </w:r>
          </w:p>
        </w:tc>
        <w:tc>
          <w:tcPr>
            <w:tcW w:w="2400" w:type="dxa"/>
          </w:tcPr>
          <w:p>
            <w:r>
              <w:t>Relationships</w:t>
            </w:r>
          </w:p>
        </w:tc>
        <w:tc>
          <w:tcPr>
            <w:tcW w:w="2400" w:type="dxa"/>
          </w:tcPr>
          <w:p>
            <w:r>
              <w:t>Related LEIs</w:t>
            </w:r>
          </w:p>
        </w:tc>
        <w:tc>
          <w:tcPr>
            <w:tcW w:w="2400" w:type="dxa"/>
          </w:tcPr>
          <w:p>
            <w:r>
              <w:t>Exceptions</w:t>
            </w:r>
          </w:p>
        </w:tc>
        <w:tc>
          <w:tcPr>
            <w:tcW w:w="2400" w:type="dxa"/>
          </w:tcPr>
          <w:p>
            <w:r>
              <w:t>Refresh status</w:t>
            </w:r>
          </w:p>
        </w:tc>
      </w:tr>
      <w:tr>
        <w:tc>
          <w:tcPr>
            <w:tcW w:w="2400" w:type="dxa"/>
          </w:tcPr>
          <w:p>
            <w:r>
              <w:t>MY</w:t>
            </w:r>
          </w:p>
        </w:tc>
        <w:tc>
          <w:tcPr>
            <w:tcW w:w="2400" w:type="dxa"/>
          </w:tcPr>
          <w:p>
            <w:r>
              <w:t>2,235</w:t>
            </w:r>
          </w:p>
        </w:tc>
        <w:tc>
          <w:tcPr>
            <w:tcW w:w="2400" w:type="dxa"/>
          </w:tcPr>
          <w:p>
            <w:r>
              <w:t>317</w:t>
            </w:r>
          </w:p>
        </w:tc>
        <w:tc>
          <w:tcPr>
            <w:tcW w:w="2400" w:type="dxa"/>
          </w:tcPr>
          <w:p>
            <w:r>
              <w:t>127</w:t>
            </w:r>
          </w:p>
        </w:tc>
        <w:tc>
          <w:tcPr>
            <w:tcW w:w="2400" w:type="dxa"/>
          </w:tcPr>
          <w:p>
            <w:r>
              <w:t>1,751</w:t>
            </w:r>
          </w:p>
        </w:tc>
        <w:tc>
          <w:tcPr>
            <w:tcW w:w="2400" w:type="dxa"/>
          </w:tcPr>
          <w:p>
            <w:r>
              <w:t>Partial refresh in progress</w:t>
            </w:r>
          </w:p>
        </w:tc>
      </w:tr>
      <w:tr>
        <w:tc>
          <w:tcPr>
            <w:tcW w:w="2400" w:type="dxa"/>
          </w:tcPr>
          <w:p>
            <w:r>
              <w:t>SG</w:t>
            </w:r>
          </w:p>
        </w:tc>
        <w:tc>
          <w:tcPr>
            <w:tcW w:w="2400" w:type="dxa"/>
          </w:tcPr>
          <w:p>
            <w:r>
              <w:t>12,446</w:t>
            </w:r>
          </w:p>
        </w:tc>
        <w:tc>
          <w:tcPr>
            <w:tcW w:w="2400" w:type="dxa"/>
          </w:tcPr>
          <w:p>
            <w:r>
              <w:t>2,818</w:t>
            </w:r>
          </w:p>
        </w:tc>
        <w:tc>
          <w:tcPr>
            <w:tcW w:w="2400" w:type="dxa"/>
          </w:tcPr>
          <w:p>
            <w:r>
              <w:t>1,063</w:t>
            </w:r>
          </w:p>
        </w:tc>
        <w:tc>
          <w:tcPr>
            <w:tcW w:w="2400" w:type="dxa"/>
          </w:tcPr>
          <w:p>
            <w:r>
              <w:t>10,552</w:t>
            </w:r>
          </w:p>
        </w:tc>
        <w:tc>
          <w:tcPr>
            <w:tcW w:w="2400" w:type="dxa"/>
          </w:tcPr>
          <w:p>
            <w:r>
              <w:t>Cached output</w:t>
            </w:r>
          </w:p>
        </w:tc>
      </w:tr>
      <w:tr>
        <w:tc>
          <w:tcPr>
            <w:tcW w:w="2400" w:type="dxa"/>
          </w:tcPr>
          <w:p>
            <w:r>
              <w:t>TH</w:t>
            </w:r>
          </w:p>
        </w:tc>
        <w:tc>
          <w:tcPr>
            <w:tcW w:w="2400" w:type="dxa"/>
          </w:tcPr>
          <w:p>
            <w:r>
              <w:t>2,371</w:t>
            </w:r>
          </w:p>
        </w:tc>
        <w:tc>
          <w:tcPr>
            <w:tcW w:w="2400" w:type="dxa"/>
          </w:tcPr>
          <w:p>
            <w:r>
              <w:t>557</w:t>
            </w:r>
          </w:p>
        </w:tc>
        <w:tc>
          <w:tcPr>
            <w:tcW w:w="2400" w:type="dxa"/>
          </w:tcPr>
          <w:p>
            <w:r>
              <w:t>230</w:t>
            </w:r>
          </w:p>
        </w:tc>
        <w:tc>
          <w:tcPr>
            <w:tcW w:w="2400" w:type="dxa"/>
          </w:tcPr>
          <w:p>
            <w:r>
              <w:t>1,976</w:t>
            </w:r>
          </w:p>
        </w:tc>
        <w:tc>
          <w:tcPr>
            <w:tcW w:w="2400" w:type="dxa"/>
          </w:tcPr>
          <w:p>
            <w:r>
              <w:t>Cached output</w:t>
            </w:r>
          </w:p>
        </w:tc>
      </w:tr>
      <w:tr>
        <w:tc>
          <w:tcPr>
            <w:tcW w:w="2400" w:type="dxa"/>
          </w:tcPr>
          <w:p>
            <w:r>
              <w:t>ID</w:t>
            </w:r>
          </w:p>
        </w:tc>
        <w:tc>
          <w:tcPr>
            <w:tcW w:w="2400" w:type="dxa"/>
          </w:tcPr>
          <w:p>
            <w:r>
              <w:t>1,459</w:t>
            </w:r>
          </w:p>
        </w:tc>
        <w:tc>
          <w:tcPr>
            <w:tcW w:w="2400" w:type="dxa"/>
          </w:tcPr>
          <w:p>
            <w:r>
              <w:t>121</w:t>
            </w:r>
          </w:p>
        </w:tc>
        <w:tc>
          <w:tcPr>
            <w:tcW w:w="2400" w:type="dxa"/>
          </w:tcPr>
          <w:p>
            <w:r>
              <w:t>54</w:t>
            </w:r>
          </w:p>
        </w:tc>
        <w:tc>
          <w:tcPr>
            <w:tcW w:w="2400" w:type="dxa"/>
          </w:tcPr>
          <w:p>
            <w:r>
              <w:t>1,141</w:t>
            </w:r>
          </w:p>
        </w:tc>
        <w:tc>
          <w:tcPr>
            <w:tcW w:w="2400" w:type="dxa"/>
          </w:tcPr>
          <w:p>
            <w:r>
              <w:t>Cached output</w:t>
            </w:r>
          </w:p>
        </w:tc>
      </w:tr>
      <w:tr>
        <w:tc>
          <w:tcPr>
            <w:tcW w:w="2400" w:type="dxa"/>
          </w:tcPr>
          <w:p>
            <w:r>
              <w:t>PH</w:t>
            </w:r>
          </w:p>
        </w:tc>
        <w:tc>
          <w:tcPr>
            <w:tcW w:w="2400" w:type="dxa"/>
          </w:tcPr>
          <w:p>
            <w:r>
              <w:t>735</w:t>
            </w:r>
          </w:p>
        </w:tc>
        <w:tc>
          <w:tcPr>
            <w:tcW w:w="2400" w:type="dxa"/>
          </w:tcPr>
          <w:p>
            <w:r>
              <w:t>185</w:t>
            </w:r>
          </w:p>
        </w:tc>
        <w:tc>
          <w:tcPr>
            <w:tcW w:w="2400" w:type="dxa"/>
          </w:tcPr>
          <w:p>
            <w:r>
              <w:t>89</w:t>
            </w:r>
          </w:p>
        </w:tc>
        <w:tc>
          <w:tcPr>
            <w:tcW w:w="2400" w:type="dxa"/>
          </w:tcPr>
          <w:p>
            <w:r>
              <w:t>513</w:t>
            </w:r>
          </w:p>
        </w:tc>
        <w:tc>
          <w:tcPr>
            <w:tcW w:w="2400" w:type="dxa"/>
          </w:tcPr>
          <w:p>
            <w:r>
              <w:t>Cached output</w:t>
            </w:r>
          </w:p>
        </w:tc>
      </w:tr>
      <w:tr>
        <w:tc>
          <w:tcPr>
            <w:tcW w:w="2400" w:type="dxa"/>
          </w:tcPr>
          <w:p>
            <w:r>
              <w:t>VN</w:t>
            </w:r>
          </w:p>
        </w:tc>
        <w:tc>
          <w:tcPr>
            <w:tcW w:w="2400" w:type="dxa"/>
          </w:tcPr>
          <w:p>
            <w:r>
              <w:t>356</w:t>
            </w:r>
          </w:p>
        </w:tc>
        <w:tc>
          <w:tcPr>
            <w:tcW w:w="2400" w:type="dxa"/>
          </w:tcPr>
          <w:p>
            <w:r>
              <w:t>231</w:t>
            </w:r>
          </w:p>
        </w:tc>
        <w:tc>
          <w:tcPr>
            <w:tcW w:w="2400" w:type="dxa"/>
          </w:tcPr>
          <w:p>
            <w:r>
              <w:t>107</w:t>
            </w:r>
          </w:p>
        </w:tc>
        <w:tc>
          <w:tcPr>
            <w:tcW w:w="2400" w:type="dxa"/>
          </w:tcPr>
          <w:p>
            <w:r>
              <w:t>223</w:t>
            </w:r>
          </w:p>
        </w:tc>
        <w:tc>
          <w:tcPr>
            <w:tcW w:w="2400" w:type="dxa"/>
          </w:tcPr>
          <w:p>
            <w:r>
              <w:t>Cached output</w:t>
            </w:r>
          </w:p>
        </w:tc>
      </w:tr>
      <w:tr>
        <w:tc>
          <w:tcPr>
            <w:tcW w:w="2400" w:type="dxa"/>
          </w:tcPr>
          <w:p>
            <w:r>
              <w:t>KH</w:t>
            </w:r>
          </w:p>
        </w:tc>
        <w:tc>
          <w:tcPr>
            <w:tcW w:w="2400" w:type="dxa"/>
          </w:tcPr>
          <w:p>
            <w:r>
              <w:t>37</w:t>
            </w:r>
          </w:p>
        </w:tc>
        <w:tc>
          <w:tcPr>
            <w:tcW w:w="2400" w:type="dxa"/>
          </w:tcPr>
          <w:p>
            <w:r>
              <w:t>19</w:t>
            </w:r>
          </w:p>
        </w:tc>
        <w:tc>
          <w:tcPr>
            <w:tcW w:w="2400" w:type="dxa"/>
          </w:tcPr>
          <w:p>
            <w:r>
              <w:t>10</w:t>
            </w:r>
          </w:p>
        </w:tc>
        <w:tc>
          <w:tcPr>
            <w:tcW w:w="2400" w:type="dxa"/>
          </w:tcPr>
          <w:p>
            <w:r>
              <w:t>26</w:t>
            </w:r>
          </w:p>
        </w:tc>
        <w:tc>
          <w:tcPr>
            <w:tcW w:w="2400" w:type="dxa"/>
          </w:tcPr>
          <w:p>
            <w:r>
              <w:t>Cached output</w:t>
            </w:r>
          </w:p>
        </w:tc>
      </w:tr>
      <w:tr>
        <w:tc>
          <w:tcPr>
            <w:tcW w:w="2400" w:type="dxa"/>
          </w:tcPr>
          <w:p>
            <w:r>
              <w:t>BN</w:t>
            </w:r>
          </w:p>
        </w:tc>
        <w:tc>
          <w:tcPr>
            <w:tcW w:w="2400" w:type="dxa"/>
          </w:tcPr>
          <w:p>
            <w:r>
              <w:t>42</w:t>
            </w:r>
          </w:p>
        </w:tc>
        <w:tc>
          <w:tcPr>
            <w:tcW w:w="2400" w:type="dxa"/>
          </w:tcPr>
          <w:p>
            <w:r>
              <w:t>11</w:t>
            </w:r>
          </w:p>
        </w:tc>
        <w:tc>
          <w:tcPr>
            <w:tcW w:w="2400" w:type="dxa"/>
          </w:tcPr>
          <w:p>
            <w:r>
              <w:t>9</w:t>
            </w:r>
          </w:p>
        </w:tc>
        <w:tc>
          <w:tcPr>
            <w:tcW w:w="2400" w:type="dxa"/>
          </w:tcPr>
          <w:p>
            <w:r>
              <w:t>32</w:t>
            </w:r>
          </w:p>
        </w:tc>
        <w:tc>
          <w:tcPr>
            <w:tcW w:w="2400" w:type="dxa"/>
          </w:tcPr>
          <w:p>
            <w:r>
              <w:t>Cached output</w:t>
            </w:r>
          </w:p>
        </w:tc>
      </w:tr>
      <w:tr>
        <w:tc>
          <w:tcPr>
            <w:tcW w:w="2400" w:type="dxa"/>
          </w:tcPr>
          <w:p>
            <w:r>
              <w:t>LA</w:t>
            </w:r>
          </w:p>
        </w:tc>
        <w:tc>
          <w:tcPr>
            <w:tcW w:w="2400" w:type="dxa"/>
          </w:tcPr>
          <w:p>
            <w:r>
              <w:t>21</w:t>
            </w:r>
          </w:p>
        </w:tc>
        <w:tc>
          <w:tcPr>
            <w:tcW w:w="2400" w:type="dxa"/>
          </w:tcPr>
          <w:p>
            <w:r>
              <w:t>2</w:t>
            </w:r>
          </w:p>
        </w:tc>
        <w:tc>
          <w:tcPr>
            <w:tcW w:w="2400" w:type="dxa"/>
          </w:tcPr>
          <w:p>
            <w:r>
              <w:t>2</w:t>
            </w:r>
          </w:p>
        </w:tc>
        <w:tc>
          <w:tcPr>
            <w:tcW w:w="2400" w:type="dxa"/>
          </w:tcPr>
          <w:p>
            <w:r>
              <w:t>19</w:t>
            </w:r>
          </w:p>
        </w:tc>
        <w:tc>
          <w:tcPr>
            <w:tcW w:w="2400" w:type="dxa"/>
          </w:tcPr>
          <w:p>
            <w:r>
              <w:t>Cached output</w:t>
            </w:r>
          </w:p>
        </w:tc>
      </w:tr>
      <w:tr>
        <w:tc>
          <w:tcPr>
            <w:tcW w:w="2400" w:type="dxa"/>
          </w:tcPr>
          <w:p>
            <w:r>
              <w:t>MM</w:t>
            </w:r>
          </w:p>
        </w:tc>
        <w:tc>
          <w:tcPr>
            <w:tcW w:w="2400" w:type="dxa"/>
          </w:tcPr>
          <w:p>
            <w:r>
              <w:t>6</w:t>
            </w:r>
          </w:p>
        </w:tc>
        <w:tc>
          <w:tcPr>
            <w:tcW w:w="2400" w:type="dxa"/>
          </w:tcPr>
          <w:p>
            <w:r>
              <w:t>2</w:t>
            </w:r>
          </w:p>
        </w:tc>
        <w:tc>
          <w:tcPr>
            <w:tcW w:w="2400" w:type="dxa"/>
          </w:tcPr>
          <w:p>
            <w:r>
              <w:t>2</w:t>
            </w:r>
          </w:p>
        </w:tc>
        <w:tc>
          <w:tcPr>
            <w:tcW w:w="2400" w:type="dxa"/>
          </w:tcPr>
          <w:p>
            <w:r>
              <w:t>5</w:t>
            </w:r>
          </w:p>
        </w:tc>
        <w:tc>
          <w:tcPr>
            <w:tcW w:w="2400" w:type="dxa"/>
          </w:tcPr>
          <w:p>
            <w:r>
              <w:t>Cached output</w:t>
            </w:r>
          </w:p>
        </w:tc>
      </w:tr>
      <w:tr>
        <w:tc>
          <w:tcPr>
            <w:tcW w:w="2400" w:type="dxa"/>
          </w:tcPr>
          <w:p>
            <w:r>
              <w:t>TL</w:t>
            </w:r>
          </w:p>
        </w:tc>
        <w:tc>
          <w:tcPr>
            <w:tcW w:w="2400" w:type="dxa"/>
          </w:tcPr>
          <w:p>
            <w:r>
              <w:t>7</w:t>
            </w:r>
          </w:p>
        </w:tc>
        <w:tc>
          <w:tcPr>
            <w:tcW w:w="2400" w:type="dxa"/>
          </w:tcPr>
          <w:p>
            <w:r>
              <w:t>0</w:t>
            </w:r>
          </w:p>
        </w:tc>
        <w:tc>
          <w:tcPr>
            <w:tcW w:w="2400" w:type="dxa"/>
          </w:tcPr>
          <w:p>
            <w:r>
              <w:t>0</w:t>
            </w:r>
          </w:p>
        </w:tc>
        <w:tc>
          <w:tcPr>
            <w:tcW w:w="2400" w:type="dxa"/>
          </w:tcPr>
          <w:p>
            <w:r>
              <w:t>7</w:t>
            </w:r>
          </w:p>
        </w:tc>
        <w:tc>
          <w:tcPr>
            <w:tcW w:w="2400" w:type="dxa"/>
          </w:tcPr>
          <w:p>
            <w:r>
              <w:t>Cached output</w:t>
            </w:r>
          </w:p>
        </w:tc>
      </w:tr>
    </w:tbl>
    <w:p>
      <w:pPr>
        <w:pStyle w:val="Heading1"/>
      </w:pPr>
      <w:r>
        <w:t>3. Methodology</w:t>
      </w:r>
    </w:p>
    <w:p>
      <w:r>
        <w:t>- Pull country-linked LEI records from GLEIF and normalize legal name, LEI, legal country, headquarters country, entity status, legal form, and city fields.</w:t>
      </w:r>
    </w:p>
    <w:p>
      <w:r>
        <w:t>- Scan each domestic LEI for direct-parent and ultimate-parent relationships; fetch foreign parent LEIs as related entities.</w:t>
      </w:r>
    </w:p>
    <w:p>
      <w:r>
        <w:t>- Query reporting exceptions for entities without known parent links; NON_CONSOLIDATING is treated as a confirmed subsidiary signal but not a UIE country by itself.</w:t>
      </w:r>
    </w:p>
    <w:p>
      <w:r>
        <w:t>- Assign UIE using an evidence ladder: manual verified override, GLEIF ultimate parent, GLEIF direct parent, high-confidence name match, address-cluster inference, jurisdiction model fallback, reporting exception/no country, then unassigned.</w:t>
      </w:r>
    </w:p>
    <w:p>
      <w:r>
        <w:t>- Use review queues to separate operating companies from funds, nominees, financial institutions, and cases requiring source-backed override.</w:t>
      </w:r>
    </w:p>
    <w:p>
      <w:r>
        <w:t>- Validate macro plausibility using CDIS/DIP: rank correlation between bilateral GLEIF entity counts and FDI stocks, plus LEI density ratios.</w:t>
      </w:r>
    </w:p>
    <w:p>
      <w:pPr>
        <w:pStyle w:val="Heading1"/>
      </w:pPr>
      <w:r>
        <w:t>4. Ratio Measures</w:t>
      </w:r>
    </w:p>
    <w:p>
      <w:r>
        <w:t>The key ratio used here is inward LEI density = count of foreign-UIE LEIs in host / inward FDI stock in USD billions. For Malaysia, the current processed result is 2,046 foreign-UIE LEIs over USD 280.9bn inward FDI, or 7.28 LEIs per USD 1bn.</w:t>
      </w:r>
    </w:p>
    <w:tbl>
      <w:tblPr>
        <w:tblStyle w:val="TableGrid"/>
        <w:tblW w:w="0" w:type="auto"/>
      </w:tblPr>
      <w:tr>
        <w:tc>
          <w:tcPr>
            <w:tcW w:w="2400" w:type="dxa"/>
          </w:tcPr>
          <w:p>
            <w:r>
              <w:t>Host</w:t>
            </w:r>
          </w:p>
        </w:tc>
        <w:tc>
          <w:tcPr>
            <w:tcW w:w="2400" w:type="dxa"/>
          </w:tcPr>
          <w:p>
            <w:r>
              <w:t>Foreign UIE LEIs</w:t>
            </w:r>
          </w:p>
        </w:tc>
        <w:tc>
          <w:tcPr>
            <w:tcW w:w="2400" w:type="dxa"/>
          </w:tcPr>
          <w:p>
            <w:r>
              <w:t>Inward FDI USD bn</w:t>
            </w:r>
          </w:p>
        </w:tc>
        <w:tc>
          <w:tcPr>
            <w:tcW w:w="2400" w:type="dxa"/>
          </w:tcPr>
          <w:p>
            <w:r>
              <w:t>Inward LEI density</w:t>
            </w:r>
          </w:p>
        </w:tc>
      </w:tr>
      <w:tr>
        <w:tc>
          <w:tcPr>
            <w:tcW w:w="2400" w:type="dxa"/>
          </w:tcPr>
          <w:p>
            <w:r>
              <w:t>SG</w:t>
            </w:r>
          </w:p>
        </w:tc>
        <w:tc>
          <w:tcPr>
            <w:tcW w:w="2400" w:type="dxa"/>
          </w:tcPr>
          <w:p>
            <w:r>
              <w:t>10,117</w:t>
            </w:r>
          </w:p>
        </w:tc>
        <w:tc>
          <w:tcPr>
            <w:tcW w:w="2400" w:type="dxa"/>
          </w:tcPr>
          <w:p>
            <w:r>
              <w:t>3,241.9</w:t>
            </w:r>
          </w:p>
        </w:tc>
        <w:tc>
          <w:tcPr>
            <w:tcW w:w="2400" w:type="dxa"/>
          </w:tcPr>
          <w:p>
            <w:r>
              <w:t>3.12</w:t>
            </w:r>
          </w:p>
        </w:tc>
      </w:tr>
      <w:tr>
        <w:tc>
          <w:tcPr>
            <w:tcW w:w="2400" w:type="dxa"/>
          </w:tcPr>
          <w:p>
            <w:r>
              <w:t>TH</w:t>
            </w:r>
          </w:p>
        </w:tc>
        <w:tc>
          <w:tcPr>
            <w:tcW w:w="2400" w:type="dxa"/>
          </w:tcPr>
          <w:p>
            <w:r>
              <w:t>2,279</w:t>
            </w:r>
          </w:p>
        </w:tc>
        <w:tc>
          <w:tcPr>
            <w:tcW w:w="2400" w:type="dxa"/>
          </w:tcPr>
          <w:p>
            <w:r>
              <w:t>409.8</w:t>
            </w:r>
          </w:p>
        </w:tc>
        <w:tc>
          <w:tcPr>
            <w:tcW w:w="2400" w:type="dxa"/>
          </w:tcPr>
          <w:p>
            <w:r>
              <w:t>5.56</w:t>
            </w:r>
          </w:p>
        </w:tc>
      </w:tr>
      <w:tr>
        <w:tc>
          <w:tcPr>
            <w:tcW w:w="2400" w:type="dxa"/>
          </w:tcPr>
          <w:p>
            <w:r>
              <w:t>MY</w:t>
            </w:r>
          </w:p>
        </w:tc>
        <w:tc>
          <w:tcPr>
            <w:tcW w:w="2400" w:type="dxa"/>
          </w:tcPr>
          <w:p>
            <w:r>
              <w:t>2,046</w:t>
            </w:r>
          </w:p>
        </w:tc>
        <w:tc>
          <w:tcPr>
            <w:tcW w:w="2400" w:type="dxa"/>
          </w:tcPr>
          <w:p>
            <w:r>
              <w:t>280.9</w:t>
            </w:r>
          </w:p>
        </w:tc>
        <w:tc>
          <w:tcPr>
            <w:tcW w:w="2400" w:type="dxa"/>
          </w:tcPr>
          <w:p>
            <w:r>
              <w:t>7.28</w:t>
            </w:r>
          </w:p>
        </w:tc>
      </w:tr>
      <w:tr>
        <w:tc>
          <w:tcPr>
            <w:tcW w:w="2400" w:type="dxa"/>
          </w:tcPr>
          <w:p>
            <w:r>
              <w:t>ID</w:t>
            </w:r>
          </w:p>
        </w:tc>
        <w:tc>
          <w:tcPr>
            <w:tcW w:w="2400" w:type="dxa"/>
          </w:tcPr>
          <w:p>
            <w:r>
              <w:t>1,440</w:t>
            </w:r>
          </w:p>
        </w:tc>
        <w:tc>
          <w:tcPr>
            <w:tcW w:w="2400" w:type="dxa"/>
          </w:tcPr>
          <w:p>
            <w:r>
              <w:t>399.9</w:t>
            </w:r>
          </w:p>
        </w:tc>
        <w:tc>
          <w:tcPr>
            <w:tcW w:w="2400" w:type="dxa"/>
          </w:tcPr>
          <w:p>
            <w:r>
              <w:t>3.60</w:t>
            </w:r>
          </w:p>
        </w:tc>
      </w:tr>
      <w:tr>
        <w:tc>
          <w:tcPr>
            <w:tcW w:w="2400" w:type="dxa"/>
          </w:tcPr>
          <w:p>
            <w:r>
              <w:t>PH</w:t>
            </w:r>
          </w:p>
        </w:tc>
        <w:tc>
          <w:tcPr>
            <w:tcW w:w="2400" w:type="dxa"/>
          </w:tcPr>
          <w:p>
            <w:r>
              <w:t>710</w:t>
            </w:r>
          </w:p>
        </w:tc>
        <w:tc>
          <w:tcPr>
            <w:tcW w:w="2400" w:type="dxa"/>
          </w:tcPr>
          <w:p>
            <w:r>
              <w:t>80.2</w:t>
            </w:r>
          </w:p>
        </w:tc>
        <w:tc>
          <w:tcPr>
            <w:tcW w:w="2400" w:type="dxa"/>
          </w:tcPr>
          <w:p>
            <w:r>
              <w:t>8.86</w:t>
            </w:r>
          </w:p>
        </w:tc>
      </w:tr>
      <w:tr>
        <w:tc>
          <w:tcPr>
            <w:tcW w:w="2400" w:type="dxa"/>
          </w:tcPr>
          <w:p>
            <w:r>
              <w:t>VN</w:t>
            </w:r>
          </w:p>
        </w:tc>
        <w:tc>
          <w:tcPr>
            <w:tcW w:w="2400" w:type="dxa"/>
          </w:tcPr>
          <w:p>
            <w:r>
              <w:t>344</w:t>
            </w:r>
          </w:p>
        </w:tc>
        <w:tc>
          <w:tcPr>
            <w:tcW w:w="2400" w:type="dxa"/>
          </w:tcPr>
          <w:p>
            <w:r>
              <w:t>122.1</w:t>
            </w:r>
          </w:p>
        </w:tc>
        <w:tc>
          <w:tcPr>
            <w:tcW w:w="2400" w:type="dxa"/>
          </w:tcPr>
          <w:p>
            <w:r>
              <w:t>2.82</w:t>
            </w:r>
          </w:p>
        </w:tc>
      </w:tr>
      <w:tr>
        <w:tc>
          <w:tcPr>
            <w:tcW w:w="2400" w:type="dxa"/>
          </w:tcPr>
          <w:p>
            <w:r>
              <w:t>BN</w:t>
            </w:r>
          </w:p>
        </w:tc>
        <w:tc>
          <w:tcPr>
            <w:tcW w:w="2400" w:type="dxa"/>
          </w:tcPr>
          <w:p>
            <w:r>
              <w:t>42</w:t>
            </w:r>
          </w:p>
        </w:tc>
        <w:tc>
          <w:tcPr>
            <w:tcW w:w="2400" w:type="dxa"/>
          </w:tcPr>
          <w:p>
            <w:r>
              <w:t>7.7</w:t>
            </w:r>
          </w:p>
        </w:tc>
        <w:tc>
          <w:tcPr>
            <w:tcW w:w="2400" w:type="dxa"/>
          </w:tcPr>
          <w:p>
            <w:r>
              <w:t>5.42</w:t>
            </w:r>
          </w:p>
        </w:tc>
      </w:tr>
      <w:tr>
        <w:tc>
          <w:tcPr>
            <w:tcW w:w="2400" w:type="dxa"/>
          </w:tcPr>
          <w:p>
            <w:r>
              <w:t>KH</w:t>
            </w:r>
          </w:p>
        </w:tc>
        <w:tc>
          <w:tcPr>
            <w:tcW w:w="2400" w:type="dxa"/>
          </w:tcPr>
          <w:p>
            <w:r>
              <w:t>36</w:t>
            </w:r>
          </w:p>
        </w:tc>
        <w:tc>
          <w:tcPr>
            <w:tcW w:w="2400" w:type="dxa"/>
          </w:tcPr>
          <w:p>
            <w:r>
              <w:t>64.1</w:t>
            </w:r>
          </w:p>
        </w:tc>
        <w:tc>
          <w:tcPr>
            <w:tcW w:w="2400" w:type="dxa"/>
          </w:tcPr>
          <w:p>
            <w:r>
              <w:t>0.56</w:t>
            </w:r>
          </w:p>
        </w:tc>
      </w:tr>
      <w:tr>
        <w:tc>
          <w:tcPr>
            <w:tcW w:w="2400" w:type="dxa"/>
          </w:tcPr>
          <w:p>
            <w:r>
              <w:t>LA</w:t>
            </w:r>
          </w:p>
        </w:tc>
        <w:tc>
          <w:tcPr>
            <w:tcW w:w="2400" w:type="dxa"/>
          </w:tcPr>
          <w:p>
            <w:r>
              <w:t>21</w:t>
            </w:r>
          </w:p>
        </w:tc>
        <w:tc>
          <w:tcPr>
            <w:tcW w:w="2400" w:type="dxa"/>
          </w:tcPr>
          <w:p>
            <w:r>
              <w:t>16.3</w:t>
            </w:r>
          </w:p>
        </w:tc>
        <w:tc>
          <w:tcPr>
            <w:tcW w:w="2400" w:type="dxa"/>
          </w:tcPr>
          <w:p>
            <w:r>
              <w:t>1.29</w:t>
            </w:r>
          </w:p>
        </w:tc>
      </w:tr>
      <w:tr>
        <w:tc>
          <w:tcPr>
            <w:tcW w:w="2400" w:type="dxa"/>
          </w:tcPr>
          <w:p>
            <w:r>
              <w:t>MM</w:t>
            </w:r>
          </w:p>
        </w:tc>
        <w:tc>
          <w:tcPr>
            <w:tcW w:w="2400" w:type="dxa"/>
          </w:tcPr>
          <w:p>
            <w:r>
              <w:t>6</w:t>
            </w:r>
          </w:p>
        </w:tc>
        <w:tc>
          <w:tcPr>
            <w:tcW w:w="2400" w:type="dxa"/>
          </w:tcPr>
          <w:p>
            <w:r>
              <w:t>11.3</w:t>
            </w:r>
          </w:p>
        </w:tc>
        <w:tc>
          <w:tcPr>
            <w:tcW w:w="2400" w:type="dxa"/>
          </w:tcPr>
          <w:p>
            <w:r>
              <w:t>0.53</w:t>
            </w:r>
          </w:p>
        </w:tc>
      </w:tr>
      <w:tr>
        <w:tc>
          <w:tcPr>
            <w:tcW w:w="2400" w:type="dxa"/>
          </w:tcPr>
          <w:p>
            <w:r>
              <w:t>TL</w:t>
            </w:r>
          </w:p>
        </w:tc>
        <w:tc>
          <w:tcPr>
            <w:tcW w:w="2400" w:type="dxa"/>
          </w:tcPr>
          <w:p>
            <w:r>
              <w:t>0</w:t>
            </w:r>
          </w:p>
        </w:tc>
        <w:tc>
          <w:tcPr>
            <w:tcW w:w="2400" w:type="dxa"/>
          </w:tcPr>
          <w:p>
            <w:r>
              <w:t>3.2</w:t>
            </w:r>
          </w:p>
        </w:tc>
        <w:tc>
          <w:tcPr>
            <w:tcW w:w="2400" w:type="dxa"/>
          </w:tcPr>
          <w:p>
            <w:r>
              <w:t>0.00</w:t>
            </w:r>
          </w:p>
        </w:tc>
      </w:tr>
    </w:tbl>
    <w:p>
      <w:pPr>
        <w:pStyle w:val="Heading1"/>
      </w:pPr>
      <w:r>
        <w:t>5. Current Results</w:t>
      </w:r>
    </w:p>
    <w:p>
      <w:r>
        <w:t>- Across available ASEAN outputs, Singapore has the largest LEI universe; Malaysia and Thailand form the next tier.</w:t>
      </w:r>
    </w:p>
    <w:p>
      <w:r>
        <w:t>- Known GLEIF parent coverage is still limited relative to the full LEI universe, so model fallback dominates many current UIE assignments.</w:t>
      </w:r>
    </w:p>
    <w:p>
      <w:r>
        <w:t>- Malaysia has 2,195 processed UIE rows, 2,046 assigned to a foreign UIE country, 181 known UIE assignments, and 1,792 model fallback assignments.</w:t>
      </w:r>
    </w:p>
    <w:p>
      <w:r>
        <w:t>- The Malaysia review queue has 500 rows: 363 need a fund/product rule, 133 are ordinary todo cases, and 3 need nominee/custodian handling.</w:t>
      </w:r>
    </w:p>
    <w:p>
      <w:r>
        <w:t>- The GLEIF search benchmark generated 61 candidate rows; 48 mostly rediscovered the same LEI, while 13 surfaced potentially useful country discrepancies.</w:t>
      </w:r>
    </w:p>
    <w:p>
      <w:pPr>
        <w:pStyle w:val="Heading1"/>
      </w:pPr>
      <w:r>
        <w:t>6. CDIS Validation</w:t>
      </w:r>
    </w:p>
    <w:p>
      <w:r>
        <w:t>Bilateral GLEIF counts are not FDI values, but they do line up directionally with CDIS stocks. The pooled inward rank correlation is positive and significant, supporting the use of LEI counts as a coverage/structure signal rather than a value estimator.</w:t>
      </w:r>
    </w:p>
    <w:tbl>
      <w:tblPr>
        <w:tblStyle w:val="TableGrid"/>
        <w:tblW w:w="0" w:type="auto"/>
      </w:tblPr>
      <w:tr>
        <w:tc>
          <w:tcPr>
            <w:tcW w:w="2400" w:type="dxa"/>
          </w:tcPr>
          <w:p>
            <w:r>
              <w:t>Host</w:t>
            </w:r>
          </w:p>
        </w:tc>
        <w:tc>
          <w:tcPr>
            <w:tcW w:w="2400" w:type="dxa"/>
          </w:tcPr>
          <w:p>
            <w:r>
              <w:t>Pairs</w:t>
            </w:r>
          </w:p>
        </w:tc>
        <w:tc>
          <w:tcPr>
            <w:tcW w:w="2400" w:type="dxa"/>
          </w:tcPr>
          <w:p>
            <w:r>
              <w:t>Spearman rho</w:t>
            </w:r>
          </w:p>
        </w:tc>
        <w:tc>
          <w:tcPr>
            <w:tcW w:w="2400" w:type="dxa"/>
          </w:tcPr>
          <w:p>
            <w:r>
              <w:t>p-value</w:t>
            </w:r>
          </w:p>
        </w:tc>
      </w:tr>
      <w:tr>
        <w:tc>
          <w:tcPr>
            <w:tcW w:w="2400" w:type="dxa"/>
          </w:tcPr>
          <w:p>
            <w:r>
              <w:t>ALL</w:t>
            </w:r>
          </w:p>
        </w:tc>
        <w:tc>
          <w:tcPr>
            <w:tcW w:w="2400" w:type="dxa"/>
          </w:tcPr>
          <w:p>
            <w:r>
              <w:t>149</w:t>
            </w:r>
          </w:p>
        </w:tc>
        <w:tc>
          <w:tcPr>
            <w:tcW w:w="2400" w:type="dxa"/>
          </w:tcPr>
          <w:p>
            <w:r>
              <w:t>0.633</w:t>
            </w:r>
          </w:p>
        </w:tc>
        <w:tc>
          <w:tcPr>
            <w:tcW w:w="2400" w:type="dxa"/>
          </w:tcPr>
          <w:p>
            <w:r>
              <w:t>0.0000</w:t>
            </w:r>
          </w:p>
        </w:tc>
      </w:tr>
      <w:tr>
        <w:tc>
          <w:tcPr>
            <w:tcW w:w="2400" w:type="dxa"/>
          </w:tcPr>
          <w:p>
            <w:r>
              <w:t>BN</w:t>
            </w:r>
          </w:p>
        </w:tc>
        <w:tc>
          <w:tcPr>
            <w:tcW w:w="2400" w:type="dxa"/>
          </w:tcPr>
          <w:p>
            <w:r>
              <w:t>4</w:t>
            </w:r>
          </w:p>
        </w:tc>
        <w:tc>
          <w:tcPr>
            <w:tcW w:w="2400" w:type="dxa"/>
          </w:tcPr>
          <w:p>
            <w:r>
              <w:t>0.775</w:t>
            </w:r>
          </w:p>
        </w:tc>
        <w:tc>
          <w:tcPr>
            <w:tcW w:w="2400" w:type="dxa"/>
          </w:tcPr>
          <w:p>
            <w:r>
              <w:t>0.2254</w:t>
            </w:r>
          </w:p>
        </w:tc>
      </w:tr>
      <w:tr>
        <w:tc>
          <w:tcPr>
            <w:tcW w:w="2400" w:type="dxa"/>
          </w:tcPr>
          <w:p>
            <w:r>
              <w:t>ID</w:t>
            </w:r>
          </w:p>
        </w:tc>
        <w:tc>
          <w:tcPr>
            <w:tcW w:w="2400" w:type="dxa"/>
          </w:tcPr>
          <w:p>
            <w:r>
              <w:t>16</w:t>
            </w:r>
          </w:p>
        </w:tc>
        <w:tc>
          <w:tcPr>
            <w:tcW w:w="2400" w:type="dxa"/>
          </w:tcPr>
          <w:p>
            <w:r>
              <w:t>0.316</w:t>
            </w:r>
          </w:p>
        </w:tc>
        <w:tc>
          <w:tcPr>
            <w:tcW w:w="2400" w:type="dxa"/>
          </w:tcPr>
          <w:p>
            <w:r>
              <w:t>0.2327</w:t>
            </w:r>
          </w:p>
        </w:tc>
      </w:tr>
      <w:tr>
        <w:tc>
          <w:tcPr>
            <w:tcW w:w="2400" w:type="dxa"/>
          </w:tcPr>
          <w:p>
            <w:r>
              <w:t>KH</w:t>
            </w:r>
          </w:p>
        </w:tc>
        <w:tc>
          <w:tcPr>
            <w:tcW w:w="2400" w:type="dxa"/>
          </w:tcPr>
          <w:p>
            <w:r>
              <w:t>6</w:t>
            </w:r>
          </w:p>
        </w:tc>
        <w:tc>
          <w:tcPr>
            <w:tcW w:w="2400" w:type="dxa"/>
          </w:tcPr>
          <w:p>
            <w:r>
              <w:t>0.098</w:t>
            </w:r>
          </w:p>
        </w:tc>
        <w:tc>
          <w:tcPr>
            <w:tcW w:w="2400" w:type="dxa"/>
          </w:tcPr>
          <w:p>
            <w:r>
              <w:t>0.8541</w:t>
            </w:r>
          </w:p>
        </w:tc>
      </w:tr>
      <w:tr>
        <w:tc>
          <w:tcPr>
            <w:tcW w:w="2400" w:type="dxa"/>
          </w:tcPr>
          <w:p>
            <w:r>
              <w:t>MY</w:t>
            </w:r>
          </w:p>
        </w:tc>
        <w:tc>
          <w:tcPr>
            <w:tcW w:w="2400" w:type="dxa"/>
          </w:tcPr>
          <w:p>
            <w:r>
              <w:t>17</w:t>
            </w:r>
          </w:p>
        </w:tc>
        <w:tc>
          <w:tcPr>
            <w:tcW w:w="2400" w:type="dxa"/>
          </w:tcPr>
          <w:p>
            <w:r>
              <w:t>0.433</w:t>
            </w:r>
          </w:p>
        </w:tc>
        <w:tc>
          <w:tcPr>
            <w:tcW w:w="2400" w:type="dxa"/>
          </w:tcPr>
          <w:p>
            <w:r>
              <w:t>0.0828</w:t>
            </w:r>
          </w:p>
        </w:tc>
      </w:tr>
      <w:tr>
        <w:tc>
          <w:tcPr>
            <w:tcW w:w="2400" w:type="dxa"/>
          </w:tcPr>
          <w:p>
            <w:r>
              <w:t>PH</w:t>
            </w:r>
          </w:p>
        </w:tc>
        <w:tc>
          <w:tcPr>
            <w:tcW w:w="2400" w:type="dxa"/>
          </w:tcPr>
          <w:p>
            <w:r>
              <w:t>22</w:t>
            </w:r>
          </w:p>
        </w:tc>
        <w:tc>
          <w:tcPr>
            <w:tcW w:w="2400" w:type="dxa"/>
          </w:tcPr>
          <w:p>
            <w:r>
              <w:t>0.483</w:t>
            </w:r>
          </w:p>
        </w:tc>
        <w:tc>
          <w:tcPr>
            <w:tcW w:w="2400" w:type="dxa"/>
          </w:tcPr>
          <w:p>
            <w:r>
              <w:t>0.0226</w:t>
            </w:r>
          </w:p>
        </w:tc>
      </w:tr>
      <w:tr>
        <w:tc>
          <w:tcPr>
            <w:tcW w:w="2400" w:type="dxa"/>
          </w:tcPr>
          <w:p>
            <w:r>
              <w:t>SG</w:t>
            </w:r>
          </w:p>
        </w:tc>
        <w:tc>
          <w:tcPr>
            <w:tcW w:w="2400" w:type="dxa"/>
          </w:tcPr>
          <w:p>
            <w:r>
              <w:t>38</w:t>
            </w:r>
          </w:p>
        </w:tc>
        <w:tc>
          <w:tcPr>
            <w:tcW w:w="2400" w:type="dxa"/>
          </w:tcPr>
          <w:p>
            <w:r>
              <w:t>0.840</w:t>
            </w:r>
          </w:p>
        </w:tc>
        <w:tc>
          <w:tcPr>
            <w:tcW w:w="2400" w:type="dxa"/>
          </w:tcPr>
          <w:p>
            <w:r>
              <w:t>0.0000</w:t>
            </w:r>
          </w:p>
        </w:tc>
      </w:tr>
      <w:tr>
        <w:tc>
          <w:tcPr>
            <w:tcW w:w="2400" w:type="dxa"/>
          </w:tcPr>
          <w:p>
            <w:r>
              <w:t>TH</w:t>
            </w:r>
          </w:p>
        </w:tc>
        <w:tc>
          <w:tcPr>
            <w:tcW w:w="2400" w:type="dxa"/>
          </w:tcPr>
          <w:p>
            <w:r>
              <w:t>29</w:t>
            </w:r>
          </w:p>
        </w:tc>
        <w:tc>
          <w:tcPr>
            <w:tcW w:w="2400" w:type="dxa"/>
          </w:tcPr>
          <w:p>
            <w:r>
              <w:t>0.338</w:t>
            </w:r>
          </w:p>
        </w:tc>
        <w:tc>
          <w:tcPr>
            <w:tcW w:w="2400" w:type="dxa"/>
          </w:tcPr>
          <w:p>
            <w:r>
              <w:t>0.0726</w:t>
            </w:r>
          </w:p>
        </w:tc>
      </w:tr>
      <w:tr>
        <w:tc>
          <w:tcPr>
            <w:tcW w:w="2400" w:type="dxa"/>
          </w:tcPr>
          <w:p>
            <w:r>
              <w:t>VN</w:t>
            </w:r>
          </w:p>
        </w:tc>
        <w:tc>
          <w:tcPr>
            <w:tcW w:w="2400" w:type="dxa"/>
          </w:tcPr>
          <w:p>
            <w:r>
              <w:t>16</w:t>
            </w:r>
          </w:p>
        </w:tc>
        <w:tc>
          <w:tcPr>
            <w:tcW w:w="2400" w:type="dxa"/>
          </w:tcPr>
          <w:p>
            <w:r>
              <w:t>0.422</w:t>
            </w:r>
          </w:p>
        </w:tc>
        <w:tc>
          <w:tcPr>
            <w:tcW w:w="2400" w:type="dxa"/>
          </w:tcPr>
          <w:p>
            <w:r>
              <w:t>0.1038</w:t>
            </w:r>
          </w:p>
        </w:tc>
      </w:tr>
    </w:tbl>
    <w:p>
      <w:pPr>
        <w:pStyle w:val="Heading1"/>
      </w:pPr>
      <w:r>
        <w:t>7. Interpretation</w:t>
      </w:r>
    </w:p>
    <w:p>
      <w:r>
        <w:t>- The strongest finding is methodological: GLEIF is useful as a discovery graph, not as a complete ownership register.</w:t>
      </w:r>
    </w:p>
    <w:p>
      <w:r>
        <w:t>- Malaysia's current inward density is low enough to suggest that large investment positions may be represented by a relatively small number of LEI-bearing vehicles.</w:t>
      </w:r>
    </w:p>
    <w:p>
      <w:r>
        <w:t>- The fund/product vehicle problem is now the dominant queue-cleaning issue; it should be handled before expanding manual review.</w:t>
      </w:r>
    </w:p>
    <w:p>
      <w:r>
        <w:t>- GLEIF search is useful for entity resolution, but weak as standalone UIE evidence because it often returns the domestic entity itself.</w:t>
      </w:r>
    </w:p>
    <w:p>
      <w:r>
        <w:t>- Global Energy Monitor is best treated as a sector-specific complement for energy and heavy-industry ownership evidence, not a general matcher.</w:t>
      </w:r>
    </w:p>
    <w:p>
      <w:pPr>
        <w:pStyle w:val="Heading1"/>
      </w:pPr>
      <w:r>
        <w:t>8. Next Fixes Before Final Conference Submission</w:t>
      </w:r>
    </w:p>
    <w:p>
      <w:r>
        <w:t>- Complete refreshed GLEIF relationship and reporting-exception pulls for MY and ASEAN.</w:t>
      </w:r>
    </w:p>
    <w:p>
      <w:r>
        <w:t>- Rebuild graph, UIE assignments, densities, and CDIS validation tables from the refreshed snapshot.</w:t>
      </w:r>
    </w:p>
    <w:p>
      <w:r>
        <w:t>- Implement a fund/product vehicle rule so fund rows do not pollute operating-company UIE conclusions.</w:t>
      </w:r>
    </w:p>
    <w:p>
      <w:r>
        <w:t>- Add GEM evidence for energy-sector entities and keep it as an auditable source layer.</w:t>
      </w:r>
    </w:p>
    <w:p>
      <w:r>
        <w:t>- Expand source-backed manual overrides only for high-impact cases surfaced by the review queue.</w:t>
      </w:r>
    </w:p>
    <w:p>
      <w:pPr>
        <w:pStyle w:val="Heading1"/>
      </w:pPr>
      <w:r>
        <w:t>Conclusion</w:t>
      </w:r>
    </w:p>
    <w:p>
      <w:r>
        <w:t>The current results are already conference-usable as a methodology and preliminary evidence story: public LEI data can prioritize UIE discovery and reveal ASEAN ownership structure, but final statistical conclusions require a refreshed crawl, sector-specific evidence, and source-backed analyst review.</w:t>
      </w:r>
    </w:p>
    <w:sectPr>
      <w:pgSz w:w="12240" w:h="15840"/>
      <w:pgMar w:top="1440" w:right="1440" w:bottom="1440" w:left="1440"/>
    </w:sectPr>
  </w:body>
</w:document>
</file>

<file path=word/styles.xml><?xml version="1.0" encoding="utf-8"?>
<w:styles xmlns:w="http://schemas.openxmlformats.org/wordprocessingml/2006/main">
  <w:style w:type="paragraph" w:styleId="Title">
    <w:name w:val="Title"/>
    <w:rPr>
      <w:b/>
      <w:sz w:val="36"/>
    </w:rPr>
  </w:style>
  <w:style w:type="paragraph" w:styleId="Heading1">
    <w:name w:val="heading 1"/>
    <w:pPr>
      <w:spacing w:before="240" w:after="120"/>
    </w:pPr>
    <w:rPr>
      <w:b/>
      <w:sz w:val="28"/>
    </w:rPr>
  </w:style>
</w:styles>
</file>