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PRD: External Sector Intelligence Engine (ESIE)</w:t>
      </w:r>
    </w:p>
    <w:p/>
    <w:p>
      <w:r>
        <w:t>Objective:</w:t>
      </w:r>
    </w:p>
    <w:p>
      <w:r>
        <w:t>Build a machine learning–enabled system to reconstruct portfolio and direct investment structures under BPM7.</w:t>
      </w:r>
    </w:p>
    <w:p/>
    <w:p>
      <w:r>
        <w:t>Core Modules:</w:t>
      </w:r>
    </w:p>
    <w:p>
      <w:r>
        <w:t>1. Direct Investment Ownership Graph</w:t>
      </w:r>
    </w:p>
    <w:p>
      <w:r>
        <w:t>2. Portfolio Allocation Simulator</w:t>
      </w:r>
    </w:p>
    <w:p>
      <w:r>
        <w:t>3. Coverage Gap Detection Engine</w:t>
      </w:r>
    </w:p>
    <w:p>
      <w:r>
        <w:t>4. Macro Nowcasting Engine</w:t>
      </w:r>
    </w:p>
    <w:p>
      <w:r>
        <w:t>5. BPM7 Enforcement Layer</w:t>
      </w:r>
    </w:p>
    <w:p/>
    <w:p>
      <w:r>
        <w:t>Data Sources:</w:t>
      </w:r>
    </w:p>
    <w:p>
      <w:r>
        <w:t>- GLEIF (entity &amp; ownership)</w:t>
      </w:r>
    </w:p>
    <w:p>
      <w:r>
        <w:t>- SEC EDGAR (filings)</w:t>
      </w:r>
    </w:p>
    <w:p>
      <w:r>
        <w:t>- IMF CPIS/PIP (portfolio)</w:t>
      </w:r>
    </w:p>
    <w:p>
      <w:r>
        <w:t>- Market &amp; macro data</w:t>
      </w:r>
    </w:p>
    <w:p/>
    <w:p>
      <w:r>
        <w:t>Key Features:</w:t>
      </w:r>
    </w:p>
    <w:p>
      <w:r>
        <w:t>- Entity resolution</w:t>
      </w:r>
    </w:p>
    <w:p>
      <w:r>
        <w:t>- Ownership network reconstruction</w:t>
      </w:r>
    </w:p>
    <w:p>
      <w:r>
        <w:t>- Coverage gap scoring</w:t>
      </w:r>
    </w:p>
    <w:p>
      <w:r>
        <w:t>- BPM7 classification enforcement</w:t>
      </w:r>
    </w:p>
    <w:p/>
    <w:p>
      <w:r>
        <w:t>Pipeline:</w:t>
      </w:r>
    </w:p>
    <w:p>
      <w:r>
        <w:t>Data → ML Discovery → BPM7 Enforcement → Outputs</w:t>
      </w:r>
    </w:p>
    <w:p/>
    <w:p>
      <w:r>
        <w:t>Success Metrics:</w:t>
      </w:r>
    </w:p>
    <w:p>
      <w:r>
        <w:t>- Improved coverage detection</w:t>
      </w:r>
    </w:p>
    <w:p>
      <w:r>
        <w:t>- Better structural visibility</w:t>
      </w:r>
    </w:p>
    <w:p>
      <w:r>
        <w:t>- Reduced data gaps</w:t>
      </w:r>
    </w:p>
    <w:p/>
    <w:p>
      <w:r>
        <w:t>MVP Timeline:</w:t>
      </w:r>
    </w:p>
    <w:p>
      <w:r>
        <w:t>Phase 1: Public data prototype</w:t>
      </w:r>
    </w:p>
    <w:p>
      <w:r>
        <w:t>Phase 2: Admin data integration</w:t>
      </w:r>
    </w:p>
    <w:p>
      <w:r>
        <w:t>Phase 3: Full system deployment</w:t>
      </w:r>
    </w:p>
    <w:p/>
    <w:p>
      <w:r>
        <w:t>Strategic Value:</w:t>
      </w:r>
    </w:p>
    <w:p>
      <w:r>
        <w:t>Supports central banks and policymakers with better external sector insight.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