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LEI-Based Ultimate Investor Economy Discovery for ASEAN</w:t>
      </w:r>
    </w:p>
    <w:p>
      <w:r>
        <w:t>A policy-oriented methods and preliminary-results paper. Generated 2026-06-22.</w:t>
      </w:r>
    </w:p>
    <w:p>
      <w:pPr>
        <w:pStyle w:val="Heading1"/>
      </w:pPr>
      <w:r>
        <w:t>Executive Summary</w:t>
      </w:r>
    </w:p>
    <w:p>
      <w:r>
        <w:t>This paper develops a public-data discovery framework for identifying Ultimate Investor Economy (UIE) signals in direct-investment statistics. The exercise is motivated by a practical compilation problem: official survey and administrative systems often observe the resident entity and the immediate counterpart, but not the full cross-border ownership chain needed to identify the ultimate source of investment. The Legal Entity Identifier system offers a partial solution because it records legal entities and, in some cases, direct and ultimate parent relationships. However, parent reporting is incomplete. The contribution of this work is therefore not to treat LEI data as a complete register, but to use it as a discovery layer that prioritises where compilers should look next.</w:t>
      </w:r>
    </w:p>
    <w:p>
      <w:r>
        <w:t>The approach combines five forms of evidence. First, known GLEIF direct-parent and ultimate-parent relationships are taken as high-confidence ownership signals. Second, GLEIF reporting exceptions are used to distinguish entities that are structurally outside parent reporting from entities with no observable parent information. Third, name-pattern matching identifies subsidiaries whose legal names contain parent-brand tokens. Fourth, registered-address clustering propagates parent information within shared corporate-secretary and special-purpose-vehicle environments. Fifth, a jurisdiction model supplies a fallback country signal for triage, but is explicitly separated from verified evidence. The output is not a final statistical estimate. It is a ranked, auditable map of ownership evidence and uncertainty.</w:t>
      </w:r>
    </w:p>
    <w:p>
      <w:r>
        <w:t>Using the current processed workspace outputs, Malaysia has 2,195 UIE assignment rows. Of these, 2,046 are assigned to a foreign UIE country, 181 are known UIE assignments, and 1,792 rely on the jurisdiction-model fallback. The corresponding inward LEI density is 7.28 foreign-owned LEIs per USD 1 billion of inward FDI stock. This should be interpreted as a structural coverage ratio, not as a valuation ratio.</w:t>
      </w:r>
    </w:p>
    <w:p>
      <w:pPr>
        <w:pStyle w:val="Heading1"/>
      </w:pPr>
      <w:r>
        <w:t>1. Motivation and Statistical Context</w:t>
      </w:r>
    </w:p>
    <w:p>
      <w:r>
        <w:t>The introduction of BPM7 places renewed emphasis on ownership, risk transfer, and the economic interpretation of cross-border positions. For direct investment, the distinction between immediate counterpart economy and ultimate investor economy is particularly important. Immediate counterpart data describe the next jurisdiction in the ownership chain. UIE data attempt to identify the economy at the top of the chain. The latter is more informative for analysing geopolitical exposure, multinational enterprise structures, financial centres, and the role of special purpose entities.</w:t>
      </w:r>
    </w:p>
    <w:p>
      <w:r>
        <w:t>In practice, UIE compilation is difficult because ownership chains are fragmented across survey responses, corporate registries, tax records, securities databases, and public filings. Many structures are deliberately multi-jurisdictional. The immediate parent may be a holding company in a financial centre, while the ultimate controlling group is located elsewhere. Conversely, a resident entity may appear foreign-owned in one data source but be controlled by a domestic sovereign fund, pension fund, family group, or operating conglomerate. A useful analytical system must therefore avoid collapsing all evidence into a single black-box label. It should preserve the source, confidence, and reason for each assignment.</w:t>
      </w:r>
    </w:p>
    <w:p>
      <w:r>
        <w:t>This project addresses that need by building a reproducible pipeline that uses only public data. The public-data constraint is intentional. It allows the method to be audited, reproduced across countries, and used as a neutral starting point before confidential compiler data are introduced. The resulting tables are best understood as a pre-compilation intelligence layer: they do not replace official sources, but they can identify where official follow-up is likely to produce the greatest improvement in coverage.</w:t>
      </w:r>
    </w:p>
    <w:p>
      <w:pPr>
        <w:pStyle w:val="Heading1"/>
      </w:pPr>
      <w:r>
        <w:t>2. Data Sources and Current Snapshot</w:t>
      </w:r>
    </w:p>
    <w:p>
      <w:r>
        <w:t>The primary source is the GLEIF API. For each host economy, the pipeline pulls country-linked LEI records, then scans each LEI for direct-parent and ultimate-parent relationships. Where parent LEIs are found, the parent records are also retrieved so that the parent economy can be assigned. The pipeline also uses GLEIF reporting-exception endpoints, which record why an entity does not report parent information. These exception records are valuable because they often reveal that a missing parent is not simply missing data; it may reflect a specific reporting rule or disclosure limitation.</w:t>
      </w:r>
    </w:p>
    <w:p>
      <w:r>
        <w:t>For macro validation, the exercise uses IMF direct-investment positions by counterpart economy. The validation does not compare LEI counts with FDI values one-for-one. Instead, it asks whether bilateral LEI entity counts are directionally consistent with bilateral FDI stocks, and whether density ratios provide interpretable signals about concentrated versus dispersed investment structures.</w:t>
      </w:r>
    </w:p>
    <w:p>
      <w:r>
        <w:t>The current document uses the files available at generation time. The Malaysia raw LEI file had already been refreshed on 2026-06-22, but the Malaysia relationship refresh was still checkpointed in the background. As a result, the processed Malaysia UIE tables remain based on the last completed relationship output. This distinction matters: raw entity counts can update before relationship-derived UIE assignments are rebuilt. The report therefore presents the current results as preliminary and explicitly flags refresh status.</w:t>
      </w:r>
    </w:p>
    <w:tbl>
      <w:tblPr>
        <w:tblStyle w:val="TableGrid"/>
        <w:tblW w:w="0" w:type="auto"/>
      </w:tblPr>
      <w:tr>
        <w:tc>
          <w:tcPr>
            <w:tcW w:w="2400" w:type="dxa"/>
          </w:tcPr>
          <w:p>
            <w:r>
              <w:t>Host</w:t>
            </w:r>
          </w:p>
        </w:tc>
        <w:tc>
          <w:tcPr>
            <w:tcW w:w="2400" w:type="dxa"/>
          </w:tcPr>
          <w:p>
            <w:r>
              <w:t>Raw LEIs</w:t>
            </w:r>
          </w:p>
        </w:tc>
        <w:tc>
          <w:tcPr>
            <w:tcW w:w="2400" w:type="dxa"/>
          </w:tcPr>
          <w:p>
            <w:r>
              <w:t>Relationships</w:t>
            </w:r>
          </w:p>
        </w:tc>
        <w:tc>
          <w:tcPr>
            <w:tcW w:w="2400" w:type="dxa"/>
          </w:tcPr>
          <w:p>
            <w:r>
              <w:t>Related LEIs</w:t>
            </w:r>
          </w:p>
        </w:tc>
        <w:tc>
          <w:tcPr>
            <w:tcW w:w="2400" w:type="dxa"/>
          </w:tcPr>
          <w:p>
            <w:r>
              <w:t>Exceptions</w:t>
            </w:r>
          </w:p>
        </w:tc>
        <w:tc>
          <w:tcPr>
            <w:tcW w:w="2400" w:type="dxa"/>
          </w:tcPr>
          <w:p>
            <w:r>
              <w:t>Refresh status</w:t>
            </w:r>
          </w:p>
        </w:tc>
      </w:tr>
      <w:tr>
        <w:tc>
          <w:tcPr>
            <w:tcW w:w="2400" w:type="dxa"/>
          </w:tcPr>
          <w:p>
            <w:r>
              <w:t>MY</w:t>
            </w:r>
          </w:p>
        </w:tc>
        <w:tc>
          <w:tcPr>
            <w:tcW w:w="2400" w:type="dxa"/>
          </w:tcPr>
          <w:p>
            <w:r>
              <w:t>2,235</w:t>
            </w:r>
          </w:p>
        </w:tc>
        <w:tc>
          <w:tcPr>
            <w:tcW w:w="2400" w:type="dxa"/>
          </w:tcPr>
          <w:p>
            <w:r>
              <w:t>317</w:t>
            </w:r>
          </w:p>
        </w:tc>
        <w:tc>
          <w:tcPr>
            <w:tcW w:w="2400" w:type="dxa"/>
          </w:tcPr>
          <w:p>
            <w:r>
              <w:t>127</w:t>
            </w:r>
          </w:p>
        </w:tc>
        <w:tc>
          <w:tcPr>
            <w:tcW w:w="2400" w:type="dxa"/>
          </w:tcPr>
          <w:p>
            <w:r>
              <w:t>1,751</w:t>
            </w:r>
          </w:p>
        </w:tc>
        <w:tc>
          <w:tcPr>
            <w:tcW w:w="2400" w:type="dxa"/>
          </w:tcPr>
          <w:p>
            <w:r>
              <w:t>Partial refresh in progress</w:t>
            </w:r>
          </w:p>
        </w:tc>
      </w:tr>
      <w:tr>
        <w:tc>
          <w:tcPr>
            <w:tcW w:w="2400" w:type="dxa"/>
          </w:tcPr>
          <w:p>
            <w:r>
              <w:t>SG</w:t>
            </w:r>
          </w:p>
        </w:tc>
        <w:tc>
          <w:tcPr>
            <w:tcW w:w="2400" w:type="dxa"/>
          </w:tcPr>
          <w:p>
            <w:r>
              <w:t>12,446</w:t>
            </w:r>
          </w:p>
        </w:tc>
        <w:tc>
          <w:tcPr>
            <w:tcW w:w="2400" w:type="dxa"/>
          </w:tcPr>
          <w:p>
            <w:r>
              <w:t>2,818</w:t>
            </w:r>
          </w:p>
        </w:tc>
        <w:tc>
          <w:tcPr>
            <w:tcW w:w="2400" w:type="dxa"/>
          </w:tcPr>
          <w:p>
            <w:r>
              <w:t>1,063</w:t>
            </w:r>
          </w:p>
        </w:tc>
        <w:tc>
          <w:tcPr>
            <w:tcW w:w="2400" w:type="dxa"/>
          </w:tcPr>
          <w:p>
            <w:r>
              <w:t>10,552</w:t>
            </w:r>
          </w:p>
        </w:tc>
        <w:tc>
          <w:tcPr>
            <w:tcW w:w="2400" w:type="dxa"/>
          </w:tcPr>
          <w:p>
            <w:r>
              <w:t>Cached output</w:t>
            </w:r>
          </w:p>
        </w:tc>
      </w:tr>
      <w:tr>
        <w:tc>
          <w:tcPr>
            <w:tcW w:w="2400" w:type="dxa"/>
          </w:tcPr>
          <w:p>
            <w:r>
              <w:t>TH</w:t>
            </w:r>
          </w:p>
        </w:tc>
        <w:tc>
          <w:tcPr>
            <w:tcW w:w="2400" w:type="dxa"/>
          </w:tcPr>
          <w:p>
            <w:r>
              <w:t>2,371</w:t>
            </w:r>
          </w:p>
        </w:tc>
        <w:tc>
          <w:tcPr>
            <w:tcW w:w="2400" w:type="dxa"/>
          </w:tcPr>
          <w:p>
            <w:r>
              <w:t>557</w:t>
            </w:r>
          </w:p>
        </w:tc>
        <w:tc>
          <w:tcPr>
            <w:tcW w:w="2400" w:type="dxa"/>
          </w:tcPr>
          <w:p>
            <w:r>
              <w:t>230</w:t>
            </w:r>
          </w:p>
        </w:tc>
        <w:tc>
          <w:tcPr>
            <w:tcW w:w="2400" w:type="dxa"/>
          </w:tcPr>
          <w:p>
            <w:r>
              <w:t>1,976</w:t>
            </w:r>
          </w:p>
        </w:tc>
        <w:tc>
          <w:tcPr>
            <w:tcW w:w="2400" w:type="dxa"/>
          </w:tcPr>
          <w:p>
            <w:r>
              <w:t>Cached output</w:t>
            </w:r>
          </w:p>
        </w:tc>
      </w:tr>
      <w:tr>
        <w:tc>
          <w:tcPr>
            <w:tcW w:w="2400" w:type="dxa"/>
          </w:tcPr>
          <w:p>
            <w:r>
              <w:t>ID</w:t>
            </w:r>
          </w:p>
        </w:tc>
        <w:tc>
          <w:tcPr>
            <w:tcW w:w="2400" w:type="dxa"/>
          </w:tcPr>
          <w:p>
            <w:r>
              <w:t>1,459</w:t>
            </w:r>
          </w:p>
        </w:tc>
        <w:tc>
          <w:tcPr>
            <w:tcW w:w="2400" w:type="dxa"/>
          </w:tcPr>
          <w:p>
            <w:r>
              <w:t>121</w:t>
            </w:r>
          </w:p>
        </w:tc>
        <w:tc>
          <w:tcPr>
            <w:tcW w:w="2400" w:type="dxa"/>
          </w:tcPr>
          <w:p>
            <w:r>
              <w:t>54</w:t>
            </w:r>
          </w:p>
        </w:tc>
        <w:tc>
          <w:tcPr>
            <w:tcW w:w="2400" w:type="dxa"/>
          </w:tcPr>
          <w:p>
            <w:r>
              <w:t>1,141</w:t>
            </w:r>
          </w:p>
        </w:tc>
        <w:tc>
          <w:tcPr>
            <w:tcW w:w="2400" w:type="dxa"/>
          </w:tcPr>
          <w:p>
            <w:r>
              <w:t>Cached output</w:t>
            </w:r>
          </w:p>
        </w:tc>
      </w:tr>
      <w:tr>
        <w:tc>
          <w:tcPr>
            <w:tcW w:w="2400" w:type="dxa"/>
          </w:tcPr>
          <w:p>
            <w:r>
              <w:t>PH</w:t>
            </w:r>
          </w:p>
        </w:tc>
        <w:tc>
          <w:tcPr>
            <w:tcW w:w="2400" w:type="dxa"/>
          </w:tcPr>
          <w:p>
            <w:r>
              <w:t>735</w:t>
            </w:r>
          </w:p>
        </w:tc>
        <w:tc>
          <w:tcPr>
            <w:tcW w:w="2400" w:type="dxa"/>
          </w:tcPr>
          <w:p>
            <w:r>
              <w:t>185</w:t>
            </w:r>
          </w:p>
        </w:tc>
        <w:tc>
          <w:tcPr>
            <w:tcW w:w="2400" w:type="dxa"/>
          </w:tcPr>
          <w:p>
            <w:r>
              <w:t>89</w:t>
            </w:r>
          </w:p>
        </w:tc>
        <w:tc>
          <w:tcPr>
            <w:tcW w:w="2400" w:type="dxa"/>
          </w:tcPr>
          <w:p>
            <w:r>
              <w:t>513</w:t>
            </w:r>
          </w:p>
        </w:tc>
        <w:tc>
          <w:tcPr>
            <w:tcW w:w="2400" w:type="dxa"/>
          </w:tcPr>
          <w:p>
            <w:r>
              <w:t>Cached output</w:t>
            </w:r>
          </w:p>
        </w:tc>
      </w:tr>
      <w:tr>
        <w:tc>
          <w:tcPr>
            <w:tcW w:w="2400" w:type="dxa"/>
          </w:tcPr>
          <w:p>
            <w:r>
              <w:t>VN</w:t>
            </w:r>
          </w:p>
        </w:tc>
        <w:tc>
          <w:tcPr>
            <w:tcW w:w="2400" w:type="dxa"/>
          </w:tcPr>
          <w:p>
            <w:r>
              <w:t>356</w:t>
            </w:r>
          </w:p>
        </w:tc>
        <w:tc>
          <w:tcPr>
            <w:tcW w:w="2400" w:type="dxa"/>
          </w:tcPr>
          <w:p>
            <w:r>
              <w:t>231</w:t>
            </w:r>
          </w:p>
        </w:tc>
        <w:tc>
          <w:tcPr>
            <w:tcW w:w="2400" w:type="dxa"/>
          </w:tcPr>
          <w:p>
            <w:r>
              <w:t>107</w:t>
            </w:r>
          </w:p>
        </w:tc>
        <w:tc>
          <w:tcPr>
            <w:tcW w:w="2400" w:type="dxa"/>
          </w:tcPr>
          <w:p>
            <w:r>
              <w:t>223</w:t>
            </w:r>
          </w:p>
        </w:tc>
        <w:tc>
          <w:tcPr>
            <w:tcW w:w="2400" w:type="dxa"/>
          </w:tcPr>
          <w:p>
            <w:r>
              <w:t>Cached output</w:t>
            </w:r>
          </w:p>
        </w:tc>
      </w:tr>
      <w:tr>
        <w:tc>
          <w:tcPr>
            <w:tcW w:w="2400" w:type="dxa"/>
          </w:tcPr>
          <w:p>
            <w:r>
              <w:t>KH</w:t>
            </w:r>
          </w:p>
        </w:tc>
        <w:tc>
          <w:tcPr>
            <w:tcW w:w="2400" w:type="dxa"/>
          </w:tcPr>
          <w:p>
            <w:r>
              <w:t>37</w:t>
            </w:r>
          </w:p>
        </w:tc>
        <w:tc>
          <w:tcPr>
            <w:tcW w:w="2400" w:type="dxa"/>
          </w:tcPr>
          <w:p>
            <w:r>
              <w:t>19</w:t>
            </w:r>
          </w:p>
        </w:tc>
        <w:tc>
          <w:tcPr>
            <w:tcW w:w="2400" w:type="dxa"/>
          </w:tcPr>
          <w:p>
            <w:r>
              <w:t>10</w:t>
            </w:r>
          </w:p>
        </w:tc>
        <w:tc>
          <w:tcPr>
            <w:tcW w:w="2400" w:type="dxa"/>
          </w:tcPr>
          <w:p>
            <w:r>
              <w:t>26</w:t>
            </w:r>
          </w:p>
        </w:tc>
        <w:tc>
          <w:tcPr>
            <w:tcW w:w="2400" w:type="dxa"/>
          </w:tcPr>
          <w:p>
            <w:r>
              <w:t>Cached output</w:t>
            </w:r>
          </w:p>
        </w:tc>
      </w:tr>
      <w:tr>
        <w:tc>
          <w:tcPr>
            <w:tcW w:w="2400" w:type="dxa"/>
          </w:tcPr>
          <w:p>
            <w:r>
              <w:t>BN</w:t>
            </w:r>
          </w:p>
        </w:tc>
        <w:tc>
          <w:tcPr>
            <w:tcW w:w="2400" w:type="dxa"/>
          </w:tcPr>
          <w:p>
            <w:r>
              <w:t>42</w:t>
            </w:r>
          </w:p>
        </w:tc>
        <w:tc>
          <w:tcPr>
            <w:tcW w:w="2400" w:type="dxa"/>
          </w:tcPr>
          <w:p>
            <w:r>
              <w:t>11</w:t>
            </w:r>
          </w:p>
        </w:tc>
        <w:tc>
          <w:tcPr>
            <w:tcW w:w="2400" w:type="dxa"/>
          </w:tcPr>
          <w:p>
            <w:r>
              <w:t>9</w:t>
            </w:r>
          </w:p>
        </w:tc>
        <w:tc>
          <w:tcPr>
            <w:tcW w:w="2400" w:type="dxa"/>
          </w:tcPr>
          <w:p>
            <w:r>
              <w:t>32</w:t>
            </w:r>
          </w:p>
        </w:tc>
        <w:tc>
          <w:tcPr>
            <w:tcW w:w="2400" w:type="dxa"/>
          </w:tcPr>
          <w:p>
            <w:r>
              <w:t>Cached output</w:t>
            </w:r>
          </w:p>
        </w:tc>
      </w:tr>
      <w:tr>
        <w:tc>
          <w:tcPr>
            <w:tcW w:w="2400" w:type="dxa"/>
          </w:tcPr>
          <w:p>
            <w:r>
              <w:t>LA</w:t>
            </w:r>
          </w:p>
        </w:tc>
        <w:tc>
          <w:tcPr>
            <w:tcW w:w="2400" w:type="dxa"/>
          </w:tcPr>
          <w:p>
            <w:r>
              <w:t>21</w:t>
            </w:r>
          </w:p>
        </w:tc>
        <w:tc>
          <w:tcPr>
            <w:tcW w:w="2400" w:type="dxa"/>
          </w:tcPr>
          <w:p>
            <w:r>
              <w:t>2</w:t>
            </w:r>
          </w:p>
        </w:tc>
        <w:tc>
          <w:tcPr>
            <w:tcW w:w="2400" w:type="dxa"/>
          </w:tcPr>
          <w:p>
            <w:r>
              <w:t>2</w:t>
            </w:r>
          </w:p>
        </w:tc>
        <w:tc>
          <w:tcPr>
            <w:tcW w:w="2400" w:type="dxa"/>
          </w:tcPr>
          <w:p>
            <w:r>
              <w:t>19</w:t>
            </w:r>
          </w:p>
        </w:tc>
        <w:tc>
          <w:tcPr>
            <w:tcW w:w="2400" w:type="dxa"/>
          </w:tcPr>
          <w:p>
            <w:r>
              <w:t>Cached output</w:t>
            </w:r>
          </w:p>
        </w:tc>
      </w:tr>
      <w:tr>
        <w:tc>
          <w:tcPr>
            <w:tcW w:w="2400" w:type="dxa"/>
          </w:tcPr>
          <w:p>
            <w:r>
              <w:t>MM</w:t>
            </w:r>
          </w:p>
        </w:tc>
        <w:tc>
          <w:tcPr>
            <w:tcW w:w="2400" w:type="dxa"/>
          </w:tcPr>
          <w:p>
            <w:r>
              <w:t>6</w:t>
            </w:r>
          </w:p>
        </w:tc>
        <w:tc>
          <w:tcPr>
            <w:tcW w:w="2400" w:type="dxa"/>
          </w:tcPr>
          <w:p>
            <w:r>
              <w:t>2</w:t>
            </w:r>
          </w:p>
        </w:tc>
        <w:tc>
          <w:tcPr>
            <w:tcW w:w="2400" w:type="dxa"/>
          </w:tcPr>
          <w:p>
            <w:r>
              <w:t>2</w:t>
            </w:r>
          </w:p>
        </w:tc>
        <w:tc>
          <w:tcPr>
            <w:tcW w:w="2400" w:type="dxa"/>
          </w:tcPr>
          <w:p>
            <w:r>
              <w:t>5</w:t>
            </w:r>
          </w:p>
        </w:tc>
        <w:tc>
          <w:tcPr>
            <w:tcW w:w="2400" w:type="dxa"/>
          </w:tcPr>
          <w:p>
            <w:r>
              <w:t>Cached output</w:t>
            </w:r>
          </w:p>
        </w:tc>
      </w:tr>
      <w:tr>
        <w:tc>
          <w:tcPr>
            <w:tcW w:w="2400" w:type="dxa"/>
          </w:tcPr>
          <w:p>
            <w:r>
              <w:t>TL</w:t>
            </w:r>
          </w:p>
        </w:tc>
        <w:tc>
          <w:tcPr>
            <w:tcW w:w="2400" w:type="dxa"/>
          </w:tcPr>
          <w:p>
            <w:r>
              <w:t>7</w:t>
            </w:r>
          </w:p>
        </w:tc>
        <w:tc>
          <w:tcPr>
            <w:tcW w:w="2400" w:type="dxa"/>
          </w:tcPr>
          <w:p>
            <w:r>
              <w:t>0</w:t>
            </w:r>
          </w:p>
        </w:tc>
        <w:tc>
          <w:tcPr>
            <w:tcW w:w="2400" w:type="dxa"/>
          </w:tcPr>
          <w:p>
            <w:r>
              <w:t>0</w:t>
            </w:r>
          </w:p>
        </w:tc>
        <w:tc>
          <w:tcPr>
            <w:tcW w:w="2400" w:type="dxa"/>
          </w:tcPr>
          <w:p>
            <w:r>
              <w:t>7</w:t>
            </w:r>
          </w:p>
        </w:tc>
        <w:tc>
          <w:tcPr>
            <w:tcW w:w="2400" w:type="dxa"/>
          </w:tcPr>
          <w:p>
            <w:r>
              <w:t>Cached output</w:t>
            </w:r>
          </w:p>
        </w:tc>
      </w:tr>
    </w:tbl>
    <w:p>
      <w:pPr>
        <w:pStyle w:val="Heading1"/>
      </w:pPr>
      <w:r>
        <w:t>3. Conceptual Framework</w:t>
      </w:r>
    </w:p>
    <w:p>
      <w:r>
        <w:t>The core conceptual distinction is between evidence and inference. Evidence includes a filed GLEIF ultimate-parent relationship, a direct-parent relationship, or a source-backed analyst override. Inference includes name matching, address propagation, and jurisdiction-model fallback. The pipeline deliberately stores these categories separately so that results can be filtered according to the user's tolerance for uncertainty. For example, a central-bank compiler may use known parent relationships to update a frame immediately, but treat model-only cases as targets for review rather than as inputs to published statistics.</w:t>
      </w:r>
    </w:p>
    <w:p>
      <w:r>
        <w:t>The UIE assignment ladder is conservative. Manual source-backed overrides sit at the top because they represent analyst review of public evidence. GLEIF ultimate-parent relationships follow, then GLEIF direct-parent relationships. A direct parent is not always the ultimate parent, but it is still stronger evidence than a name or address heuristic. Name matches and address clusters are treated as intermediate evidence: useful for discovery, but requiring validation. The jurisdiction model sits below these because it assigns a likely economy without identifying a legal parent entity.</w:t>
      </w:r>
    </w:p>
    <w:p>
      <w:r>
        <w:t>This design is intended to support BPM-style statistical governance. Every UIE assignment has a source field, an evidence tier, and a confidence or priority indicator. The system can therefore produce both a broad analytical map and a narrow high-confidence subset. The broad map is useful for understanding structural exposure; the narrow subset is more suitable for formal reconciliation with confidential source data.</w:t>
      </w:r>
    </w:p>
    <w:p>
      <w:pPr>
        <w:pStyle w:val="Heading1"/>
      </w:pPr>
      <w:r>
        <w:t>4. Methodology</w:t>
      </w:r>
    </w:p>
    <w:p>
      <w:r>
        <w:t>The pipeline begins by constructing a domestic LEI universe for each host economy. Each record is normalised into a common schema: LEI, legal name, legal jurisdiction, headquarters jurisdiction, legal form, registration status, city, and category fields. This standardisation is important because country-level LEI data are not homogeneous. Some economies have large numbers of financial vehicles and funds, while others have small operating-company populations. Without a common schema, comparisons across ASEAN hosts would mix data availability with true structural differences.</w:t>
      </w:r>
    </w:p>
    <w:p>
      <w:r>
        <w:t>The second stage scans parent relationships. For each domestic LEI, the pipeline requests direct-parent and ultimate-parent relationships from GLEIF. Where relationships exist, source and target LEIs are stored in a directed graph. Parent records are then fetched as related LEIs so that parent countries can be assigned. The graph representation is useful because it preserves ownership chains and supports later centrality, component, and propagation measures.</w:t>
      </w:r>
    </w:p>
    <w:p>
      <w:r>
        <w:t>The third stage uses reporting exceptions. Reporting exceptions are not UIE assignments, but they are powerful diagnostic signals. A NON_CONSOLIDATING exception indicates that an entity is a subsidiary that does not consolidate; this confirms that an ownership relationship exists even when the parent country is not disclosed. Other exception categories, such as NO_LEI, NON_PUBLIC, NATURAL_PERSONS, or NO_KNOWN_PERSON, provide insight into the nature of the information gap. In a compiler workflow, these cases should be triaged differently from ordinary missing data.</w:t>
      </w:r>
    </w:p>
    <w:p>
      <w:r>
        <w:t>The fourth stage adds name-pattern evidence. Parent-brand tokens are extracted from known parent names after removing legal suffixes and generic terms. These tokens are matched to domestic entity names using fuzzy matching and whole-word boundary checks. This is useful for multinational subsidiary networks where the parent brand remains visible in the local legal name. The method is intentionally conservative because false positives in brand matching can be costly: a common word or ambiguous acronym can easily resemble a parent token without implying ownership.</w:t>
      </w:r>
    </w:p>
    <w:p>
      <w:r>
        <w:t>The fifth stage uses address clustering. Entities are grouped by normalised registered address and postal code. Within a cluster, known parent signals can be propagated to entities that share the same address. This is especially relevant for special purpose entities, fund vehicles, and corporate-secretary environments. The method also penalises large clusters and known office-hotel patterns, because a shared address may signal administrative service provision rather than common control.</w:t>
      </w:r>
    </w:p>
    <w:p>
      <w:r>
        <w:t>The final stage trains a jurisdiction model to provide fallback country assignments. Features include legal-form and name patterns, geography, graph features, reporting-exception flags, and other structural indicators. The model is used as a triage device. Its output is never allowed to overwrite stronger evidence, and its probabilities are treated as uncalibrated ranking signals rather than statistical confidence intervals.</w:t>
      </w:r>
    </w:p>
    <w:tbl>
      <w:tblPr>
        <w:tblStyle w:val="TableGrid"/>
        <w:tblW w:w="0" w:type="auto"/>
      </w:tblPr>
      <w:tr>
        <w:tc>
          <w:tcPr>
            <w:tcW w:w="2400" w:type="dxa"/>
          </w:tcPr>
          <w:p>
            <w:r>
              <w:t>Host</w:t>
            </w:r>
          </w:p>
        </w:tc>
        <w:tc>
          <w:tcPr>
            <w:tcW w:w="2400" w:type="dxa"/>
          </w:tcPr>
          <w:p>
            <w:r>
              <w:t>UIE rows</w:t>
            </w:r>
          </w:p>
        </w:tc>
        <w:tc>
          <w:tcPr>
            <w:tcW w:w="2400" w:type="dxa"/>
          </w:tcPr>
          <w:p>
            <w:r>
              <w:t>Known UIE</w:t>
            </w:r>
          </w:p>
        </w:tc>
        <w:tc>
          <w:tcPr>
            <w:tcW w:w="2400" w:type="dxa"/>
          </w:tcPr>
          <w:p>
            <w:r>
              <w:t>Model fallback</w:t>
            </w:r>
          </w:p>
        </w:tc>
        <w:tc>
          <w:tcPr>
            <w:tcW w:w="2400" w:type="dxa"/>
          </w:tcPr>
          <w:p>
            <w:r>
              <w:t>Address cluster</w:t>
            </w:r>
          </w:p>
        </w:tc>
        <w:tc>
          <w:tcPr>
            <w:tcW w:w="2400" w:type="dxa"/>
          </w:tcPr>
          <w:p>
            <w:r>
              <w:t>Name match</w:t>
            </w:r>
          </w:p>
        </w:tc>
      </w:tr>
      <w:tr>
        <w:tc>
          <w:tcPr>
            <w:tcW w:w="2400" w:type="dxa"/>
          </w:tcPr>
          <w:p>
            <w:r>
              <w:t>MY</w:t>
            </w:r>
          </w:p>
        </w:tc>
        <w:tc>
          <w:tcPr>
            <w:tcW w:w="2400" w:type="dxa"/>
          </w:tcPr>
          <w:p>
            <w:r>
              <w:t>2,195</w:t>
            </w:r>
          </w:p>
        </w:tc>
        <w:tc>
          <w:tcPr>
            <w:tcW w:w="2400" w:type="dxa"/>
          </w:tcPr>
          <w:p>
            <w:r>
              <w:t>181 (8.2%)</w:t>
            </w:r>
          </w:p>
        </w:tc>
        <w:tc>
          <w:tcPr>
            <w:tcW w:w="2400" w:type="dxa"/>
          </w:tcPr>
          <w:p>
            <w:r>
              <w:t>1,792 (81.6%)</w:t>
            </w:r>
          </w:p>
        </w:tc>
        <w:tc>
          <w:tcPr>
            <w:tcW w:w="2400" w:type="dxa"/>
          </w:tcPr>
          <w:p>
            <w:r>
              <w:t>195</w:t>
            </w:r>
          </w:p>
        </w:tc>
        <w:tc>
          <w:tcPr>
            <w:tcW w:w="2400" w:type="dxa"/>
          </w:tcPr>
          <w:p>
            <w:r>
              <w:t>27</w:t>
            </w:r>
          </w:p>
        </w:tc>
      </w:tr>
      <w:tr>
        <w:tc>
          <w:tcPr>
            <w:tcW w:w="2400" w:type="dxa"/>
          </w:tcPr>
          <w:p>
            <w:r>
              <w:t>SG</w:t>
            </w:r>
          </w:p>
        </w:tc>
        <w:tc>
          <w:tcPr>
            <w:tcW w:w="2400" w:type="dxa"/>
          </w:tcPr>
          <w:p>
            <w:r>
              <w:t>12,351</w:t>
            </w:r>
          </w:p>
        </w:tc>
        <w:tc>
          <w:tcPr>
            <w:tcW w:w="2400" w:type="dxa"/>
          </w:tcPr>
          <w:p>
            <w:r>
              <w:t>1,600 (13.0%)</w:t>
            </w:r>
          </w:p>
        </w:tc>
        <w:tc>
          <w:tcPr>
            <w:tcW w:w="2400" w:type="dxa"/>
          </w:tcPr>
          <w:p>
            <w:r>
              <w:t>5,681 (46.0%)</w:t>
            </w:r>
          </w:p>
        </w:tc>
        <w:tc>
          <w:tcPr>
            <w:tcW w:w="2400" w:type="dxa"/>
          </w:tcPr>
          <w:p>
            <w:r>
              <w:t>4,844</w:t>
            </w:r>
          </w:p>
        </w:tc>
        <w:tc>
          <w:tcPr>
            <w:tcW w:w="2400" w:type="dxa"/>
          </w:tcPr>
          <w:p>
            <w:r>
              <w:t>226</w:t>
            </w:r>
          </w:p>
        </w:tc>
      </w:tr>
      <w:tr>
        <w:tc>
          <w:tcPr>
            <w:tcW w:w="2400" w:type="dxa"/>
          </w:tcPr>
          <w:p>
            <w:r>
              <w:t>TH</w:t>
            </w:r>
          </w:p>
        </w:tc>
        <w:tc>
          <w:tcPr>
            <w:tcW w:w="2400" w:type="dxa"/>
          </w:tcPr>
          <w:p>
            <w:r>
              <w:t>2,343</w:t>
            </w:r>
          </w:p>
        </w:tc>
        <w:tc>
          <w:tcPr>
            <w:tcW w:w="2400" w:type="dxa"/>
          </w:tcPr>
          <w:p>
            <w:r>
              <w:t>309 (13.2%)</w:t>
            </w:r>
          </w:p>
        </w:tc>
        <w:tc>
          <w:tcPr>
            <w:tcW w:w="2400" w:type="dxa"/>
          </w:tcPr>
          <w:p>
            <w:r>
              <w:t>1,980 (84.5%)</w:t>
            </w:r>
          </w:p>
        </w:tc>
        <w:tc>
          <w:tcPr>
            <w:tcW w:w="2400" w:type="dxa"/>
          </w:tcPr>
          <w:p>
            <w:r>
              <w:t>44</w:t>
            </w:r>
          </w:p>
        </w:tc>
        <w:tc>
          <w:tcPr>
            <w:tcW w:w="2400" w:type="dxa"/>
          </w:tcPr>
          <w:p>
            <w:r>
              <w:t>10</w:t>
            </w:r>
          </w:p>
        </w:tc>
      </w:tr>
      <w:tr>
        <w:tc>
          <w:tcPr>
            <w:tcW w:w="2400" w:type="dxa"/>
          </w:tcPr>
          <w:p>
            <w:r>
              <w:t>ID</w:t>
            </w:r>
          </w:p>
        </w:tc>
        <w:tc>
          <w:tcPr>
            <w:tcW w:w="2400" w:type="dxa"/>
          </w:tcPr>
          <w:p>
            <w:r>
              <w:t>1,459</w:t>
            </w:r>
          </w:p>
        </w:tc>
        <w:tc>
          <w:tcPr>
            <w:tcW w:w="2400" w:type="dxa"/>
          </w:tcPr>
          <w:p>
            <w:r>
              <w:t>69 (4.7%)</w:t>
            </w:r>
          </w:p>
        </w:tc>
        <w:tc>
          <w:tcPr>
            <w:tcW w:w="2400" w:type="dxa"/>
          </w:tcPr>
          <w:p>
            <w:r>
              <w:t>1,361 (93.3%)</w:t>
            </w:r>
          </w:p>
        </w:tc>
        <w:tc>
          <w:tcPr>
            <w:tcW w:w="2400" w:type="dxa"/>
          </w:tcPr>
          <w:p>
            <w:r>
              <w:t>15</w:t>
            </w:r>
          </w:p>
        </w:tc>
        <w:tc>
          <w:tcPr>
            <w:tcW w:w="2400" w:type="dxa"/>
          </w:tcPr>
          <w:p>
            <w:r>
              <w:t>14</w:t>
            </w:r>
          </w:p>
        </w:tc>
      </w:tr>
      <w:tr>
        <w:tc>
          <w:tcPr>
            <w:tcW w:w="2400" w:type="dxa"/>
          </w:tcPr>
          <w:p>
            <w:r>
              <w:t>PH</w:t>
            </w:r>
          </w:p>
        </w:tc>
        <w:tc>
          <w:tcPr>
            <w:tcW w:w="2400" w:type="dxa"/>
          </w:tcPr>
          <w:p>
            <w:r>
              <w:t>735</w:t>
            </w:r>
          </w:p>
        </w:tc>
        <w:tc>
          <w:tcPr>
            <w:tcW w:w="2400" w:type="dxa"/>
          </w:tcPr>
          <w:p>
            <w:r>
              <w:t>107 (14.6%)</w:t>
            </w:r>
          </w:p>
        </w:tc>
        <w:tc>
          <w:tcPr>
            <w:tcW w:w="2400" w:type="dxa"/>
          </w:tcPr>
          <w:p>
            <w:r>
              <w:t>611 (83.1%)</w:t>
            </w:r>
          </w:p>
        </w:tc>
        <w:tc>
          <w:tcPr>
            <w:tcW w:w="2400" w:type="dxa"/>
          </w:tcPr>
          <w:p>
            <w:r>
              <w:t>2</w:t>
            </w:r>
          </w:p>
        </w:tc>
        <w:tc>
          <w:tcPr>
            <w:tcW w:w="2400" w:type="dxa"/>
          </w:tcPr>
          <w:p>
            <w:r>
              <w:t>15</w:t>
            </w:r>
          </w:p>
        </w:tc>
      </w:tr>
      <w:tr>
        <w:tc>
          <w:tcPr>
            <w:tcW w:w="2400" w:type="dxa"/>
          </w:tcPr>
          <w:p>
            <w:r>
              <w:t>VN</w:t>
            </w:r>
          </w:p>
        </w:tc>
        <w:tc>
          <w:tcPr>
            <w:tcW w:w="2400" w:type="dxa"/>
          </w:tcPr>
          <w:p>
            <w:r>
              <w:t>356</w:t>
            </w:r>
          </w:p>
        </w:tc>
        <w:tc>
          <w:tcPr>
            <w:tcW w:w="2400" w:type="dxa"/>
          </w:tcPr>
          <w:p>
            <w:r>
              <w:t>129 (36.2%)</w:t>
            </w:r>
          </w:p>
        </w:tc>
        <w:tc>
          <w:tcPr>
            <w:tcW w:w="2400" w:type="dxa"/>
          </w:tcPr>
          <w:p>
            <w:r>
              <w:t>223 (62.6%)</w:t>
            </w:r>
          </w:p>
        </w:tc>
        <w:tc>
          <w:tcPr>
            <w:tcW w:w="2400" w:type="dxa"/>
          </w:tcPr>
          <w:p>
            <w:r>
              <w:t>0</w:t>
            </w:r>
          </w:p>
        </w:tc>
        <w:tc>
          <w:tcPr>
            <w:tcW w:w="2400" w:type="dxa"/>
          </w:tcPr>
          <w:p>
            <w:r>
              <w:t>4</w:t>
            </w:r>
          </w:p>
        </w:tc>
      </w:tr>
      <w:tr>
        <w:tc>
          <w:tcPr>
            <w:tcW w:w="2400" w:type="dxa"/>
          </w:tcPr>
          <w:p>
            <w:r>
              <w:t>KH</w:t>
            </w:r>
          </w:p>
        </w:tc>
        <w:tc>
          <w:tcPr>
            <w:tcW w:w="2400" w:type="dxa"/>
          </w:tcPr>
          <w:p>
            <w:r>
              <w:t>37</w:t>
            </w:r>
          </w:p>
        </w:tc>
        <w:tc>
          <w:tcPr>
            <w:tcW w:w="2400" w:type="dxa"/>
          </w:tcPr>
          <w:p>
            <w:r>
              <w:t>10 (27.0%)</w:t>
            </w:r>
          </w:p>
        </w:tc>
        <w:tc>
          <w:tcPr>
            <w:tcW w:w="2400" w:type="dxa"/>
          </w:tcPr>
          <w:p>
            <w:r>
              <w:t>27 (73.0%)</w:t>
            </w:r>
          </w:p>
        </w:tc>
        <w:tc>
          <w:tcPr>
            <w:tcW w:w="2400" w:type="dxa"/>
          </w:tcPr>
          <w:p>
            <w:r>
              <w:t>0</w:t>
            </w:r>
          </w:p>
        </w:tc>
        <w:tc>
          <w:tcPr>
            <w:tcW w:w="2400" w:type="dxa"/>
          </w:tcPr>
          <w:p>
            <w:r>
              <w:t>0</w:t>
            </w:r>
          </w:p>
        </w:tc>
      </w:tr>
      <w:tr>
        <w:tc>
          <w:tcPr>
            <w:tcW w:w="2400" w:type="dxa"/>
          </w:tcPr>
          <w:p>
            <w:r>
              <w:t>BN</w:t>
            </w:r>
          </w:p>
        </w:tc>
        <w:tc>
          <w:tcPr>
            <w:tcW w:w="2400" w:type="dxa"/>
          </w:tcPr>
          <w:p>
            <w:r>
              <w:t>42</w:t>
            </w:r>
          </w:p>
        </w:tc>
        <w:tc>
          <w:tcPr>
            <w:tcW w:w="2400" w:type="dxa"/>
          </w:tcPr>
          <w:p>
            <w:r>
              <w:t>7 (16.7%)</w:t>
            </w:r>
          </w:p>
        </w:tc>
        <w:tc>
          <w:tcPr>
            <w:tcW w:w="2400" w:type="dxa"/>
          </w:tcPr>
          <w:p>
            <w:r>
              <w:t>32 (76.2%)</w:t>
            </w:r>
          </w:p>
        </w:tc>
        <w:tc>
          <w:tcPr>
            <w:tcW w:w="2400" w:type="dxa"/>
          </w:tcPr>
          <w:p>
            <w:r>
              <w:t>0</w:t>
            </w:r>
          </w:p>
        </w:tc>
        <w:tc>
          <w:tcPr>
            <w:tcW w:w="2400" w:type="dxa"/>
          </w:tcPr>
          <w:p>
            <w:r>
              <w:t>3</w:t>
            </w:r>
          </w:p>
        </w:tc>
      </w:tr>
      <w:tr>
        <w:tc>
          <w:tcPr>
            <w:tcW w:w="2400" w:type="dxa"/>
          </w:tcPr>
          <w:p>
            <w:r>
              <w:t>LA</w:t>
            </w:r>
          </w:p>
        </w:tc>
        <w:tc>
          <w:tcPr>
            <w:tcW w:w="2400" w:type="dxa"/>
          </w:tcPr>
          <w:p>
            <w:r>
              <w:t>21</w:t>
            </w:r>
          </w:p>
        </w:tc>
        <w:tc>
          <w:tcPr>
            <w:tcW w:w="2400" w:type="dxa"/>
          </w:tcPr>
          <w:p>
            <w:r>
              <w:t>1 (4.8%)</w:t>
            </w:r>
          </w:p>
        </w:tc>
        <w:tc>
          <w:tcPr>
            <w:tcW w:w="2400" w:type="dxa"/>
          </w:tcPr>
          <w:p>
            <w:r>
              <w:t>20 (95.2%)</w:t>
            </w:r>
          </w:p>
        </w:tc>
        <w:tc>
          <w:tcPr>
            <w:tcW w:w="2400" w:type="dxa"/>
          </w:tcPr>
          <w:p>
            <w:r>
              <w:t>0</w:t>
            </w:r>
          </w:p>
        </w:tc>
        <w:tc>
          <w:tcPr>
            <w:tcW w:w="2400" w:type="dxa"/>
          </w:tcPr>
          <w:p>
            <w:r>
              <w:t>0</w:t>
            </w:r>
          </w:p>
        </w:tc>
      </w:tr>
      <w:tr>
        <w:tc>
          <w:tcPr>
            <w:tcW w:w="2400" w:type="dxa"/>
          </w:tcPr>
          <w:p>
            <w:r>
              <w:t>MM</w:t>
            </w:r>
          </w:p>
        </w:tc>
        <w:tc>
          <w:tcPr>
            <w:tcW w:w="2400" w:type="dxa"/>
          </w:tcPr>
          <w:p>
            <w:r>
              <w:t>6</w:t>
            </w:r>
          </w:p>
        </w:tc>
        <w:tc>
          <w:tcPr>
            <w:tcW w:w="2400" w:type="dxa"/>
          </w:tcPr>
          <w:p>
            <w:r>
              <w:t>1 (16.7%)</w:t>
            </w:r>
          </w:p>
        </w:tc>
        <w:tc>
          <w:tcPr>
            <w:tcW w:w="2400" w:type="dxa"/>
          </w:tcPr>
          <w:p>
            <w:r>
              <w:t>5 (83.3%)</w:t>
            </w:r>
          </w:p>
        </w:tc>
        <w:tc>
          <w:tcPr>
            <w:tcW w:w="2400" w:type="dxa"/>
          </w:tcPr>
          <w:p>
            <w:r>
              <w:t>0</w:t>
            </w:r>
          </w:p>
        </w:tc>
        <w:tc>
          <w:tcPr>
            <w:tcW w:w="2400" w:type="dxa"/>
          </w:tcPr>
          <w:p>
            <w:r>
              <w:t>0</w:t>
            </w:r>
          </w:p>
        </w:tc>
      </w:tr>
      <w:tr>
        <w:tc>
          <w:tcPr>
            <w:tcW w:w="2400" w:type="dxa"/>
          </w:tcPr>
          <w:p>
            <w:r>
              <w:t>TL</w:t>
            </w:r>
          </w:p>
        </w:tc>
        <w:tc>
          <w:tcPr>
            <w:tcW w:w="2400" w:type="dxa"/>
          </w:tcPr>
          <w:p>
            <w:r>
              <w:t>7</w:t>
            </w:r>
          </w:p>
        </w:tc>
        <w:tc>
          <w:tcPr>
            <w:tcW w:w="2400" w:type="dxa"/>
          </w:tcPr>
          <w:p>
            <w:r>
              <w:t>0 (0.0%)</w:t>
            </w:r>
          </w:p>
        </w:tc>
        <w:tc>
          <w:tcPr>
            <w:tcW w:w="2400" w:type="dxa"/>
          </w:tcPr>
          <w:p>
            <w:r>
              <w:t>0 (0.0%)</w:t>
            </w:r>
          </w:p>
        </w:tc>
        <w:tc>
          <w:tcPr>
            <w:tcW w:w="2400" w:type="dxa"/>
          </w:tcPr>
          <w:p>
            <w:r>
              <w:t>0</w:t>
            </w:r>
          </w:p>
        </w:tc>
        <w:tc>
          <w:tcPr>
            <w:tcW w:w="2400" w:type="dxa"/>
          </w:tcPr>
          <w:p>
            <w:r>
              <w:t>0</w:t>
            </w:r>
          </w:p>
        </w:tc>
      </w:tr>
    </w:tbl>
    <w:p>
      <w:pPr>
        <w:pStyle w:val="Heading1"/>
      </w:pPr>
      <w:r>
        <w:t>5. Ratio Measures and Macro Validation</w:t>
      </w:r>
    </w:p>
    <w:p>
      <w:r>
        <w:t>The principal ratio used in this draft is inward LEI density, defined as the count of foreign-owned or foreign-UIE LEIs in the host economy divided by inward FDI stock measured in USD billions. The ratio is designed to answer a structural question: how many LEI-bearing entities are observed per unit of inward investment? A high ratio may indicate a dispersed population of smaller subsidiaries. A low ratio may indicate large positions concentrated in a few investment vehicles, holding companies, or capital-intensive operating groups.</w:t>
      </w:r>
    </w:p>
    <w:p>
      <w:r>
        <w:t>For Malaysia, the current processed result is 2,046 foreign-UIE LEIs over USD 280.9 billion of inward FDI stock. This gives an inward LEI density of 7.28 LEIs per USD 1 billion. The measure should not be interpreted as coverage completeness by itself, because LEI adoption differs across sectors and countries. It is best used comparatively, together with the evidence-tier distribution and the review queue.</w:t>
      </w:r>
    </w:p>
    <w:tbl>
      <w:tblPr>
        <w:tblStyle w:val="TableGrid"/>
        <w:tblW w:w="0" w:type="auto"/>
      </w:tblPr>
      <w:tr>
        <w:tc>
          <w:tcPr>
            <w:tcW w:w="2400" w:type="dxa"/>
          </w:tcPr>
          <w:p>
            <w:r>
              <w:t>Host</w:t>
            </w:r>
          </w:p>
        </w:tc>
        <w:tc>
          <w:tcPr>
            <w:tcW w:w="2400" w:type="dxa"/>
          </w:tcPr>
          <w:p>
            <w:r>
              <w:t>Foreign UIE LEIs</w:t>
            </w:r>
          </w:p>
        </w:tc>
        <w:tc>
          <w:tcPr>
            <w:tcW w:w="2400" w:type="dxa"/>
          </w:tcPr>
          <w:p>
            <w:r>
              <w:t>Inward FDI USD bn</w:t>
            </w:r>
          </w:p>
        </w:tc>
        <w:tc>
          <w:tcPr>
            <w:tcW w:w="2400" w:type="dxa"/>
          </w:tcPr>
          <w:p>
            <w:r>
              <w:t>Inward LEI density</w:t>
            </w:r>
          </w:p>
        </w:tc>
      </w:tr>
      <w:tr>
        <w:tc>
          <w:tcPr>
            <w:tcW w:w="2400" w:type="dxa"/>
          </w:tcPr>
          <w:p>
            <w:r>
              <w:t>SG</w:t>
            </w:r>
          </w:p>
        </w:tc>
        <w:tc>
          <w:tcPr>
            <w:tcW w:w="2400" w:type="dxa"/>
          </w:tcPr>
          <w:p>
            <w:r>
              <w:t>10,117</w:t>
            </w:r>
          </w:p>
        </w:tc>
        <w:tc>
          <w:tcPr>
            <w:tcW w:w="2400" w:type="dxa"/>
          </w:tcPr>
          <w:p>
            <w:r>
              <w:t>3,241.9</w:t>
            </w:r>
          </w:p>
        </w:tc>
        <w:tc>
          <w:tcPr>
            <w:tcW w:w="2400" w:type="dxa"/>
          </w:tcPr>
          <w:p>
            <w:r>
              <w:t>3.12</w:t>
            </w:r>
          </w:p>
        </w:tc>
      </w:tr>
      <w:tr>
        <w:tc>
          <w:tcPr>
            <w:tcW w:w="2400" w:type="dxa"/>
          </w:tcPr>
          <w:p>
            <w:r>
              <w:t>TH</w:t>
            </w:r>
          </w:p>
        </w:tc>
        <w:tc>
          <w:tcPr>
            <w:tcW w:w="2400" w:type="dxa"/>
          </w:tcPr>
          <w:p>
            <w:r>
              <w:t>2,279</w:t>
            </w:r>
          </w:p>
        </w:tc>
        <w:tc>
          <w:tcPr>
            <w:tcW w:w="2400" w:type="dxa"/>
          </w:tcPr>
          <w:p>
            <w:r>
              <w:t>409.8</w:t>
            </w:r>
          </w:p>
        </w:tc>
        <w:tc>
          <w:tcPr>
            <w:tcW w:w="2400" w:type="dxa"/>
          </w:tcPr>
          <w:p>
            <w:r>
              <w:t>5.56</w:t>
            </w:r>
          </w:p>
        </w:tc>
      </w:tr>
      <w:tr>
        <w:tc>
          <w:tcPr>
            <w:tcW w:w="2400" w:type="dxa"/>
          </w:tcPr>
          <w:p>
            <w:r>
              <w:t>MY</w:t>
            </w:r>
          </w:p>
        </w:tc>
        <w:tc>
          <w:tcPr>
            <w:tcW w:w="2400" w:type="dxa"/>
          </w:tcPr>
          <w:p>
            <w:r>
              <w:t>2,046</w:t>
            </w:r>
          </w:p>
        </w:tc>
        <w:tc>
          <w:tcPr>
            <w:tcW w:w="2400" w:type="dxa"/>
          </w:tcPr>
          <w:p>
            <w:r>
              <w:t>280.9</w:t>
            </w:r>
          </w:p>
        </w:tc>
        <w:tc>
          <w:tcPr>
            <w:tcW w:w="2400" w:type="dxa"/>
          </w:tcPr>
          <w:p>
            <w:r>
              <w:t>7.28</w:t>
            </w:r>
          </w:p>
        </w:tc>
      </w:tr>
      <w:tr>
        <w:tc>
          <w:tcPr>
            <w:tcW w:w="2400" w:type="dxa"/>
          </w:tcPr>
          <w:p>
            <w:r>
              <w:t>ID</w:t>
            </w:r>
          </w:p>
        </w:tc>
        <w:tc>
          <w:tcPr>
            <w:tcW w:w="2400" w:type="dxa"/>
          </w:tcPr>
          <w:p>
            <w:r>
              <w:t>1,440</w:t>
            </w:r>
          </w:p>
        </w:tc>
        <w:tc>
          <w:tcPr>
            <w:tcW w:w="2400" w:type="dxa"/>
          </w:tcPr>
          <w:p>
            <w:r>
              <w:t>399.9</w:t>
            </w:r>
          </w:p>
        </w:tc>
        <w:tc>
          <w:tcPr>
            <w:tcW w:w="2400" w:type="dxa"/>
          </w:tcPr>
          <w:p>
            <w:r>
              <w:t>3.60</w:t>
            </w:r>
          </w:p>
        </w:tc>
      </w:tr>
      <w:tr>
        <w:tc>
          <w:tcPr>
            <w:tcW w:w="2400" w:type="dxa"/>
          </w:tcPr>
          <w:p>
            <w:r>
              <w:t>PH</w:t>
            </w:r>
          </w:p>
        </w:tc>
        <w:tc>
          <w:tcPr>
            <w:tcW w:w="2400" w:type="dxa"/>
          </w:tcPr>
          <w:p>
            <w:r>
              <w:t>710</w:t>
            </w:r>
          </w:p>
        </w:tc>
        <w:tc>
          <w:tcPr>
            <w:tcW w:w="2400" w:type="dxa"/>
          </w:tcPr>
          <w:p>
            <w:r>
              <w:t>80.2</w:t>
            </w:r>
          </w:p>
        </w:tc>
        <w:tc>
          <w:tcPr>
            <w:tcW w:w="2400" w:type="dxa"/>
          </w:tcPr>
          <w:p>
            <w:r>
              <w:t>8.86</w:t>
            </w:r>
          </w:p>
        </w:tc>
      </w:tr>
      <w:tr>
        <w:tc>
          <w:tcPr>
            <w:tcW w:w="2400" w:type="dxa"/>
          </w:tcPr>
          <w:p>
            <w:r>
              <w:t>VN</w:t>
            </w:r>
          </w:p>
        </w:tc>
        <w:tc>
          <w:tcPr>
            <w:tcW w:w="2400" w:type="dxa"/>
          </w:tcPr>
          <w:p>
            <w:r>
              <w:t>344</w:t>
            </w:r>
          </w:p>
        </w:tc>
        <w:tc>
          <w:tcPr>
            <w:tcW w:w="2400" w:type="dxa"/>
          </w:tcPr>
          <w:p>
            <w:r>
              <w:t>122.1</w:t>
            </w:r>
          </w:p>
        </w:tc>
        <w:tc>
          <w:tcPr>
            <w:tcW w:w="2400" w:type="dxa"/>
          </w:tcPr>
          <w:p>
            <w:r>
              <w:t>2.82</w:t>
            </w:r>
          </w:p>
        </w:tc>
      </w:tr>
      <w:tr>
        <w:tc>
          <w:tcPr>
            <w:tcW w:w="2400" w:type="dxa"/>
          </w:tcPr>
          <w:p>
            <w:r>
              <w:t>BN</w:t>
            </w:r>
          </w:p>
        </w:tc>
        <w:tc>
          <w:tcPr>
            <w:tcW w:w="2400" w:type="dxa"/>
          </w:tcPr>
          <w:p>
            <w:r>
              <w:t>42</w:t>
            </w:r>
          </w:p>
        </w:tc>
        <w:tc>
          <w:tcPr>
            <w:tcW w:w="2400" w:type="dxa"/>
          </w:tcPr>
          <w:p>
            <w:r>
              <w:t>7.7</w:t>
            </w:r>
          </w:p>
        </w:tc>
        <w:tc>
          <w:tcPr>
            <w:tcW w:w="2400" w:type="dxa"/>
          </w:tcPr>
          <w:p>
            <w:r>
              <w:t>5.42</w:t>
            </w:r>
          </w:p>
        </w:tc>
      </w:tr>
      <w:tr>
        <w:tc>
          <w:tcPr>
            <w:tcW w:w="2400" w:type="dxa"/>
          </w:tcPr>
          <w:p>
            <w:r>
              <w:t>KH</w:t>
            </w:r>
          </w:p>
        </w:tc>
        <w:tc>
          <w:tcPr>
            <w:tcW w:w="2400" w:type="dxa"/>
          </w:tcPr>
          <w:p>
            <w:r>
              <w:t>36</w:t>
            </w:r>
          </w:p>
        </w:tc>
        <w:tc>
          <w:tcPr>
            <w:tcW w:w="2400" w:type="dxa"/>
          </w:tcPr>
          <w:p>
            <w:r>
              <w:t>64.1</w:t>
            </w:r>
          </w:p>
        </w:tc>
        <w:tc>
          <w:tcPr>
            <w:tcW w:w="2400" w:type="dxa"/>
          </w:tcPr>
          <w:p>
            <w:r>
              <w:t>0.56</w:t>
            </w:r>
          </w:p>
        </w:tc>
      </w:tr>
      <w:tr>
        <w:tc>
          <w:tcPr>
            <w:tcW w:w="2400" w:type="dxa"/>
          </w:tcPr>
          <w:p>
            <w:r>
              <w:t>LA</w:t>
            </w:r>
          </w:p>
        </w:tc>
        <w:tc>
          <w:tcPr>
            <w:tcW w:w="2400" w:type="dxa"/>
          </w:tcPr>
          <w:p>
            <w:r>
              <w:t>21</w:t>
            </w:r>
          </w:p>
        </w:tc>
        <w:tc>
          <w:tcPr>
            <w:tcW w:w="2400" w:type="dxa"/>
          </w:tcPr>
          <w:p>
            <w:r>
              <w:t>16.3</w:t>
            </w:r>
          </w:p>
        </w:tc>
        <w:tc>
          <w:tcPr>
            <w:tcW w:w="2400" w:type="dxa"/>
          </w:tcPr>
          <w:p>
            <w:r>
              <w:t>1.29</w:t>
            </w:r>
          </w:p>
        </w:tc>
      </w:tr>
      <w:tr>
        <w:tc>
          <w:tcPr>
            <w:tcW w:w="2400" w:type="dxa"/>
          </w:tcPr>
          <w:p>
            <w:r>
              <w:t>MM</w:t>
            </w:r>
          </w:p>
        </w:tc>
        <w:tc>
          <w:tcPr>
            <w:tcW w:w="2400" w:type="dxa"/>
          </w:tcPr>
          <w:p>
            <w:r>
              <w:t>6</w:t>
            </w:r>
          </w:p>
        </w:tc>
        <w:tc>
          <w:tcPr>
            <w:tcW w:w="2400" w:type="dxa"/>
          </w:tcPr>
          <w:p>
            <w:r>
              <w:t>11.3</w:t>
            </w:r>
          </w:p>
        </w:tc>
        <w:tc>
          <w:tcPr>
            <w:tcW w:w="2400" w:type="dxa"/>
          </w:tcPr>
          <w:p>
            <w:r>
              <w:t>0.53</w:t>
            </w:r>
          </w:p>
        </w:tc>
      </w:tr>
      <w:tr>
        <w:tc>
          <w:tcPr>
            <w:tcW w:w="2400" w:type="dxa"/>
          </w:tcPr>
          <w:p>
            <w:r>
              <w:t>TL</w:t>
            </w:r>
          </w:p>
        </w:tc>
        <w:tc>
          <w:tcPr>
            <w:tcW w:w="2400" w:type="dxa"/>
          </w:tcPr>
          <w:p>
            <w:r>
              <w:t>0</w:t>
            </w:r>
          </w:p>
        </w:tc>
        <w:tc>
          <w:tcPr>
            <w:tcW w:w="2400" w:type="dxa"/>
          </w:tcPr>
          <w:p>
            <w:r>
              <w:t>3.2</w:t>
            </w:r>
          </w:p>
        </w:tc>
        <w:tc>
          <w:tcPr>
            <w:tcW w:w="2400" w:type="dxa"/>
          </w:tcPr>
          <w:p>
            <w:r>
              <w:t>0.00</w:t>
            </w:r>
          </w:p>
        </w:tc>
      </w:tr>
    </w:tbl>
    <w:p>
      <w:r>
        <w:t>The outward analogue is outward LEI density, defined as the count of source-economy-owned LEIs observed abroad divided by the source economy's outward FDI stock to the same destination, measured in USD billions. In this draft the outward measure is intentionally scoped to matched intra-ASEAN bilateral pairs. This avoids combining an ASEAN-only LEI numerator with a global outward-FDI denominator. The measure should therefore be read as an ASEAN-observed outward density, not as total global outward coverage.</w:t>
      </w:r>
    </w:p>
    <w:p>
      <w:r>
        <w:t>For Malaysia, the current matched outward pairs cover MY-owned LEIs observed in Singapore, Thailand, Vietnam and the Philippines. These figures are useful for comparing bilateral structures within ASEAN, but they do not include MY-owned LEIs outside ASEAN. A global outward density would require a global crawl of MY-owned LEIs abroad or another comprehensive cross-border ownership register.</w:t>
      </w:r>
    </w:p>
    <w:tbl>
      <w:tblPr>
        <w:tblStyle w:val="TableGrid"/>
        <w:tblW w:w="0" w:type="auto"/>
      </w:tblPr>
      <w:tr>
        <w:tc>
          <w:tcPr>
            <w:tcW w:w="2400" w:type="dxa"/>
          </w:tcPr>
          <w:p>
            <w:r>
              <w:t>Source</w:t>
            </w:r>
          </w:p>
        </w:tc>
        <w:tc>
          <w:tcPr>
            <w:tcW w:w="2400" w:type="dxa"/>
          </w:tcPr>
          <w:p>
            <w:r>
              <w:t>Destination</w:t>
            </w:r>
          </w:p>
        </w:tc>
        <w:tc>
          <w:tcPr>
            <w:tcW w:w="2400" w:type="dxa"/>
          </w:tcPr>
          <w:p>
            <w:r>
              <w:t>MY-owned LEIs</w:t>
            </w:r>
          </w:p>
        </w:tc>
        <w:tc>
          <w:tcPr>
            <w:tcW w:w="2400" w:type="dxa"/>
          </w:tcPr>
          <w:p>
            <w:r>
              <w:t>Outward FDI USD bn</w:t>
            </w:r>
          </w:p>
        </w:tc>
        <w:tc>
          <w:tcPr>
            <w:tcW w:w="2400" w:type="dxa"/>
          </w:tcPr>
          <w:p>
            <w:r>
              <w:t>Outward LEI density</w:t>
            </w:r>
          </w:p>
        </w:tc>
      </w:tr>
      <w:tr>
        <w:tc>
          <w:tcPr>
            <w:tcW w:w="2400" w:type="dxa"/>
          </w:tcPr>
          <w:p>
            <w:r>
              <w:t>MY</w:t>
            </w:r>
          </w:p>
        </w:tc>
        <w:tc>
          <w:tcPr>
            <w:tcW w:w="2400" w:type="dxa"/>
          </w:tcPr>
          <w:p>
            <w:r>
              <w:t>SG</w:t>
            </w:r>
          </w:p>
        </w:tc>
        <w:tc>
          <w:tcPr>
            <w:tcW w:w="2400" w:type="dxa"/>
          </w:tcPr>
          <w:p>
            <w:r>
              <w:t>15</w:t>
            </w:r>
          </w:p>
        </w:tc>
        <w:tc>
          <w:tcPr>
            <w:tcW w:w="2400" w:type="dxa"/>
          </w:tcPr>
          <w:p>
            <w:r>
              <w:t>98.0</w:t>
            </w:r>
          </w:p>
        </w:tc>
        <w:tc>
          <w:tcPr>
            <w:tcW w:w="2400" w:type="dxa"/>
          </w:tcPr>
          <w:p>
            <w:r>
              <w:t>0.15</w:t>
            </w:r>
          </w:p>
        </w:tc>
      </w:tr>
      <w:tr>
        <w:tc>
          <w:tcPr>
            <w:tcW w:w="2400" w:type="dxa"/>
          </w:tcPr>
          <w:p>
            <w:r>
              <w:t>MY</w:t>
            </w:r>
          </w:p>
        </w:tc>
        <w:tc>
          <w:tcPr>
            <w:tcW w:w="2400" w:type="dxa"/>
          </w:tcPr>
          <w:p>
            <w:r>
              <w:t>TH</w:t>
            </w:r>
          </w:p>
        </w:tc>
        <w:tc>
          <w:tcPr>
            <w:tcW w:w="2400" w:type="dxa"/>
          </w:tcPr>
          <w:p>
            <w:r>
              <w:t>4</w:t>
            </w:r>
          </w:p>
        </w:tc>
        <w:tc>
          <w:tcPr>
            <w:tcW w:w="2400" w:type="dxa"/>
          </w:tcPr>
          <w:p>
            <w:r>
              <w:t>7.6</w:t>
            </w:r>
          </w:p>
        </w:tc>
        <w:tc>
          <w:tcPr>
            <w:tcW w:w="2400" w:type="dxa"/>
          </w:tcPr>
          <w:p>
            <w:r>
              <w:t>0.53</w:t>
            </w:r>
          </w:p>
        </w:tc>
      </w:tr>
      <w:tr>
        <w:tc>
          <w:tcPr>
            <w:tcW w:w="2400" w:type="dxa"/>
          </w:tcPr>
          <w:p>
            <w:r>
              <w:t>MY</w:t>
            </w:r>
          </w:p>
        </w:tc>
        <w:tc>
          <w:tcPr>
            <w:tcW w:w="2400" w:type="dxa"/>
          </w:tcPr>
          <w:p>
            <w:r>
              <w:t>VN</w:t>
            </w:r>
          </w:p>
        </w:tc>
        <w:tc>
          <w:tcPr>
            <w:tcW w:w="2400" w:type="dxa"/>
          </w:tcPr>
          <w:p>
            <w:r>
              <w:t>2</w:t>
            </w:r>
          </w:p>
        </w:tc>
        <w:tc>
          <w:tcPr>
            <w:tcW w:w="2400" w:type="dxa"/>
          </w:tcPr>
          <w:p>
            <w:r>
              <w:t>3.9</w:t>
            </w:r>
          </w:p>
        </w:tc>
        <w:tc>
          <w:tcPr>
            <w:tcW w:w="2400" w:type="dxa"/>
          </w:tcPr>
          <w:p>
            <w:r>
              <w:t>0.51</w:t>
            </w:r>
          </w:p>
        </w:tc>
      </w:tr>
      <w:tr>
        <w:tc>
          <w:tcPr>
            <w:tcW w:w="2400" w:type="dxa"/>
          </w:tcPr>
          <w:p>
            <w:r>
              <w:t>MY</w:t>
            </w:r>
          </w:p>
        </w:tc>
        <w:tc>
          <w:tcPr>
            <w:tcW w:w="2400" w:type="dxa"/>
          </w:tcPr>
          <w:p>
            <w:r>
              <w:t>PH</w:t>
            </w:r>
          </w:p>
        </w:tc>
        <w:tc>
          <w:tcPr>
            <w:tcW w:w="2400" w:type="dxa"/>
          </w:tcPr>
          <w:p>
            <w:r>
              <w:t>1</w:t>
            </w:r>
          </w:p>
        </w:tc>
        <w:tc>
          <w:tcPr>
            <w:tcW w:w="2400" w:type="dxa"/>
          </w:tcPr>
          <w:p>
            <w:r>
              <w:t>1.7</w:t>
            </w:r>
          </w:p>
        </w:tc>
        <w:tc>
          <w:tcPr>
            <w:tcW w:w="2400" w:type="dxa"/>
          </w:tcPr>
          <w:p>
            <w:r>
              <w:t>0.58</w:t>
            </w:r>
          </w:p>
        </w:tc>
      </w:tr>
    </w:tbl>
    <w:tbl>
      <w:tblPr>
        <w:tblStyle w:val="TableGrid"/>
        <w:tblW w:w="0" w:type="auto"/>
      </w:tblPr>
      <w:tr>
        <w:tc>
          <w:tcPr>
            <w:tcW w:w="2400" w:type="dxa"/>
          </w:tcPr>
          <w:p>
            <w:r>
              <w:t>Source</w:t>
            </w:r>
          </w:p>
        </w:tc>
        <w:tc>
          <w:tcPr>
            <w:tcW w:w="2400" w:type="dxa"/>
          </w:tcPr>
          <w:p>
            <w:r>
              <w:t>ASEAN destinations</w:t>
            </w:r>
          </w:p>
        </w:tc>
        <w:tc>
          <w:tcPr>
            <w:tcW w:w="2400" w:type="dxa"/>
          </w:tcPr>
          <w:p>
            <w:r>
              <w:t>Source-owned LEIs</w:t>
            </w:r>
          </w:p>
        </w:tc>
        <w:tc>
          <w:tcPr>
            <w:tcW w:w="2400" w:type="dxa"/>
          </w:tcPr>
          <w:p>
            <w:r>
              <w:t>Outward FDI USD bn</w:t>
            </w:r>
          </w:p>
        </w:tc>
        <w:tc>
          <w:tcPr>
            <w:tcW w:w="2400" w:type="dxa"/>
          </w:tcPr>
          <w:p>
            <w:r>
              <w:t>ASEAN outward density</w:t>
            </w:r>
          </w:p>
        </w:tc>
      </w:tr>
      <w:tr>
        <w:tc>
          <w:tcPr>
            <w:tcW w:w="2400" w:type="dxa"/>
          </w:tcPr>
          <w:p>
            <w:r>
              <w:t>SG</w:t>
            </w:r>
          </w:p>
        </w:tc>
        <w:tc>
          <w:tcPr>
            <w:tcW w:w="2400" w:type="dxa"/>
          </w:tcPr>
          <w:p>
            <w:r>
              <w:t>4</w:t>
            </w:r>
          </w:p>
        </w:tc>
        <w:tc>
          <w:tcPr>
            <w:tcW w:w="2400" w:type="dxa"/>
          </w:tcPr>
          <w:p>
            <w:r>
              <w:t>39</w:t>
            </w:r>
          </w:p>
        </w:tc>
        <w:tc>
          <w:tcPr>
            <w:tcW w:w="2400" w:type="dxa"/>
          </w:tcPr>
          <w:p>
            <w:r>
              <w:t>195.6</w:t>
            </w:r>
          </w:p>
        </w:tc>
        <w:tc>
          <w:tcPr>
            <w:tcW w:w="2400" w:type="dxa"/>
          </w:tcPr>
          <w:p>
            <w:r>
              <w:t>0.20</w:t>
            </w:r>
          </w:p>
        </w:tc>
      </w:tr>
      <w:tr>
        <w:tc>
          <w:tcPr>
            <w:tcW w:w="2400" w:type="dxa"/>
          </w:tcPr>
          <w:p>
            <w:r>
              <w:t>MY</w:t>
            </w:r>
          </w:p>
        </w:tc>
        <w:tc>
          <w:tcPr>
            <w:tcW w:w="2400" w:type="dxa"/>
          </w:tcPr>
          <w:p>
            <w:r>
              <w:t>4</w:t>
            </w:r>
          </w:p>
        </w:tc>
        <w:tc>
          <w:tcPr>
            <w:tcW w:w="2400" w:type="dxa"/>
          </w:tcPr>
          <w:p>
            <w:r>
              <w:t>22</w:t>
            </w:r>
          </w:p>
        </w:tc>
        <w:tc>
          <w:tcPr>
            <w:tcW w:w="2400" w:type="dxa"/>
          </w:tcPr>
          <w:p>
            <w:r>
              <w:t>111.3</w:t>
            </w:r>
          </w:p>
        </w:tc>
        <w:tc>
          <w:tcPr>
            <w:tcW w:w="2400" w:type="dxa"/>
          </w:tcPr>
          <w:p>
            <w:r>
              <w:t>0.20</w:t>
            </w:r>
          </w:p>
        </w:tc>
      </w:tr>
      <w:tr>
        <w:tc>
          <w:tcPr>
            <w:tcW w:w="2400" w:type="dxa"/>
          </w:tcPr>
          <w:p>
            <w:r>
              <w:t>ID</w:t>
            </w:r>
          </w:p>
        </w:tc>
        <w:tc>
          <w:tcPr>
            <w:tcW w:w="2400" w:type="dxa"/>
          </w:tcPr>
          <w:p>
            <w:r>
              <w:t>1</w:t>
            </w:r>
          </w:p>
        </w:tc>
        <w:tc>
          <w:tcPr>
            <w:tcW w:w="2400" w:type="dxa"/>
          </w:tcPr>
          <w:p>
            <w:r>
              <w:t>11</w:t>
            </w:r>
          </w:p>
        </w:tc>
        <w:tc>
          <w:tcPr>
            <w:tcW w:w="2400" w:type="dxa"/>
          </w:tcPr>
          <w:p>
            <w:r>
              <w:t>86.5</w:t>
            </w:r>
          </w:p>
        </w:tc>
        <w:tc>
          <w:tcPr>
            <w:tcW w:w="2400" w:type="dxa"/>
          </w:tcPr>
          <w:p>
            <w:r>
              <w:t>0.13</w:t>
            </w:r>
          </w:p>
        </w:tc>
      </w:tr>
      <w:tr>
        <w:tc>
          <w:tcPr>
            <w:tcW w:w="2400" w:type="dxa"/>
          </w:tcPr>
          <w:p>
            <w:r>
              <w:t>TH</w:t>
            </w:r>
          </w:p>
        </w:tc>
        <w:tc>
          <w:tcPr>
            <w:tcW w:w="2400" w:type="dxa"/>
          </w:tcPr>
          <w:p>
            <w:r>
              <w:t>4</w:t>
            </w:r>
          </w:p>
        </w:tc>
        <w:tc>
          <w:tcPr>
            <w:tcW w:w="2400" w:type="dxa"/>
          </w:tcPr>
          <w:p>
            <w:r>
              <w:t>26</w:t>
            </w:r>
          </w:p>
        </w:tc>
        <w:tc>
          <w:tcPr>
            <w:tcW w:w="2400" w:type="dxa"/>
          </w:tcPr>
          <w:p>
            <w:r>
              <w:t>76.0</w:t>
            </w:r>
          </w:p>
        </w:tc>
        <w:tc>
          <w:tcPr>
            <w:tcW w:w="2400" w:type="dxa"/>
          </w:tcPr>
          <w:p>
            <w:r>
              <w:t>0.34</w:t>
            </w:r>
          </w:p>
        </w:tc>
      </w:tr>
      <w:tr>
        <w:tc>
          <w:tcPr>
            <w:tcW w:w="2400" w:type="dxa"/>
          </w:tcPr>
          <w:p>
            <w:r>
              <w:t>PH</w:t>
            </w:r>
          </w:p>
        </w:tc>
        <w:tc>
          <w:tcPr>
            <w:tcW w:w="2400" w:type="dxa"/>
          </w:tcPr>
          <w:p>
            <w:r>
              <w:t>1</w:t>
            </w:r>
          </w:p>
        </w:tc>
        <w:tc>
          <w:tcPr>
            <w:tcW w:w="2400" w:type="dxa"/>
          </w:tcPr>
          <w:p>
            <w:r>
              <w:t>11</w:t>
            </w:r>
          </w:p>
        </w:tc>
        <w:tc>
          <w:tcPr>
            <w:tcW w:w="2400" w:type="dxa"/>
          </w:tcPr>
          <w:p>
            <w:r>
              <w:t>7.9</w:t>
            </w:r>
          </w:p>
        </w:tc>
        <w:tc>
          <w:tcPr>
            <w:tcW w:w="2400" w:type="dxa"/>
          </w:tcPr>
          <w:p>
            <w:r>
              <w:t>1.38</w:t>
            </w:r>
          </w:p>
        </w:tc>
      </w:tr>
      <w:tr>
        <w:tc>
          <w:tcPr>
            <w:tcW w:w="2400" w:type="dxa"/>
          </w:tcPr>
          <w:p>
            <w:r>
              <w:t>VN</w:t>
            </w:r>
          </w:p>
        </w:tc>
        <w:tc>
          <w:tcPr>
            <w:tcW w:w="2400" w:type="dxa"/>
          </w:tcPr>
          <w:p>
            <w:r>
              <w:t>1</w:t>
            </w:r>
          </w:p>
        </w:tc>
        <w:tc>
          <w:tcPr>
            <w:tcW w:w="2400" w:type="dxa"/>
          </w:tcPr>
          <w:p>
            <w:r>
              <w:t>3</w:t>
            </w:r>
          </w:p>
        </w:tc>
        <w:tc>
          <w:tcPr>
            <w:tcW w:w="2400" w:type="dxa"/>
          </w:tcPr>
          <w:p>
            <w:r>
              <w:t>2.7</w:t>
            </w:r>
          </w:p>
        </w:tc>
        <w:tc>
          <w:tcPr>
            <w:tcW w:w="2400" w:type="dxa"/>
          </w:tcPr>
          <w:p>
            <w:r>
              <w:t>1.10</w:t>
            </w:r>
          </w:p>
        </w:tc>
      </w:tr>
    </w:tbl>
    <w:p>
      <w:r>
        <w:t>A second validation exercise compares bilateral GLEIF entity counts with IMF direct-investment positions by counterpart economy. The Spearman rank correlation is used because the relationship between entity counts and value stocks is unlikely to be linear. A country with ten small subsidiaries and a country with one large holding company may have the same FDI value but very different entity counts. The question is whether countries with larger bilateral FDI positions tend, in rank terms, to have more observed LEI entities.</w:t>
      </w:r>
    </w:p>
    <w:tbl>
      <w:tblPr>
        <w:tblStyle w:val="TableGrid"/>
        <w:tblW w:w="0" w:type="auto"/>
      </w:tblPr>
      <w:tr>
        <w:tc>
          <w:tcPr>
            <w:tcW w:w="2400" w:type="dxa"/>
          </w:tcPr>
          <w:p>
            <w:r>
              <w:t>Host</w:t>
            </w:r>
          </w:p>
        </w:tc>
        <w:tc>
          <w:tcPr>
            <w:tcW w:w="2400" w:type="dxa"/>
          </w:tcPr>
          <w:p>
            <w:r>
              <w:t>Pairs</w:t>
            </w:r>
          </w:p>
        </w:tc>
        <w:tc>
          <w:tcPr>
            <w:tcW w:w="2400" w:type="dxa"/>
          </w:tcPr>
          <w:p>
            <w:r>
              <w:t>Spearman rho</w:t>
            </w:r>
          </w:p>
        </w:tc>
        <w:tc>
          <w:tcPr>
            <w:tcW w:w="2400" w:type="dxa"/>
          </w:tcPr>
          <w:p>
            <w:r>
              <w:t>p-value</w:t>
            </w:r>
          </w:p>
        </w:tc>
      </w:tr>
      <w:tr>
        <w:tc>
          <w:tcPr>
            <w:tcW w:w="2400" w:type="dxa"/>
          </w:tcPr>
          <w:p>
            <w:r>
              <w:t>ALL</w:t>
            </w:r>
          </w:p>
        </w:tc>
        <w:tc>
          <w:tcPr>
            <w:tcW w:w="2400" w:type="dxa"/>
          </w:tcPr>
          <w:p>
            <w:r>
              <w:t>149</w:t>
            </w:r>
          </w:p>
        </w:tc>
        <w:tc>
          <w:tcPr>
            <w:tcW w:w="2400" w:type="dxa"/>
          </w:tcPr>
          <w:p>
            <w:r>
              <w:t>0.633</w:t>
            </w:r>
          </w:p>
        </w:tc>
        <w:tc>
          <w:tcPr>
            <w:tcW w:w="2400" w:type="dxa"/>
          </w:tcPr>
          <w:p>
            <w:r>
              <w:t>0.0000</w:t>
            </w:r>
          </w:p>
        </w:tc>
      </w:tr>
      <w:tr>
        <w:tc>
          <w:tcPr>
            <w:tcW w:w="2400" w:type="dxa"/>
          </w:tcPr>
          <w:p>
            <w:r>
              <w:t>BN</w:t>
            </w:r>
          </w:p>
        </w:tc>
        <w:tc>
          <w:tcPr>
            <w:tcW w:w="2400" w:type="dxa"/>
          </w:tcPr>
          <w:p>
            <w:r>
              <w:t>4</w:t>
            </w:r>
          </w:p>
        </w:tc>
        <w:tc>
          <w:tcPr>
            <w:tcW w:w="2400" w:type="dxa"/>
          </w:tcPr>
          <w:p>
            <w:r>
              <w:t>0.775</w:t>
            </w:r>
          </w:p>
        </w:tc>
        <w:tc>
          <w:tcPr>
            <w:tcW w:w="2400" w:type="dxa"/>
          </w:tcPr>
          <w:p>
            <w:r>
              <w:t>0.2254</w:t>
            </w:r>
          </w:p>
        </w:tc>
      </w:tr>
      <w:tr>
        <w:tc>
          <w:tcPr>
            <w:tcW w:w="2400" w:type="dxa"/>
          </w:tcPr>
          <w:p>
            <w:r>
              <w:t>ID</w:t>
            </w:r>
          </w:p>
        </w:tc>
        <w:tc>
          <w:tcPr>
            <w:tcW w:w="2400" w:type="dxa"/>
          </w:tcPr>
          <w:p>
            <w:r>
              <w:t>16</w:t>
            </w:r>
          </w:p>
        </w:tc>
        <w:tc>
          <w:tcPr>
            <w:tcW w:w="2400" w:type="dxa"/>
          </w:tcPr>
          <w:p>
            <w:r>
              <w:t>0.316</w:t>
            </w:r>
          </w:p>
        </w:tc>
        <w:tc>
          <w:tcPr>
            <w:tcW w:w="2400" w:type="dxa"/>
          </w:tcPr>
          <w:p>
            <w:r>
              <w:t>0.2327</w:t>
            </w:r>
          </w:p>
        </w:tc>
      </w:tr>
      <w:tr>
        <w:tc>
          <w:tcPr>
            <w:tcW w:w="2400" w:type="dxa"/>
          </w:tcPr>
          <w:p>
            <w:r>
              <w:t>KH</w:t>
            </w:r>
          </w:p>
        </w:tc>
        <w:tc>
          <w:tcPr>
            <w:tcW w:w="2400" w:type="dxa"/>
          </w:tcPr>
          <w:p>
            <w:r>
              <w:t>6</w:t>
            </w:r>
          </w:p>
        </w:tc>
        <w:tc>
          <w:tcPr>
            <w:tcW w:w="2400" w:type="dxa"/>
          </w:tcPr>
          <w:p>
            <w:r>
              <w:t>0.098</w:t>
            </w:r>
          </w:p>
        </w:tc>
        <w:tc>
          <w:tcPr>
            <w:tcW w:w="2400" w:type="dxa"/>
          </w:tcPr>
          <w:p>
            <w:r>
              <w:t>0.8541</w:t>
            </w:r>
          </w:p>
        </w:tc>
      </w:tr>
      <w:tr>
        <w:tc>
          <w:tcPr>
            <w:tcW w:w="2400" w:type="dxa"/>
          </w:tcPr>
          <w:p>
            <w:r>
              <w:t>MY</w:t>
            </w:r>
          </w:p>
        </w:tc>
        <w:tc>
          <w:tcPr>
            <w:tcW w:w="2400" w:type="dxa"/>
          </w:tcPr>
          <w:p>
            <w:r>
              <w:t>17</w:t>
            </w:r>
          </w:p>
        </w:tc>
        <w:tc>
          <w:tcPr>
            <w:tcW w:w="2400" w:type="dxa"/>
          </w:tcPr>
          <w:p>
            <w:r>
              <w:t>0.433</w:t>
            </w:r>
          </w:p>
        </w:tc>
        <w:tc>
          <w:tcPr>
            <w:tcW w:w="2400" w:type="dxa"/>
          </w:tcPr>
          <w:p>
            <w:r>
              <w:t>0.0828</w:t>
            </w:r>
          </w:p>
        </w:tc>
      </w:tr>
      <w:tr>
        <w:tc>
          <w:tcPr>
            <w:tcW w:w="2400" w:type="dxa"/>
          </w:tcPr>
          <w:p>
            <w:r>
              <w:t>PH</w:t>
            </w:r>
          </w:p>
        </w:tc>
        <w:tc>
          <w:tcPr>
            <w:tcW w:w="2400" w:type="dxa"/>
          </w:tcPr>
          <w:p>
            <w:r>
              <w:t>22</w:t>
            </w:r>
          </w:p>
        </w:tc>
        <w:tc>
          <w:tcPr>
            <w:tcW w:w="2400" w:type="dxa"/>
          </w:tcPr>
          <w:p>
            <w:r>
              <w:t>0.483</w:t>
            </w:r>
          </w:p>
        </w:tc>
        <w:tc>
          <w:tcPr>
            <w:tcW w:w="2400" w:type="dxa"/>
          </w:tcPr>
          <w:p>
            <w:r>
              <w:t>0.0226</w:t>
            </w:r>
          </w:p>
        </w:tc>
      </w:tr>
      <w:tr>
        <w:tc>
          <w:tcPr>
            <w:tcW w:w="2400" w:type="dxa"/>
          </w:tcPr>
          <w:p>
            <w:r>
              <w:t>SG</w:t>
            </w:r>
          </w:p>
        </w:tc>
        <w:tc>
          <w:tcPr>
            <w:tcW w:w="2400" w:type="dxa"/>
          </w:tcPr>
          <w:p>
            <w:r>
              <w:t>38</w:t>
            </w:r>
          </w:p>
        </w:tc>
        <w:tc>
          <w:tcPr>
            <w:tcW w:w="2400" w:type="dxa"/>
          </w:tcPr>
          <w:p>
            <w:r>
              <w:t>0.840</w:t>
            </w:r>
          </w:p>
        </w:tc>
        <w:tc>
          <w:tcPr>
            <w:tcW w:w="2400" w:type="dxa"/>
          </w:tcPr>
          <w:p>
            <w:r>
              <w:t>0.0000</w:t>
            </w:r>
          </w:p>
        </w:tc>
      </w:tr>
      <w:tr>
        <w:tc>
          <w:tcPr>
            <w:tcW w:w="2400" w:type="dxa"/>
          </w:tcPr>
          <w:p>
            <w:r>
              <w:t>TH</w:t>
            </w:r>
          </w:p>
        </w:tc>
        <w:tc>
          <w:tcPr>
            <w:tcW w:w="2400" w:type="dxa"/>
          </w:tcPr>
          <w:p>
            <w:r>
              <w:t>29</w:t>
            </w:r>
          </w:p>
        </w:tc>
        <w:tc>
          <w:tcPr>
            <w:tcW w:w="2400" w:type="dxa"/>
          </w:tcPr>
          <w:p>
            <w:r>
              <w:t>0.338</w:t>
            </w:r>
          </w:p>
        </w:tc>
        <w:tc>
          <w:tcPr>
            <w:tcW w:w="2400" w:type="dxa"/>
          </w:tcPr>
          <w:p>
            <w:r>
              <w:t>0.0726</w:t>
            </w:r>
          </w:p>
        </w:tc>
      </w:tr>
      <w:tr>
        <w:tc>
          <w:tcPr>
            <w:tcW w:w="2400" w:type="dxa"/>
          </w:tcPr>
          <w:p>
            <w:r>
              <w:t>VN</w:t>
            </w:r>
          </w:p>
        </w:tc>
        <w:tc>
          <w:tcPr>
            <w:tcW w:w="2400" w:type="dxa"/>
          </w:tcPr>
          <w:p>
            <w:r>
              <w:t>16</w:t>
            </w:r>
          </w:p>
        </w:tc>
        <w:tc>
          <w:tcPr>
            <w:tcW w:w="2400" w:type="dxa"/>
          </w:tcPr>
          <w:p>
            <w:r>
              <w:t>0.422</w:t>
            </w:r>
          </w:p>
        </w:tc>
        <w:tc>
          <w:tcPr>
            <w:tcW w:w="2400" w:type="dxa"/>
          </w:tcPr>
          <w:p>
            <w:r>
              <w:t>0.1038</w:t>
            </w:r>
          </w:p>
        </w:tc>
      </w:tr>
    </w:tbl>
    <w:p>
      <w:pPr>
        <w:pStyle w:val="Heading1"/>
      </w:pPr>
      <w:r>
        <w:t>6. Current Empirical Findings</w:t>
      </w:r>
    </w:p>
    <w:p>
      <w:r>
        <w:t>Three findings stand out. First, the public LEI universe is highly uneven across ASEAN. Singapore is the dominant LEI host in the current workspace, reflecting its role as a regional financial and corporate hub. Malaysia and Thailand form the next tier, while several smaller ASEAN economies have sparse LEI populations. This unevenness is itself analytically important: LEI-based methods are most informative where LEI adoption is broad enough to reveal structure.</w:t>
      </w:r>
    </w:p>
    <w:p>
      <w:r>
        <w:t>Second, known parent coverage remains limited compared with the total LEI universe. This is the central empirical constraint of the project. GLEIF parent relationships are high-quality when present, but they do not cover the majority of entities. The value of the pipeline therefore comes from combining high-confidence parent records with exception analysis and carefully labelled inference. In the Malaysia output, only a minority of assignments are known UIE evidence, while the model fallback covers a large share of entities. That is useful for prioritisation, but not yet sufficient for final statistical allocation.</w:t>
      </w:r>
    </w:p>
    <w:p>
      <w:r>
        <w:t>Third, the review queue reveals where methodological improvement will pay off fastest. The Malaysia review queue contains 500 rows. Of these, 363 are classified as needing a fund or product vehicle rule, 133 are ordinary review cases, and 3 need nominee or custodian treatment. This means that the next improvement is not simply more manual review. It is a better classification rule for financial products and legal vehicles that should not be interpreted in the same way as operating-company subsidiaries.</w:t>
      </w:r>
    </w:p>
    <w:p>
      <w:r>
        <w:t>The GLEIF search benchmark reinforces this point. The benchmark generated 61 candidate rows for top Malaysia review targets. In 48 cases, GLEIF search primarily rediscovered the same domestic entity. In 13 cases, it produced a candidate whose country differed from the current UIE assignment. This suggests that GLEIF's own search is useful as an entity-resolution tool, but weak as standalone evidence of ultimate ownership. It should be used to generate candidate legal entities for review, not to replace the evidence ladder.</w:t>
      </w:r>
    </w:p>
    <w:p>
      <w:pPr>
        <w:pStyle w:val="Heading1"/>
      </w:pPr>
      <w:r>
        <w:t>7. Interpretation for Compilers</w:t>
      </w:r>
    </w:p>
    <w:p>
      <w:r>
        <w:t>The results support a practical division of labour between machine learning and statistical compilation. Machine learning is most useful upstream, where it can organise public evidence, rank gaps, and suggest candidate ownership links. The statistical compiler remains responsible for deciding whether an inferred signal is admissible for official use, how it interacts with confidential source data, and whether the resulting classification is consistent with BPM7 principles.</w:t>
      </w:r>
    </w:p>
    <w:p>
      <w:r>
        <w:t>In this framing, the pipeline offers three operational benefits. It can improve coverage by identifying entities with known parent evidence or strong exception signals. It can improve efficiency by ranking entities for follow-up instead of treating all missing parent data equally. It can improve coherence by comparing micro-level entity structures with macro FDI positions. None of these benefits require the model to be treated as an oracle. They require the model to be auditable, stable, and clearly separated from higher-confidence evidence.</w:t>
      </w:r>
    </w:p>
    <w:p>
      <w:r>
        <w:t>For Malaysia, the current findings suggest that a meaningful share of the ownership map can be organised from public data, but that the marginal work now lies in reducing false precision. Fund vehicles, nominee structures, asset managers, and domestically controlled strategic entities require different treatment from ordinary subsidiaries. A UIE system that fails to distinguish these cases may produce a complete-looking table that is analytically misleading.</w:t>
      </w:r>
    </w:p>
    <w:p>
      <w:pPr>
        <w:pStyle w:val="Heading1"/>
      </w:pPr>
      <w:r>
        <w:t>8. Governance, Auditability and Use of Complementary Data</w:t>
      </w:r>
    </w:p>
    <w:p>
      <w:r>
        <w:t>A BIS-style application of this work should emphasise governance. Each assignment should retain provenance: source URL or API endpoint, evidence tier, timestamp, and review status. Manual overrides should be rare, source-backed, and separated from model outputs. Model-only assignments should be flagged as triage results. This design allows the same dataset to support multiple uses: broad analytical mapping, targeted survey follow-up, and high-confidence statistical reconciliation.</w:t>
      </w:r>
    </w:p>
    <w:p>
      <w:r>
        <w:t>Complementary datasets should be added selectively. Global Energy Monitor is a useful example. It can provide source-backed ownership and asset information for power plants, coal assets, LNG infrastructure, and other energy-sector entities. It should not be treated as a general company matcher. Instead, it should enter as a sector-specific evidence layer for energy and heavy-industry cases where public asset ownership may reveal group control more clearly than LEI parent records.</w:t>
      </w:r>
    </w:p>
    <w:p>
      <w:pPr>
        <w:pStyle w:val="Heading1"/>
      </w:pPr>
      <w:r>
        <w:t>9. Limitations</w:t>
      </w:r>
    </w:p>
    <w:p>
      <w:r>
        <w:t>- The current results are preliminary because the refreshed ASEAN GLEIF crawl is still running in the background.</w:t>
      </w:r>
    </w:p>
    <w:p>
      <w:r>
        <w:t>- LEI adoption is uneven across sectors and economies; absence from LEI data is not absence from the economy.</w:t>
      </w:r>
    </w:p>
    <w:p>
      <w:r>
        <w:t>- GLEIF parent relationships are voluntary or rule-dependent in ways that create non-random missingness.</w:t>
      </w:r>
    </w:p>
    <w:p>
      <w:r>
        <w:t>- Address clustering can confuse common service-provider addresses with common ownership unless penalised and reviewed.</w:t>
      </w:r>
    </w:p>
    <w:p>
      <w:r>
        <w:t>- Jurisdiction-model probabilities are uncalibrated and should be used for ranking, not for direct publication.</w:t>
      </w:r>
    </w:p>
    <w:p>
      <w:r>
        <w:t>- CDIS validation is macro-plausibility validation; it does not provide legal-entity ground truth.</w:t>
      </w:r>
    </w:p>
    <w:p>
      <w:r>
        <w:t>- The current pipeline does not yet implement a full BPM7 enforcement layer for valuation, ownership thresholds, and stock-flow reconciliation.</w:t>
      </w:r>
    </w:p>
    <w:p>
      <w:pPr>
        <w:pStyle w:val="Heading1"/>
      </w:pPr>
      <w:r>
        <w:t>10. Work Programme Before Final Release</w:t>
      </w:r>
    </w:p>
    <w:p>
      <w:r>
        <w:t>- Complete refreshed GLEIF entity, relationship and reporting-exception pulls for Malaysia and the rest of ASEAN.</w:t>
      </w:r>
    </w:p>
    <w:p>
      <w:r>
        <w:t>- Rebuild graph metrics, UIE assignments, inward and outward density ratios, and CDIS validation tables from the refreshed snapshot.</w:t>
      </w:r>
    </w:p>
    <w:p>
      <w:r>
        <w:t>- Implement a fund/product vehicle rule to separate investment products from operating-company ownership cases.</w:t>
      </w:r>
    </w:p>
    <w:p>
      <w:r>
        <w:t>- Add Global Energy Monitor as a sector-specific, source-backed evidence layer for energy and heavy industry.</w:t>
      </w:r>
    </w:p>
    <w:p>
      <w:r>
        <w:t>- Expand manual overrides only for high-impact cases with clear public evidence and review notes.</w:t>
      </w:r>
    </w:p>
    <w:p>
      <w:r>
        <w:t>- Produce a high-confidence subset separate from the full analytical/discovery dataset.</w:t>
      </w:r>
    </w:p>
    <w:p>
      <w:pPr>
        <w:pStyle w:val="Heading1"/>
      </w:pPr>
      <w:r>
        <w:t>Conclusion</w:t>
      </w:r>
    </w:p>
    <w:p>
      <w:r>
        <w:t>The main conclusion is that public LEI data can materially improve the organisation of UIE discovery, but only if the outputs are treated as evidence-ranked signals rather than final classifications. The method is most valuable as an intermediate layer between raw public data and official compilation. It provides a transparent way to identify known ownership links, diagnose missingness, prioritise review, and compare micro-level structure with macro-level FDI stocks. For Malaysia and ASEAN, the early results are strong enough to justify continued development, while also making clear that the next gains will come from better vehicle classification, refreshed crawls, complementary source layers, and disciplined governance of manual overrides.</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36"/>
    </w:rPr>
  </w:style>
  <w:style w:type="paragraph" w:styleId="Heading1">
    <w:name w:val="heading 1"/>
    <w:pPr>
      <w:spacing w:before="240" w:after="120"/>
    </w:pPr>
    <w:rPr>
      <w:b/>
      <w:sz w:val="28"/>
    </w:rPr>
  </w:style>
</w:styles>
</file>