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合作伙伴（厂商）月度评估体系及评分分工</w:t>
      </w:r>
    </w:p>
    <w:p>
      <w:pPr>
        <w:spacing w:before="0" w:after="160" w:line="220" w:lineRule="auto"/>
        <w:jc w:val="center"/>
      </w:pPr>
      <w:r>
        <w:rPr>
          <w:rFonts w:ascii="微软雅黑" w:hAnsi="微软雅黑" w:eastAsia="微软雅黑" w:cs="微软雅黑"/>
          <w:b w:val="0"/>
          <w:color w:val="555E6B"/>
          <w:sz w:val="20"/>
        </w:rPr>
        <w:t>MyLink APP 版本开发、测试与交付    ·    2026年10月修订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7F0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21"/>
              </w:rPr>
              <w:t>这次修订只改四件事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1. 没出事记 90 分、合格，不再默认 100 分优秀。额外贡献最多加 10 分，加满并且没有扣分才是 100 分。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2. 重大故障、严重问题和数据安全事件设等级上限。大面积崩溃当月最高 79 分，不能再靠「只扣 5 分」留在优秀。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3. 同一件事只在一个主维度扣一次。响应超时、未交事故报告按本标准另扣。月度分数不进结算单。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4. 打分必须对齐扣分档。空白维度不能当成 10 分。争议流程写进正文。</w:t>
            </w:r>
          </w:p>
        </w:tc>
      </w:tr>
    </w:tbl>
    <w:p>
      <w:pPr>
        <w:spacing w:after="80"/>
      </w:pP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一、评估目的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按月记录厂商的交付质量和协作情况，区分常规表现、需要整改的问题和值得优先合作的表现。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每个维度都有明确的评分主体，扣分能对上事实和证据。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评估结果用于分级、整改、合作资源分配和后续招标参考。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本评估是香港公司内部的月度表现评价，不作为结算扣款依据。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二、评估范围与周期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评估范围：参与 MyLink APP 版本开发、测试、交付的全部合作厂商。</w:t>
      </w:r>
    </w:p>
    <w:p>
      <w:pPr>
        <w:spacing w:before="0" w:after="8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统计区间：上月 1 日至上月最后一日。发生在该区间内的事件，记入该月。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443"/>
        <w:gridCol w:w="1814"/>
      </w:tblGrid>
      <w:tr>
        <w:trPr>
          <w:cantSplit/>
          <w:tblHeader w:val="true"/>
        </w:trPr>
        <w:tc>
          <w:tcPr>
            <w:tcW w:type="dxa" w:w="260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5443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谁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事件发生后 2 个工作日内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留下证据。邮件、TRY 记录、工单、版本计划、验收记录、告警或事故报告均可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该维度评分主体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每月 25 日、28 日、30 日</w:t>
            </w:r>
          </w:p>
        </w:tc>
        <w:tc>
          <w:tcPr>
            <w:tcW w:type="dxa" w:w="5443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TRY 群提醒补充本月已经发生的问题和证据。这是提醒，不是打分截止</w:t>
            </w:r>
          </w:p>
        </w:tc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次月 1 日至 4 日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按维度打分并填写扣分原因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各评分主体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次月 4 日前</w:t>
            </w:r>
          </w:p>
        </w:tc>
        <w:tc>
          <w:tcPr>
            <w:tcW w:type="dxa" w:w="5443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汇总表现分和等级，邮件并在 TRY 群同步厂商</w:t>
            </w:r>
          </w:p>
        </w:tc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</w:t>
            </w:r>
          </w:p>
        </w:tc>
      </w:tr>
    </w:tbl>
    <w:p>
      <w:pPr>
        <w:spacing w:before="0" w:after="40" w:line="200" w:lineRule="auto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同一个版本的问题如果次月仍未按整改期限完成，次月按「同一类问题书面提醒后仍不改进」另扣，不把已经扣过的原始事件再扣一次。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三、与结算扣分的边界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月度表现分用于第五节的分级和合作管理，不写入结算单，不换算成当月扣款。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结算扣款以采购合同及其附件约定的验收扣分条款为准。条款由采购与厂商约定，写明触发条件、证据、扣款方式和确认流程。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月度评估里发现的问题，只有同时构成合同约定的不合格事项，项目主任才把证据交给采购，由采购另开结算扣分单。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同一事实涉及款项的，只在结算侧处理一次。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建议采购评估是否写入合同的事项：未按约定里程碑交付，验收、UAT 或 PAT 未通过，私自变更生产环境，生产故障，核心功能不可用或大面积故障，数据安全或隐私事件。具体金额和比例由采购确定。未写入合同之前，这些事项只进入月度表现，不执行扣款。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四、分数怎么算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十个一级维度，每个维度满分 10 分。维度得分 = 10 − 本维度扣分，最低 0 分。十个维度全部评完后：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7F0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21"/>
              </w:rPr>
              <w:t>月度表现分 = 90 − 扣分合计 + 额外贡献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扣分合计 = 100 − 十个维度得分之和。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额外贡献单独计算，最多 10 分。同一事项不重复加分。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表现分低于 0 按 0 计，高于 100 按 100 计。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没有扣分、也没有额外贡献：90 分，合格。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没有扣分、额外贡献加满 10 分：100 分。</w:t>
            </w:r>
          </w:p>
          <w:p>
            <w:pPr>
              <w:spacing w:before="40" w:after="0" w:line="216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等级按封顶之后的表现分确定。加分不能把封顶抬回去。</w:t>
            </w:r>
          </w:p>
        </w:tc>
      </w:tr>
    </w:tbl>
    <w:p>
      <w:pPr>
        <w:spacing w:after="80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TRY 打分表仍按维度填写 0 到 10 分。没有问题的维度填 10 分。有问题的维度填写扣完以后的剩余分数，并写明次数、事实和证据位置。分数必须等于 10 减去按规定档位算出的扣分，不另选 7 分、9 分这类档位之外的分数。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不负责的维度留空，不代打。空白维度不能按 10 分计算。十个维度都有责任人确认的分数之后，项目主任再出表现分和等级。当前表单如果必须一次填完，由项目主任指定一人录入，每项扣分原因里注明分数来自哪位责任人。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五、等级、封顶和结果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74"/>
        <w:gridCol w:w="6577"/>
      </w:tblGrid>
      <w:tr>
        <w:trPr>
          <w:cantSplit/>
          <w:tblHeader w:val="true"/>
        </w:trPr>
        <w:tc>
          <w:tcPr>
            <w:tcW w:type="dxa" w:w="181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表现分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5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当月怎么用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95–100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优秀</w:t>
            </w:r>
          </w:p>
        </w:tc>
        <w:tc>
          <w:tcPr>
            <w:tcW w:type="dxa" w:w="657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优先合作，优先安排核心项目资源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80–94</w:t>
            </w:r>
          </w:p>
        </w:tc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合格</w:t>
            </w:r>
          </w:p>
        </w:tc>
        <w:tc>
          <w:tcPr>
            <w:tcW w:type="dxa" w:w="657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正常合作，跟踪已经提出的问题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70–79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待改进</w:t>
            </w:r>
          </w:p>
        </w:tc>
        <w:tc>
          <w:tcPr>
            <w:tcW w:type="dxa" w:w="657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项目经理组织专项沟通。厂商给出改进目标和期限，次月复核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69 及以下</w:t>
            </w:r>
          </w:p>
        </w:tc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不合格</w:t>
            </w:r>
          </w:p>
        </w:tc>
        <w:tc>
          <w:tcPr>
            <w:tcW w:type="dxa" w:w="657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暂停新需求对接。厂商 2 天内提交《整改方案》</w:t>
            </w:r>
          </w:p>
        </w:tc>
      </w:tr>
    </w:tbl>
    <w:p>
      <w:pPr>
        <w:spacing w:before="0" w:after="40" w:line="200" w:lineRule="auto"/>
      </w:pPr>
    </w:p>
    <w:p>
      <w:pPr>
        <w:spacing w:before="8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连续 2 个月不合格的，项目主任把两个月的证据反馈采购，由采购按合同评估是否重新选择厂商或终止合作。</w:t>
      </w:r>
    </w:p>
    <w:p>
      <w:pPr>
        <w:spacing w:before="4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封顶在算出表现分之后执行，取更严的一档。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814"/>
        <w:gridCol w:w="3288"/>
      </w:tblGrid>
      <w:tr>
        <w:trPr>
          <w:cantSplit/>
          <w:tblHeader w:val="true"/>
        </w:trPr>
        <w:tc>
          <w:tcPr>
            <w:tcW w:type="dxa" w:w="4762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当月事实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表现分上限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等级结果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94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可以是合格，不能是优秀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重大事件 1 次</w:t>
            </w:r>
          </w:p>
        </w:tc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79</w:t>
            </w:r>
          </w:p>
        </w:tc>
        <w:tc>
          <w:tcPr>
            <w:tcW w:type="dxa" w:w="328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待改进。已经低于 70 的，保持不合格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重大事件 2 次及以上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69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不合格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数据安全、用户隐私或违反章程，且责任在厂商</w:t>
            </w:r>
          </w:p>
        </w:tc>
        <w:tc>
          <w:tcPr>
            <w:tcW w:type="dxa" w:w="181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69</w:t>
            </w:r>
          </w:p>
        </w:tc>
        <w:tc>
          <w:tcPr>
            <w:tcW w:type="dxa" w:w="328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不合格，当月把证据反馈采购</w:t>
            </w:r>
          </w:p>
        </w:tc>
      </w:tr>
    </w:tbl>
    <w:p>
      <w:pPr>
        <w:spacing w:before="0" w:after="40" w:line="200" w:lineRule="auto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严重事件指：私自部署生产，生产环境局部功能故障，核心功能不可用或支付等核心链路失败，因质量问题导致 PAT 无法按计划完成。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重大事件指：生产环境全部功能不可用，批量用户受影响的故障，APP 大面积崩溃。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整改沟通在结果同步后即可开始。暂停新需求、反馈采购这两项，在争议申请期结束后执行。数据安全、用户隐私和违反章程的事件除外，证据同步采购和必要的临时保护可以当天进行。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六、扣分原则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没有证据不扣分。证据可以是邮件、TRY 记录、工单、双方确认的版本计划、验收记录、监控告警、事故报告或值班表。口头说明不能作为唯一证据。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同一事件只在最匹配的一个主维度扣一次，按最高适用档位。一个维度扣到 0 分为止。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可以另扣的只有两类独立事实：响应超时；应出事故报告而未在 3 个工作日内提交。已经以「超过 12 小时未解决」作为起扣条件的轻微问题，不再另扣时效。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一般问题的响应时限是 24 小时，走「投诉处理时效」。严重和重大问题的响应时限是 2 小时，走「紧急问题处理」。两类时效就同一事件只扣一次。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同一用户问题引起多次客诉的，按一次事件、最高严重程度扣分。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生产故障、核心功能故障和重大客诉，厂商在 3 个工作日内提交事故报告，并邮件项目主任。未提交的，在「团队人员」维度扣 2 分。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PO 与研发共同负责的维度，两边分别给出意见。项目主任按证据和本标准档位确定一次扣分，不取平均，也不把两边的扣分相加。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事件属于严重、重大还是数据安全，按本标准对应条款确定。评分人不用另行升档或降档。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七、维度、档位和分工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下表的扣分都发生在对应维度内部。除第六节写明可以另扣的事项外，不跨维度重复扣。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247"/>
        <w:gridCol w:w="3118"/>
        <w:gridCol w:w="1020"/>
        <w:gridCol w:w="2608"/>
      </w:tblGrid>
      <w:tr>
        <w:trPr>
          <w:cantSplit/>
          <w:tblHeader w:val="true"/>
        </w:trPr>
        <w:tc>
          <w:tcPr>
            <w:tcW w:type="dxa" w:w="1871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评分主体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扣分</w:t>
            </w:r>
          </w:p>
        </w:tc>
        <w:tc>
          <w:tcPr>
            <w:tcW w:type="dxa" w:w="260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归类和边界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功能需求与交付质量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未按书面确认的版本计划交付文档、原型或功能，或遗漏已确认功能点，并导致该版本延期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同一个版本计划内的延期按一次计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功能需求与交付质量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交付验收时主流程走不通，或不符合已确认的验收标准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若同一原因还导致 UAT 或 PAT 不能按计划完成，只扣较高的一档；分值相同只扣一次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功能需求与交付质量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因质量问题导致 UAT 无法按计划完成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与验收不通过是同一原因时，不并扣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功能需求与交付质量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因质量问题导致 PAT 无法按计划完成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 计划变更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版本计划确认后，未经香港公司相关负责人同意，变更功能方案、流程或文案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香港公司提出的变更不扣分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 生产环境部署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未与香港公司沟通，私自部署生产环境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 生产环境部署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服务故障，影响局部功能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严重事件。与私自部署同属本维度时可以同时扣，扣到 0 分为止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 生产环境部署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服务故障，影响全部功能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−5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重大事件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离职未提前 1 个月通知，或未完成香港公司认可的工作交接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一般事件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在岗且胜任的人数低于承诺配置的 80%：缺口一个月内未补齐，或补岗满 2 个月仍不胜任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人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每个评估月按缺失人数计一次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同一事项已有催促记录，仍需多次催促才反馈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−1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与「配合问题造成进度延误」就同一事项只取更高的一档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同一类问题书面提醒后仍不改进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用于次月仍未完成的整改，不重复扣原始事件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配合问题已经造成进度延误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需要有进度受影响的记录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团队人员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应提交的事故报告，3 个工作日内没有提交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与故障本身分属不同事实，可以另扣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轻微：文案或非核心样式错误，不影响功能，12 小时内解决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不扣分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轻微：同上，超过 12 小时未解决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−1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不再另扣时效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一般：非核心功能影响使用，无客诉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超过 12 小时未解决的，可另扣维度 6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一般：非核心功能影响使用，有客诉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同一问题多次客诉只扣一次。超时可另扣维度 6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严重：核心功能不可用，无客诉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严重事件。超过 2 小时未响应的，可另扣维度 7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严重：核心功能不可用或支付等核心链路失败，有客诉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−4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严重事件。超过 2 小时未响应的，可另扣维度 7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 版本线上问题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重大：批量用户受影响，或 APP 大面积崩溃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−5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重大事件。服务不可用已计入维度 3 的，不在本维再扣。响应超时可另扣维度 7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 投诉处理时效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一般问题或用户投诉，通知后 24 小时内没有实质回复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只敷衍、未推进，视同未回复。不用于严重、重大和已经按 12 小时起扣的轻微项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 紧急问题处理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严重或重大问题，通知后 2 小时内没有响应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−4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与维度 6 就同一事件只扣一处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 节假日响应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重大节假日开始前 2 个工作日未提交值班名单和排期，或节假日未按承诺响应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值班表有时限的按值班表；没有约定的，紧急问题 2 小时，一般问题 24 小时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 项目投诉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数据安全、用户隐私或违反香港公司章程，责任在厂商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−5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表现分最高 69，当月反馈采购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 项目投诉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  <w:tc>
          <w:tcPr>
            <w:tcW w:type="dxa" w:w="311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业务部门投诉，责任在厂商</w:t>
            </w:r>
          </w:p>
        </w:tc>
        <w:tc>
          <w:tcPr>
            <w:tcW w:type="dxa" w:w="102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−5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已经在维度 3 或维度 5 扣过的同一故障，不在这里再扣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10 工作投诉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与第三方联调、上线发布中出现问题并引起投诉，责任在厂商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−3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项目主任先确认责任。同一发布事故已在维度 3 或 5 扣过的，不在这里再扣</w:t>
            </w:r>
          </w:p>
        </w:tc>
      </w:tr>
    </w:tbl>
    <w:p>
      <w:pPr>
        <w:spacing w:before="0" w:after="40" w:line="200" w:lineRule="auto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发布导致的服务中断记入维度 3。版本功能缺陷记入维度 5。同一次发布只有一个根因时，只在更匹配的那个维度按最高档扣一次。用户客诉记入维度 5，业务部门投诉记入维度 9。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额外贡献最多加 10 分，需要香港公司书面认可。先加进表现分，再执行封顶。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1474"/>
        <w:gridCol w:w="2608"/>
      </w:tblGrid>
      <w:tr>
        <w:trPr>
          <w:cantSplit/>
          <w:tblHeader w:val="true"/>
        </w:trPr>
        <w:tc>
          <w:tcPr>
            <w:tcW w:type="dxa" w:w="5783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额外贡献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加分</w:t>
            </w:r>
          </w:p>
        </w:tc>
        <w:tc>
          <w:tcPr>
            <w:tcW w:type="dxa" w:w="260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确认人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主动提出并落地、对项目有帮助的改进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咨询或培训对项目实施有实际帮助</w:t>
            </w:r>
          </w:p>
        </w:tc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+2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协助香港公司与第三方推进功能，并达成已确认的预期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+2 / 次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 + 研发</w:t>
            </w:r>
          </w:p>
        </w:tc>
      </w:tr>
      <w:tr>
        <w:trPr>
          <w:cantSplit/>
        </w:trPr>
        <w:tc>
          <w:tcPr>
            <w:tcW w:type="dxa" w:w="5783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协助香港公司研发团队解决研发过程中的问题</w:t>
            </w:r>
          </w:p>
        </w:tc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+1 / 次</w:t>
            </w:r>
          </w:p>
        </w:tc>
        <w:tc>
          <w:tcPr>
            <w:tcW w:type="dxa" w:w="260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研发</w:t>
            </w:r>
          </w:p>
        </w:tc>
      </w:tr>
    </w:tbl>
    <w:p>
      <w:pPr>
        <w:spacing w:before="0" w:after="40" w:line="200" w:lineRule="auto"/>
      </w:pP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八、打分和同步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各评分主体只填自己负责的维度。PO 负责维度 1、2、5、9。研发负责维度 3、8、10。维度 4、6、7 由 PO 与研发共同提出、项目主任定分。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有扣分时，扣分原因写清：日期、发生了什么、对应本标准哪一档、证据在哪里。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项目主任计算扣分合计、额外贡献、封顶前分数、封顶后表现分和等级，并列明封顶原因。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次月 4 日前把结果同步厂商。同步内容包括各维得分、扣分事件、证据索引、表现分、等级、整改要求。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同步时说明计分口径：没有事件的月份是 90 分、合格；100 分只出现在没有扣分且额外贡献加满的月份。</w:t>
      </w:r>
    </w:p>
    <w:p>
      <w:pPr>
        <w:spacing w:before="20" w:after="40" w:line="230" w:lineRule="auto"/>
        <w:ind w:left="425" w:hanging="198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·  线上事故除扣分外，仍要厂商提交事故报告并邮件项目主任。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九、争议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6"/>
        <w:gridCol w:w="2268"/>
        <w:gridCol w:w="1587"/>
      </w:tblGrid>
      <w:tr>
        <w:trPr>
          <w:cantSplit/>
          <w:tblHeader w:val="true"/>
        </w:trPr>
        <w:tc>
          <w:tcPr>
            <w:tcW w:type="dxa" w:w="147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5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时限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争议发起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厂商向项目主任提交《争议申请单》，说明争议点和补充证据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结果同步后 3 个工作日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厂商对接人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争议审核</w:t>
            </w:r>
          </w:p>
        </w:tc>
        <w:tc>
          <w:tcPr>
            <w:tcW w:type="dxa" w:w="453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项目主任联合原评分责任人复核证据，判断争议是否成立</w:t>
            </w:r>
          </w:p>
        </w:tc>
        <w:tc>
          <w:tcPr>
            <w:tcW w:type="dxa" w:w="226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 个工作日</w:t>
            </w:r>
          </w:p>
        </w:tc>
        <w:tc>
          <w:tcPr>
            <w:tcW w:type="dxa" w:w="158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 + 原评分责任人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结果反馈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成立：调整分数并更新证据。不成立：出具《争议驳回说明》，附复核依据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个工作日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项目主任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最终确认</w:t>
            </w:r>
          </w:p>
        </w:tc>
        <w:tc>
          <w:tcPr>
            <w:tcW w:type="dxa" w:w="453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厂商确认结果。逾期未确认，视为确认</w:t>
            </w:r>
          </w:p>
        </w:tc>
        <w:tc>
          <w:tcPr>
            <w:tcW w:type="dxa" w:w="2268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 个工作日</w:t>
            </w:r>
          </w:p>
        </w:tc>
        <w:tc>
          <w:tcPr>
            <w:tcW w:type="dxa" w:w="158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厂商对接人</w:t>
            </w:r>
          </w:p>
        </w:tc>
      </w:tr>
    </w:tbl>
    <w:p>
      <w:pPr>
        <w:spacing w:before="0" w:after="40" w:line="200" w:lineRule="auto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同一扣分项只能申请一次。争议期间可以先做整改沟通；暂停新需求、把连续不合格升级给采购，等这一流程结束再执行。数据安全、用户隐私和违反章程的临时保护及证据移交，不受争议期限制。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十、计分示例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下列示例都从 90 分起算，额外贡献先加上，再封顶。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850"/>
        <w:gridCol w:w="907"/>
        <w:gridCol w:w="1984"/>
        <w:gridCol w:w="1247"/>
        <w:gridCol w:w="1360"/>
      </w:tblGrid>
      <w:tr>
        <w:trPr>
          <w:cantSplit/>
          <w:tblHeader w:val="true"/>
        </w:trPr>
        <w:tc>
          <w:tcPr>
            <w:tcW w:type="dxa" w:w="3515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这个月发生了什么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扣分</w:t>
            </w:r>
          </w:p>
        </w:tc>
        <w:tc>
          <w:tcPr>
            <w:tcW w:type="dxa" w:w="90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加分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封顶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表现分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等级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没有扣分事件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90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合格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没有扣分，认可贡献 +5</w:t>
            </w:r>
          </w:p>
        </w:tc>
        <w:tc>
          <w:tcPr>
            <w:tcW w:type="dxa" w:w="85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90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+5</w:t>
            </w:r>
          </w:p>
        </w:tc>
        <w:tc>
          <w:tcPr>
            <w:tcW w:type="dxa" w:w="198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95</w:t>
            </w:r>
          </w:p>
        </w:tc>
        <w:tc>
          <w:tcPr>
            <w:tcW w:type="dxa" w:w="136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优秀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没有扣分，额外贡献加满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100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优秀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轻微文案错误，超过 12 小时才改</w:t>
            </w:r>
          </w:p>
        </w:tc>
        <w:tc>
          <w:tcPr>
            <w:tcW w:type="dxa" w:w="85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90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198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89</w:t>
            </w:r>
          </w:p>
        </w:tc>
        <w:tc>
          <w:tcPr>
            <w:tcW w:type="dxa" w:w="136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合格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核心功能有客诉 1 次，另有 +10 贡献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+10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严重，最高 94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94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合格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APP 大面积崩溃 1 次，报告按时提交</w:t>
            </w:r>
          </w:p>
        </w:tc>
        <w:tc>
          <w:tcPr>
            <w:tcW w:type="dxa" w:w="85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90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198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重大，最高 79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79</w:t>
            </w:r>
          </w:p>
        </w:tc>
        <w:tc>
          <w:tcPr>
            <w:tcW w:type="dxa" w:w="136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待改进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私自部署，并造成全部功能不可用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重大，最高 79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79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待改进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数据安全事件 1 次，责任在厂商</w:t>
            </w:r>
          </w:p>
        </w:tc>
        <w:tc>
          <w:tcPr>
            <w:tcW w:type="dxa" w:w="85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90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1984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最高 69</w:t>
            </w:r>
          </w:p>
        </w:tc>
        <w:tc>
          <w:tcPr>
            <w:tcW w:type="dxa" w:w="1247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69</w:t>
            </w:r>
          </w:p>
        </w:tc>
        <w:tc>
          <w:tcPr>
            <w:tcW w:type="dxa" w:w="1360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不合格</w:t>
            </w:r>
          </w:p>
        </w:tc>
      </w:tr>
    </w:tbl>
    <w:p>
      <w:pPr>
        <w:spacing w:before="0" w:after="40" w:line="200" w:lineRule="auto"/>
      </w:pP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核心功能有客诉的那一行，封顶前是 90 − 4 + 10 = 96，封顶后为 94。大面积崩溃封顶前是 85，封顶后为 79。私自部署加全部功能不可用，两项都在维度 3 内扣，合计 8 分，封顶前是 82，封顶后为 79。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十一、生效</w:t>
      </w:r>
    </w:p>
    <w:p>
      <w:pPr>
        <w:spacing w:before="0" w:after="120" w:line="240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本标准自发布后的第一个完整评估月起使用。已经完成汇总的月份不追溯调整。发布时向评分人和厂商同步第四节的计算公式、第五节的封顶，以及「月度表现分不作为结算扣款依据」。</w:t>
      </w:r>
    </w:p>
    <w:p>
      <w:pPr>
        <w:spacing w:before="280" w:after="120" w:line="240" w:lineRule="auto"/>
        <w:keepNext/>
      </w:pPr>
      <w:r>
        <w:rPr>
          <w:rFonts w:ascii="微软雅黑" w:hAnsi="微软雅黑" w:eastAsia="微软雅黑" w:cs="微软雅黑"/>
          <w:b/>
          <w:color w:val="1F4E79"/>
          <w:sz w:val="28"/>
        </w:rPr>
        <w:t>附录：和现行文本的对应关系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5216"/>
      </w:tblGrid>
      <w:tr>
        <w:trPr>
          <w:cantSplit/>
          <w:tblHeader w:val="true"/>
        </w:trPr>
        <w:tc>
          <w:tcPr>
            <w:tcW w:type="dxa" w:w="464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现行文本</w:t>
            </w:r>
          </w:p>
        </w:tc>
        <w:tc>
          <w:tcPr>
            <w:tcW w:type="dxa" w:w="521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修订后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总分 100，满分起评，没扣分就是 100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没扣分是 90。扣分从 90 往下减，额外贡献最多加回 10 分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95 分及以上优秀，80–94 合格，70–79 待改进，70 以下不合格</w:t>
            </w:r>
          </w:p>
        </w:tc>
        <w:tc>
          <w:tcPr>
            <w:tcW w:type="dxa" w:w="521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等级线不变。优秀仍然从 95 分起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大面积崩溃扣 5 分，其余满分时仍是 95 分优秀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重大事件当月最高 79 分。数据安全事件最高 69 分，并当月反馈采购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有客诉的一般问题扣 1 分，没有客诉的同类问题扣 2 分</w:t>
            </w:r>
          </w:p>
        </w:tc>
        <w:tc>
          <w:tcPr>
            <w:tcW w:type="dxa" w:w="521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同一级别有客诉的扣分高于没有客诉：一般 −3，严重 −4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验收主流程走不通扣 1 分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改为 −2。若同时造成 UAT 或 PAT 延误，只按更高一档扣一次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原则写不跨维度扣分，时效、投诉又会就同一故障再扣</w:t>
            </w:r>
          </w:p>
        </w:tc>
        <w:tc>
          <w:tcPr>
            <w:tcW w:type="dxa" w:w="521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主维度只扣一次。可以另扣的只有响应超时和未交事故报告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事故报告是要求，未提交没有扣分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未在 3 个工作日内提交，团队人员维度 −2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每月 25、28、30 日通知打分，又写次月 4 日前汇总</w:t>
            </w:r>
          </w:p>
        </w:tc>
        <w:tc>
          <w:tcPr>
            <w:tcW w:type="dxa" w:w="521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25、28、30 日只催证据。正式打分是次月 1 日至 4 日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没问题的单项打 10 分，表单可以选任意整数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剩余分数必须等于 10 减去档位扣分。空白不等于 10 分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争议流程在附表图片里</w:t>
            </w:r>
          </w:p>
        </w:tc>
        <w:tc>
          <w:tcPr>
            <w:tcW w:type="dxa" w:w="5216"/>
            <w:shd w:val="clear" w:color="auto" w:fill="F3F6F9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写入第九节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文末口头说明不用于结算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写入第三节，并列出建议采购写入合同的事项</w:t>
            </w:r>
          </w:p>
        </w:tc>
      </w:tr>
    </w:tbl>
    <w:p>
      <w:pPr>
        <w:spacing w:before="0" w:after="40" w:line="200" w:lineRule="auto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964" w:left="102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微软雅黑" w:hAnsi="微软雅黑" w:eastAsia="微软雅黑" w:cs="微软雅黑"/>
        <w:b w:val="0"/>
        <w:color w:val="555E6B"/>
        <w:sz w:val="16"/>
      </w:rPr>
      <w:t xml:space="preserve">MyLink 合作伙伴（厂商）月度评估体系    </w:t>
    </w:r>
    <w:r>
      <w:rPr>
        <w:rFonts w:ascii="微软雅黑" w:hAnsi="微软雅黑" w:eastAsia="微软雅黑" w:cs="微软雅黑"/>
        <w:b w:val="0"/>
        <w:color w:val="555E6B"/>
        <w:sz w:val="16"/>
      </w:rPr>
      <w:fldChar w:fldCharType="begin"/>
    </w:r>
    <w:r>
      <w:rPr>
        <w:rFonts w:ascii="微软雅黑" w:hAnsi="微软雅黑" w:eastAsia="微软雅黑" w:cs="微软雅黑"/>
        <w:b w:val="0"/>
        <w:color w:val="555E6B"/>
        <w:sz w:val="16"/>
      </w:rPr>
      <w:instrText xml:space="preserve"> PAGE </w:instrText>
    </w:r>
    <w:r>
      <w:rPr>
        <w:rFonts w:ascii="微软雅黑" w:hAnsi="微软雅黑" w:eastAsia="微软雅黑" w:cs="微软雅黑"/>
        <w:b w:val="0"/>
        <w:color w:val="555E6B"/>
        <w:sz w:val="16"/>
      </w:rPr>
      <w:fldChar w:fldCharType="end"/>
    </w:r>
    <w:r>
      <w:rPr>
        <w:rFonts w:ascii="微软雅黑" w:hAnsi="微软雅黑" w:eastAsia="微软雅黑" w:cs="微软雅黑"/>
        <w:b w:val="0"/>
        <w:color w:val="555E6B"/>
        <w:sz w:val="16"/>
      </w:rPr>
      <w:t xml:space="preserve"> / </w:t>
    </w:r>
    <w:r>
      <w:rPr>
        <w:rFonts w:ascii="微软雅黑" w:hAnsi="微软雅黑" w:eastAsia="微软雅黑" w:cs="微软雅黑"/>
        <w:b w:val="0"/>
        <w:color w:val="555E6B"/>
        <w:sz w:val="16"/>
      </w:rPr>
      <w:fldChar w:fldCharType="begin"/>
    </w:r>
    <w:r>
      <w:rPr>
        <w:rFonts w:ascii="微软雅黑" w:hAnsi="微软雅黑" w:eastAsia="微软雅黑" w:cs="微软雅黑"/>
        <w:b w:val="0"/>
        <w:color w:val="555E6B"/>
        <w:sz w:val="16"/>
      </w:rPr>
      <w:instrText xml:space="preserve"> NUMPAGES </w:instrText>
    </w:r>
    <w:r>
      <w:rPr>
        <w:rFonts w:ascii="微软雅黑" w:hAnsi="微软雅黑" w:eastAsia="微软雅黑" w:cs="微软雅黑"/>
        <w:b w:val="0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微软雅黑" w:hAnsi="微软雅黑" w:eastAsia="微软雅黑" w:cs="微软雅黑"/>
        <w:b w:val="0"/>
        <w:color w:val="555E6B"/>
        <w:sz w:val="16"/>
      </w:rPr>
      <w:t>月度表现评价  ·  不作为结算扣款依据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