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A7DC" w14:textId="77777777" w:rsidR="008C5CB7" w:rsidRPr="008C5CB7" w:rsidRDefault="008C5CB7" w:rsidP="008C5CB7">
      <w:pPr>
        <w:ind w:firstLine="482"/>
      </w:pPr>
      <w:r w:rsidRPr="008C5CB7">
        <w:rPr>
          <w:b/>
          <w:bCs/>
        </w:rPr>
        <w:t>外部审核不符合项</w:t>
      </w:r>
      <w:r w:rsidRPr="008C5CB7">
        <w:rPr>
          <w:b/>
          <w:bCs/>
        </w:rPr>
        <w:t xml:space="preserve"> (NC) </w:t>
      </w:r>
      <w:r w:rsidRPr="008C5CB7">
        <w:rPr>
          <w:b/>
          <w:bCs/>
        </w:rPr>
        <w:t>报告</w:t>
      </w:r>
      <w:r w:rsidRPr="008C5CB7">
        <w:t xml:space="preserve"> </w:t>
      </w:r>
      <w:r w:rsidRPr="008C5CB7">
        <w:rPr>
          <w:b/>
          <w:bCs/>
        </w:rPr>
        <w:t>审核类型</w:t>
      </w:r>
      <w:r w:rsidRPr="008C5CB7">
        <w:t>：</w:t>
      </w:r>
      <w:r w:rsidRPr="008C5CB7">
        <w:t xml:space="preserve">MDR CE </w:t>
      </w:r>
      <w:r w:rsidRPr="008C5CB7">
        <w:t>认证年度监督审核</w:t>
      </w:r>
    </w:p>
    <w:p w14:paraId="66186096" w14:textId="77777777" w:rsidR="008C5CB7" w:rsidRPr="008C5CB7" w:rsidRDefault="008C5CB7" w:rsidP="008C5CB7">
      <w:pPr>
        <w:ind w:firstLine="482"/>
      </w:pPr>
      <w:r w:rsidRPr="008C5CB7">
        <w:rPr>
          <w:b/>
          <w:bCs/>
        </w:rPr>
        <w:t>NC-2026-01 (</w:t>
      </w:r>
      <w:r w:rsidRPr="008C5CB7">
        <w:rPr>
          <w:b/>
          <w:bCs/>
        </w:rPr>
        <w:t>严重不符合</w:t>
      </w:r>
      <w:r w:rsidRPr="008C5CB7">
        <w:rPr>
          <w:b/>
          <w:bCs/>
        </w:rPr>
        <w:t xml:space="preserve"> / Major)</w:t>
      </w:r>
      <w:r w:rsidRPr="008C5CB7">
        <w:t xml:space="preserve"> </w:t>
      </w:r>
      <w:r w:rsidRPr="008C5CB7">
        <w:rPr>
          <w:b/>
          <w:bCs/>
        </w:rPr>
        <w:t>涉及条款</w:t>
      </w:r>
      <w:r w:rsidRPr="008C5CB7">
        <w:t>：</w:t>
      </w:r>
      <w:r w:rsidRPr="008C5CB7">
        <w:t xml:space="preserve">ISO 14971:2019 </w:t>
      </w:r>
      <w:r w:rsidRPr="008C5CB7">
        <w:t>第</w:t>
      </w:r>
      <w:r w:rsidRPr="008C5CB7">
        <w:t xml:space="preserve"> 7.1 </w:t>
      </w:r>
      <w:r w:rsidRPr="008C5CB7">
        <w:t>条</w:t>
      </w:r>
      <w:r w:rsidRPr="008C5CB7">
        <w:t xml:space="preserve"> / MDR </w:t>
      </w:r>
      <w:r w:rsidRPr="008C5CB7">
        <w:t>附录</w:t>
      </w:r>
      <w:r w:rsidRPr="008C5CB7">
        <w:t xml:space="preserve"> I </w:t>
      </w:r>
      <w:r w:rsidRPr="008C5CB7">
        <w:t>第</w:t>
      </w:r>
      <w:r w:rsidRPr="008C5CB7">
        <w:t xml:space="preserve"> 3 </w:t>
      </w:r>
      <w:r w:rsidRPr="008C5CB7">
        <w:t>条</w:t>
      </w:r>
      <w:r w:rsidRPr="008C5CB7">
        <w:t xml:space="preserve"> </w:t>
      </w:r>
      <w:r w:rsidRPr="008C5CB7">
        <w:rPr>
          <w:b/>
          <w:bCs/>
        </w:rPr>
        <w:t>不符合描述</w:t>
      </w:r>
      <w:r w:rsidRPr="008C5CB7">
        <w:t>：审核员抽查了型号为</w:t>
      </w:r>
      <w:r w:rsidRPr="008C5CB7">
        <w:t xml:space="preserve"> X-100 </w:t>
      </w:r>
      <w:r w:rsidRPr="008C5CB7">
        <w:t>的高频电刀的风险管理文档（编号</w:t>
      </w:r>
      <w:r w:rsidRPr="008C5CB7">
        <w:t xml:space="preserve"> RM-X100-02</w:t>
      </w:r>
      <w:r w:rsidRPr="008C5CB7">
        <w:t>）。发现在最近一次的软件更新（版本</w:t>
      </w:r>
      <w:r w:rsidRPr="008C5CB7">
        <w:t xml:space="preserve"> v2.1.0</w:t>
      </w:r>
      <w:r w:rsidRPr="008C5CB7">
        <w:t>，涉及功率输出算法调整）后，制造商未能在风险分析（</w:t>
      </w:r>
      <w:r w:rsidRPr="008C5CB7">
        <w:t>FMEA</w:t>
      </w:r>
      <w:r w:rsidRPr="008C5CB7">
        <w:t>）中评估由于新算法导致输出功率异常波动的潜在风险。缺乏对新引入软件风险的识别和控制措施的客观证据。</w:t>
      </w:r>
    </w:p>
    <w:p w14:paraId="503E4723" w14:textId="77777777" w:rsidR="008C5CB7" w:rsidRPr="008C5CB7" w:rsidRDefault="008C5CB7" w:rsidP="008C5CB7">
      <w:pPr>
        <w:ind w:firstLine="482"/>
      </w:pPr>
      <w:r w:rsidRPr="008C5CB7">
        <w:rPr>
          <w:b/>
          <w:bCs/>
        </w:rPr>
        <w:t>NC-2026-02 (</w:t>
      </w:r>
      <w:r w:rsidRPr="008C5CB7">
        <w:rPr>
          <w:b/>
          <w:bCs/>
        </w:rPr>
        <w:t>轻微不符合</w:t>
      </w:r>
      <w:r w:rsidRPr="008C5CB7">
        <w:rPr>
          <w:b/>
          <w:bCs/>
        </w:rPr>
        <w:t xml:space="preserve"> / Minor)</w:t>
      </w:r>
      <w:r w:rsidRPr="008C5CB7">
        <w:t xml:space="preserve"> </w:t>
      </w:r>
      <w:r w:rsidRPr="008C5CB7">
        <w:rPr>
          <w:b/>
          <w:bCs/>
        </w:rPr>
        <w:t>涉及条款</w:t>
      </w:r>
      <w:r w:rsidRPr="008C5CB7">
        <w:t>：</w:t>
      </w:r>
      <w:r w:rsidRPr="008C5CB7">
        <w:t xml:space="preserve">MEDDEV 2.7/1 Rev 4 </w:t>
      </w:r>
      <w:r w:rsidRPr="008C5CB7">
        <w:t>第</w:t>
      </w:r>
      <w:r w:rsidRPr="008C5CB7">
        <w:t xml:space="preserve"> 8 </w:t>
      </w:r>
      <w:r w:rsidRPr="008C5CB7">
        <w:t>节</w:t>
      </w:r>
      <w:r w:rsidRPr="008C5CB7">
        <w:t xml:space="preserve"> / MDR </w:t>
      </w:r>
      <w:r w:rsidRPr="008C5CB7">
        <w:t>附录</w:t>
      </w:r>
      <w:r w:rsidRPr="008C5CB7">
        <w:t xml:space="preserve"> XIV </w:t>
      </w:r>
      <w:r w:rsidRPr="008C5CB7">
        <w:rPr>
          <w:b/>
          <w:bCs/>
        </w:rPr>
        <w:t>不符合描述</w:t>
      </w:r>
      <w:r w:rsidRPr="008C5CB7">
        <w:t>：在抽查心脏起搏器电极导线的临床评价报告（</w:t>
      </w:r>
      <w:r w:rsidRPr="008C5CB7">
        <w:t>CER-2025-V2</w:t>
      </w:r>
      <w:r w:rsidRPr="008C5CB7">
        <w:t>）时，文献检索策略记录不完整。报告中列出了最终纳入的</w:t>
      </w:r>
      <w:r w:rsidRPr="008C5CB7">
        <w:t xml:space="preserve"> 15 </w:t>
      </w:r>
      <w:r w:rsidRPr="008C5CB7">
        <w:t>篇临床文献，但未提供明确的文献纳入和排除标准（</w:t>
      </w:r>
      <w:r w:rsidRPr="008C5CB7">
        <w:t>Inclusion/Exclusion Criteria</w:t>
      </w:r>
      <w:r w:rsidRPr="008C5CB7">
        <w:t>），也未记录在</w:t>
      </w:r>
      <w:r w:rsidRPr="008C5CB7">
        <w:t xml:space="preserve"> PubMed </w:t>
      </w:r>
      <w:r w:rsidRPr="008C5CB7">
        <w:t>等数据库中使用的具体布尔逻辑检索词，导致临床数据的收集过程无法完全复现。</w:t>
      </w:r>
    </w:p>
    <w:p w14:paraId="003BF218" w14:textId="77777777" w:rsidR="008C5CB7" w:rsidRPr="008C5CB7" w:rsidRDefault="008C5CB7" w:rsidP="008C5CB7">
      <w:pPr>
        <w:ind w:firstLine="482"/>
      </w:pPr>
      <w:r w:rsidRPr="008C5CB7">
        <w:rPr>
          <w:b/>
          <w:bCs/>
        </w:rPr>
        <w:t>NC-2026-03 (</w:t>
      </w:r>
      <w:r w:rsidRPr="008C5CB7">
        <w:rPr>
          <w:b/>
          <w:bCs/>
        </w:rPr>
        <w:t>轻微不符合</w:t>
      </w:r>
      <w:r w:rsidRPr="008C5CB7">
        <w:rPr>
          <w:b/>
          <w:bCs/>
        </w:rPr>
        <w:t xml:space="preserve"> / Minor)</w:t>
      </w:r>
      <w:r w:rsidRPr="008C5CB7">
        <w:t xml:space="preserve"> </w:t>
      </w:r>
      <w:r w:rsidRPr="008C5CB7">
        <w:rPr>
          <w:b/>
          <w:bCs/>
        </w:rPr>
        <w:t>涉及条款</w:t>
      </w:r>
      <w:r w:rsidRPr="008C5CB7">
        <w:t>：</w:t>
      </w:r>
      <w:r w:rsidRPr="008C5CB7">
        <w:t xml:space="preserve">MDR </w:t>
      </w:r>
      <w:r w:rsidRPr="008C5CB7">
        <w:t>第</w:t>
      </w:r>
      <w:r w:rsidRPr="008C5CB7">
        <w:t xml:space="preserve"> 83 </w:t>
      </w:r>
      <w:r w:rsidRPr="008C5CB7">
        <w:t>条及附录</w:t>
      </w:r>
      <w:r w:rsidRPr="008C5CB7">
        <w:t xml:space="preserve"> III </w:t>
      </w:r>
      <w:r w:rsidRPr="008C5CB7">
        <w:rPr>
          <w:b/>
          <w:bCs/>
        </w:rPr>
        <w:t>不符合描述</w:t>
      </w:r>
      <w:r w:rsidRPr="008C5CB7">
        <w:t>：上市后监督（</w:t>
      </w:r>
      <w:r w:rsidRPr="008C5CB7">
        <w:t>PMS</w:t>
      </w:r>
      <w:r w:rsidRPr="008C5CB7">
        <w:t>）计划（</w:t>
      </w:r>
      <w:r w:rsidRPr="008C5CB7">
        <w:t>PMS-PL-001</w:t>
      </w:r>
      <w:r w:rsidRPr="008C5CB7">
        <w:t>）中，被动数据收集（如客诉）描述完善。但在主动数据收集（</w:t>
      </w:r>
      <w:r w:rsidRPr="008C5CB7">
        <w:t>Proactive data gathering</w:t>
      </w:r>
      <w:r w:rsidRPr="008C5CB7">
        <w:t>）部分，仅泛泛提及</w:t>
      </w:r>
      <w:r w:rsidRPr="008C5CB7">
        <w:t>“</w:t>
      </w:r>
      <w:r w:rsidRPr="008C5CB7">
        <w:t>将关注行业数据库</w:t>
      </w:r>
      <w:r w:rsidRPr="008C5CB7">
        <w:t>”</w:t>
      </w:r>
      <w:r w:rsidRPr="008C5CB7">
        <w:t>，未针对该特定高风险植入器械明确主动收集数据的具体方法、频率以及需要监控的具体临床指标，不符合</w:t>
      </w:r>
      <w:r w:rsidRPr="008C5CB7">
        <w:t xml:space="preserve"> MDR </w:t>
      </w:r>
      <w:r w:rsidRPr="008C5CB7">
        <w:t>对</w:t>
      </w:r>
      <w:r w:rsidRPr="008C5CB7">
        <w:t xml:space="preserve"> PMS </w:t>
      </w:r>
      <w:r w:rsidRPr="008C5CB7">
        <w:t>计划的详细要求。</w:t>
      </w:r>
    </w:p>
    <w:p w14:paraId="420C8321" w14:textId="77777777" w:rsidR="00511810" w:rsidRPr="008C5CB7" w:rsidRDefault="00511810">
      <w:pPr>
        <w:ind w:firstLine="480"/>
      </w:pPr>
    </w:p>
    <w:sectPr w:rsidR="00511810" w:rsidRPr="008C5C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D2585" w14:textId="77777777" w:rsidR="00CF127C" w:rsidRDefault="00CF127C" w:rsidP="008C5CB7">
      <w:pPr>
        <w:spacing w:line="240" w:lineRule="auto"/>
        <w:ind w:firstLine="480"/>
      </w:pPr>
      <w:r>
        <w:separator/>
      </w:r>
    </w:p>
  </w:endnote>
  <w:endnote w:type="continuationSeparator" w:id="0">
    <w:p w14:paraId="223F5CDB" w14:textId="77777777" w:rsidR="00CF127C" w:rsidRDefault="00CF127C" w:rsidP="008C5CB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FCA3F" w14:textId="77777777" w:rsidR="008C5CB7" w:rsidRDefault="008C5CB7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175B8" w14:textId="77777777" w:rsidR="008C5CB7" w:rsidRDefault="008C5CB7">
    <w:pPr>
      <w:pStyle w:val="a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1875B" w14:textId="77777777" w:rsidR="008C5CB7" w:rsidRDefault="008C5CB7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8D5AF" w14:textId="77777777" w:rsidR="00CF127C" w:rsidRDefault="00CF127C" w:rsidP="008C5CB7">
      <w:pPr>
        <w:spacing w:line="240" w:lineRule="auto"/>
        <w:ind w:firstLine="480"/>
      </w:pPr>
      <w:r>
        <w:separator/>
      </w:r>
    </w:p>
  </w:footnote>
  <w:footnote w:type="continuationSeparator" w:id="0">
    <w:p w14:paraId="2D32472B" w14:textId="77777777" w:rsidR="00CF127C" w:rsidRDefault="00CF127C" w:rsidP="008C5CB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D1D80" w14:textId="77777777" w:rsidR="008C5CB7" w:rsidRDefault="008C5CB7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46ED" w14:textId="77777777" w:rsidR="008C5CB7" w:rsidRDefault="008C5CB7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7DBC4" w14:textId="77777777" w:rsidR="008C5CB7" w:rsidRDefault="008C5CB7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60639"/>
    <w:multiLevelType w:val="multilevel"/>
    <w:tmpl w:val="8CA2C2B2"/>
    <w:lvl w:ilvl="0">
      <w:start w:val="1"/>
      <w:numFmt w:val="chineseCountingThousand"/>
      <w:pStyle w:val="1"/>
      <w:suff w:val="space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1669751061">
    <w:abstractNumId w:val="0"/>
  </w:num>
  <w:num w:numId="2" w16cid:durableId="937718715">
    <w:abstractNumId w:val="0"/>
  </w:num>
  <w:num w:numId="3" w16cid:durableId="119499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31"/>
    <w:rsid w:val="000E6931"/>
    <w:rsid w:val="003B50EC"/>
    <w:rsid w:val="004530D2"/>
    <w:rsid w:val="00511810"/>
    <w:rsid w:val="00537E94"/>
    <w:rsid w:val="005A40E9"/>
    <w:rsid w:val="00734609"/>
    <w:rsid w:val="008C5CB7"/>
    <w:rsid w:val="00AE23F0"/>
    <w:rsid w:val="00B634AA"/>
    <w:rsid w:val="00CF127C"/>
    <w:rsid w:val="00DD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8A56649-B4AC-4CF6-A4E4-426262443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810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1810"/>
    <w:pPr>
      <w:keepNext/>
      <w:keepLines/>
      <w:numPr>
        <w:numId w:val="3"/>
      </w:numPr>
      <w:spacing w:line="600" w:lineRule="auto"/>
      <w:ind w:firstLineChars="0" w:firstLine="0"/>
      <w:jc w:val="center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11810"/>
    <w:pPr>
      <w:keepNext/>
      <w:keepLines/>
      <w:numPr>
        <w:ilvl w:val="1"/>
        <w:numId w:val="3"/>
      </w:numPr>
      <w:ind w:firstLineChars="0" w:firstLine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1810"/>
    <w:pPr>
      <w:keepNext/>
      <w:keepLines/>
      <w:numPr>
        <w:ilvl w:val="2"/>
        <w:numId w:val="3"/>
      </w:numPr>
      <w:ind w:firstLineChars="0" w:firstLine="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93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93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93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93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93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93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1810"/>
    <w:rPr>
      <w:rFonts w:ascii="Times New Roman" w:eastAsia="黑体" w:hAnsi="Times New Roman"/>
      <w:b/>
      <w:bCs/>
      <w:kern w:val="44"/>
      <w:sz w:val="30"/>
      <w:szCs w:val="44"/>
      <w14:ligatures w14:val="none"/>
    </w:rPr>
  </w:style>
  <w:style w:type="character" w:customStyle="1" w:styleId="20">
    <w:name w:val="标题 2 字符"/>
    <w:basedOn w:val="a0"/>
    <w:link w:val="2"/>
    <w:uiPriority w:val="9"/>
    <w:rsid w:val="00511810"/>
    <w:rPr>
      <w:rFonts w:ascii="Times New Roman" w:eastAsia="宋体" w:hAnsi="Times New Roman" w:cstheme="majorBidi"/>
      <w:b/>
      <w:bCs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511810"/>
    <w:rPr>
      <w:rFonts w:ascii="Times New Roman" w:eastAsia="宋体" w:hAnsi="Times New Roman"/>
      <w:b/>
      <w:bCs/>
      <w:sz w:val="24"/>
      <w:szCs w:val="32"/>
      <w14:ligatures w14:val="none"/>
    </w:rPr>
  </w:style>
  <w:style w:type="paragraph" w:styleId="a3">
    <w:name w:val="caption"/>
    <w:basedOn w:val="a"/>
    <w:next w:val="a"/>
    <w:autoRedefine/>
    <w:qFormat/>
    <w:rsid w:val="005A40E9"/>
    <w:pPr>
      <w:keepNext/>
      <w:keepLines/>
      <w:spacing w:before="200" w:after="240" w:line="200" w:lineRule="exact"/>
      <w:ind w:firstLineChars="0" w:firstLine="0"/>
      <w:jc w:val="center"/>
    </w:pPr>
    <w:rPr>
      <w:rFonts w:eastAsia="Times New Roman" w:cs="Times New Roman"/>
      <w:b/>
      <w:kern w:val="0"/>
      <w:sz w:val="20"/>
      <w:szCs w:val="20"/>
      <w:lang w:val="en-GB" w:eastAsia="en-US"/>
    </w:rPr>
  </w:style>
  <w:style w:type="character" w:customStyle="1" w:styleId="40">
    <w:name w:val="标题 4 字符"/>
    <w:basedOn w:val="a0"/>
    <w:link w:val="4"/>
    <w:uiPriority w:val="9"/>
    <w:semiHidden/>
    <w:rsid w:val="000E6931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0E6931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0E6931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0E6931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0E6931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0E6931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0E69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0E693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0E693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0E69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0E69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0E6931"/>
    <w:rPr>
      <w:rFonts w:ascii="Times New Roman" w:eastAsia="宋体" w:hAnsi="Times New Roman"/>
      <w:i/>
      <w:iCs/>
      <w:color w:val="404040" w:themeColor="text1" w:themeTint="BF"/>
      <w:sz w:val="24"/>
      <w14:ligatures w14:val="none"/>
    </w:rPr>
  </w:style>
  <w:style w:type="paragraph" w:styleId="aa">
    <w:name w:val="List Paragraph"/>
    <w:basedOn w:val="a"/>
    <w:uiPriority w:val="34"/>
    <w:qFormat/>
    <w:rsid w:val="000E693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E693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E6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E6931"/>
    <w:rPr>
      <w:rFonts w:ascii="Times New Roman" w:eastAsia="宋体" w:hAnsi="Times New Roman"/>
      <w:i/>
      <w:iCs/>
      <w:color w:val="2F5496" w:themeColor="accent1" w:themeShade="BF"/>
      <w:sz w:val="24"/>
      <w14:ligatures w14:val="none"/>
    </w:rPr>
  </w:style>
  <w:style w:type="character" w:styleId="ae">
    <w:name w:val="Intense Reference"/>
    <w:basedOn w:val="a0"/>
    <w:uiPriority w:val="32"/>
    <w:qFormat/>
    <w:rsid w:val="000E6931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C5CB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C5CB7"/>
    <w:rPr>
      <w:rFonts w:ascii="Times New Roman" w:eastAsia="宋体" w:hAnsi="Times New Roman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8C5CB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C5CB7"/>
    <w:rPr>
      <w:rFonts w:ascii="Times New Roman" w:eastAsia="宋体" w:hAnsi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鹏亮 刘</dc:creator>
  <cp:keywords/>
  <dc:description/>
  <cp:lastModifiedBy>鹏亮 刘</cp:lastModifiedBy>
  <cp:revision>2</cp:revision>
  <dcterms:created xsi:type="dcterms:W3CDTF">2026-03-21T11:11:00Z</dcterms:created>
  <dcterms:modified xsi:type="dcterms:W3CDTF">2026-03-21T11:12:00Z</dcterms:modified>
</cp:coreProperties>
</file>