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4A7DC" w14:textId="77777777" w:rsidR="008C5CB7" w:rsidRPr="008C5CB7" w:rsidRDefault="008C5CB7" w:rsidP="008C5CB7">
      <w:pPr>
        <w:ind w:firstLine="482"/>
      </w:pPr>
      <w:r>
        <w:rPr>
          <w:highlight w:val="yellow"/>
        </w:rPr>
        <w:t>外部审核不符合项 (NC) 报告与整改方案</w:t>
        <w:br/>
        <w:t>审核类型：MDR CE 认证年度监督审核</w:t>
        <w:br/>
        <w:br/>
        <w:t>===============================================================================</w:t>
        <w:br/>
        <w:t>整改方案与行动计划</w:t>
        <w:br/>
        <w:t>===============================================================================</w:t>
        <w:br/>
        <w:br/>
        <w:t>一、总体要求</w:t>
        <w:br/>
        <w:t>1. CAPA编号：CAPA-2026-NB-001</w:t>
        <w:br/>
        <w:t>2. 审核类型：MDR CE认证年度监督审核</w:t>
        <w:br/>
        <w:t>3. 审核日期：2026年03月</w:t>
        <w:br/>
        <w:t>4. 整改完成时限：</w:t>
        <w:br/>
        <w:t xml:space="preserve">   - 严重不符合：30天内完成整改并提供证据</w:t>
        <w:br/>
        <w:t xml:space="preserve">   - 轻微不符合：45天内完成整改并提供证据</w:t>
        <w:br/>
        <w:t>5. 验证要求：所有整改措施需提供客观证据，包括修订的文件、培训记录、实施证据和有效性验证报告</w:t>
        <w:br/>
        <w:br/>
        <w:t>二、NC-2026-01 整改方案（严重不符合）</w:t>
        <w:br/>
        <w:t>1. 根本原因分析：</w:t>
        <w:br/>
        <w:t xml:space="preserve">   - 软件变更控制流程不完善，缺乏软件更新的风险评估要求</w:t>
        <w:br/>
        <w:t xml:space="preserve">   - 研发与质量部门沟通机制不健全</w:t>
        <w:br/>
        <w:br/>
        <w:t>2. 立即纠正措施（1天内完成）：</w:t>
        <w:br/>
        <w:t xml:space="preserve">   - 暂停v2.1.0版本软件的进一步分发</w:t>
        <w:br/>
        <w:t xml:space="preserve">   - 通知已安装用户潜在风险并制定临时控制措施</w:t>
        <w:br/>
        <w:t xml:space="preserve">   - 启动紧急风险评估会议</w:t>
        <w:br/>
        <w:br/>
        <w:t>3. 纠正措施（15天内完成）：</w:t>
        <w:br/>
        <w:t xml:space="preserve">   - 更新风险管理文档RM-X100-02，补充软件变更风险评估</w:t>
        <w:br/>
        <w:t xml:space="preserve">   - 重新评估输出功率异常波动的风险，制定相应的风险控制措施</w:t>
        <w:br/>
        <w:t xml:space="preserve">   - 验证控制措施的有效性</w:t>
        <w:br/>
        <w:br/>
        <w:t>4. 预防措施（30天内完成）：</w:t>
        <w:br/>
        <w:t xml:space="preserve">   - 修订《软件变更控制程序》，增加风险评估要求</w:t>
        <w:br/>
        <w:t xml:space="preserve">   - 建立软件更新风险评估检查表</w:t>
        <w:br/>
        <w:t xml:space="preserve">   - 对研发人员进行风险管理专项培训</w:t>
        <w:br/>
        <w:br/>
        <w:t>5. 负责部门：</w:t>
        <w:br/>
        <w:t xml:space="preserve">   - 主责部门：研发部</w:t>
        <w:br/>
        <w:t xml:space="preserve">   - 监督部门：质量部</w:t>
        <w:br/>
        <w:t xml:space="preserve">   - 配合部门：临床部、法规部</w:t>
        <w:br/>
        <w:br/>
        <w:t>6. 验证方法：</w:t>
        <w:br/>
        <w:t xml:space="preserve">   - 检查更新的风险管理文档</w:t>
        <w:br/>
        <w:t xml:space="preserve">   - 审核修订后的软件变更控制程序</w:t>
        <w:br/>
        <w:t xml:space="preserve">   - 检查培训记录和考核结果</w:t>
        <w:br/>
        <w:br/>
        <w:t>三、NC-2026-03 整改方案（轻微不符合）</w:t>
        <w:br/>
        <w:t>1. 根本原因分析：</w:t>
        <w:br/>
        <w:t xml:space="preserve">   - PMS计划模板不完善，缺乏对主动数据收集的具体要求</w:t>
        <w:br/>
        <w:t xml:space="preserve">   - 临床人员对MDR PMS要求理解不深入</w:t>
        <w:br/>
        <w:br/>
        <w:t>2. 立即纠正措施（7天内完成）：</w:t>
        <w:br/>
        <w:t xml:space="preserve">   - 修订PMS-PL-001文件</w:t>
        <w:br/>
        <w:t xml:space="preserve">   - 明确主动数据收集的具体要求</w:t>
        <w:br/>
        <w:br/>
        <w:t>3. 纠正措施（30天内完成）：</w:t>
        <w:br/>
        <w:t xml:space="preserve">   - 补充主动数据收集的具体方法（文献检索、专家咨询、临床研究等）</w:t>
        <w:br/>
        <w:t xml:space="preserve">   - 明确数据收集频率（每季度/半年/年）</w:t>
        <w:br/>
        <w:t xml:space="preserve">   - 定义需要监控的具体临床指标和警戒线</w:t>
        <w:br/>
        <w:br/>
        <w:t>4. 预防措施（45天内完成）：</w:t>
        <w:br/>
        <w:t xml:space="preserve">   - 建立标准化的PMS计划模板</w:t>
        <w:br/>
        <w:t xml:space="preserve">   - 制定《高风险产品PMS计划编写指南》</w:t>
        <w:br/>
        <w:t xml:space="preserve">   - 对临床人员进行MDR PMS要求专项培训</w:t>
        <w:br/>
        <w:br/>
        <w:t>5. 负责部门：</w:t>
        <w:br/>
        <w:t xml:space="preserve">   - 主责部门：临床部</w:t>
        <w:br/>
        <w:t xml:space="preserve">   - 审核部门：质量部</w:t>
        <w:br/>
        <w:t xml:space="preserve">   - 配合部门：法规部、市场部</w:t>
        <w:br/>
        <w:br/>
        <w:t>6. 验证方法：</w:t>
        <w:br/>
        <w:t xml:space="preserve">   - 检查修订后的PMS-PL-001文件</w:t>
        <w:br/>
        <w:t xml:space="preserve">   - 审核PMS计划模板和编写指南</w:t>
        <w:br/>
        <w:t xml:space="preserve">   - 检查培训记录和考核结果</w:t>
        <w:br/>
        <w:br/>
        <w:t>四、CAPA跟踪与验证</w:t>
        <w:br/>
        <w:t>1. 建立CAPA跟踪表，每周更新进度</w:t>
        <w:br/>
        <w:t>2. 质量部负责监督整改实施情况</w:t>
        <w:br/>
        <w:t>3. 整改完成后，由质量经理组织验证</w:t>
        <w:br/>
        <w:t>4. 验证通过后，提交整改证据给NB机构</w:t>
        <w:br/>
        <w:t>5. 定期回顾CAPA有效性，确保问题不复发</w:t>
        <w:br/>
        <w:br/>
        <w:t>五、责任分配与时间表</w:t>
        <w:br/>
        <w:t>1. 项目负责人：质量总监</w:t>
        <w:br/>
        <w:t>2. 执行负责人：</w:t>
        <w:br/>
        <w:t xml:space="preserve">   - NC-2026-01：研发总监</w:t>
        <w:br/>
        <w:t xml:space="preserve">   - NC-2026-03：临床总监</w:t>
        <w:br/>
        <w:t>3. 关键里程碑：</w:t>
        <w:br/>
        <w:t xml:space="preserve">   - 第1周：完成根本原因分析</w:t>
        <w:br/>
        <w:t xml:space="preserve">   - 第2周：制定详细整改计划</w:t>
        <w:br/>
        <w:t xml:space="preserve">   - 第3-4周：实施纠正措施</w:t>
        <w:br/>
        <w:t xml:space="preserve">   - 第5-6周：实施预防措施</w:t>
        <w:br/>
        <w:t xml:space="preserve">   - 第7周：完成验证和总结</w:t>
        <w:br/>
        <w:br/>
        <w:t>六、预期成果</w:t>
        <w:br/>
        <w:t>1. 完善的风险管理体系</w:t>
        <w:br/>
        <w:t>2. 健全的软件变更控制流程</w:t>
        <w:br/>
        <w:t>3. 符合MDR要求的PMS计划</w:t>
        <w:br/>
        <w:t>4. 提升团队法规意识和执行能力</w:t>
        <w:br/>
        <w:t>5. 确保产品持续符合CE认证要求</w:t>
        <w:br/>
        <w:br/>
        <w:t>===============================================================================</w:t>
        <w:br/>
        <w:t>审核发现的不符合项</w:t>
        <w:br/>
        <w:t>===============================================================================</w:t>
        <w:br/>
        <w:br/>
        <w:t>NC-2026-01 (严重不符合 / Major)</w:t>
        <w:br/>
        <w:t>涉及条款：ISO 14971:2019 第 7.1 条 / MDR 附录 I 第 3 条</w:t>
        <w:br/>
        <w:t>不符合描述：审核员抽查了型号为 X-100 的高频电刀的风险管理文档（编号 RM-X100-02）。发现在最近一次的软件更新（版本 v2.1.0，涉及功率输出算法调整）后，制造商未能在风险分析（FMEA）中评估由于新算法导致输出功率异常波动的潜在风险。缺乏对新引入软件风险的识别和控制措施的客观证据。</w:t>
        <w:br/>
        <w:br/>
        <w:t>NC-2026-03 (轻微不符合 / Minor)</w:t>
        <w:br/>
        <w:t>涉及条款：MDR 第 83 条及附录 III</w:t>
        <w:br/>
        <w:t>不符合描述：上市后监督（PMS）计划（PMS-PL-001）中，被动数据收集（如客诉）描述完善。但在主动数据收集（Proactive data gathering）部分，仅泛泛提及"将关注行业数据库"，未针对该特定高风险植入器械明确主动收集数据的具体方法、频率以及需要监控的具体临床指标，不符合 MDR 对 PMS 计划的详细要求。</w:t>
        <w:br/>
        <w:br/>
        <w:t>报告编制：质量部</w:t>
        <w:br/>
        <w:t>审核：质量总监</w:t>
        <w:br/>
        <w:t>批准：总经理</w:t>
        <w:br/>
        <w:t>日期：2026年03月21日 审核类型：MDR CE 认证年度监督审核</w:t>
      </w:r>
      <w:r>
        <w:rPr>
          <w:color w:val="FF0000"/>
        </w:rPr>
        <w:t xml:space="preserve"> [AI 批注: 将文档标题扩展为"报告与整改方案"，并在开头添加完整的整改方案部分，然后列出原有的不符合项，形成完整的CAPA文档。]</w:t>
      </w:r>
    </w:p>
    <w:p w14:paraId="66186096" w14:textId="77777777" w:rsidR="008C5CB7" w:rsidRPr="008C5CB7" w:rsidRDefault="008C5CB7" w:rsidP="008C5CB7">
      <w:pPr>
        <w:ind w:firstLine="482"/>
      </w:pPr>
      <w:r w:rsidRPr="008C5CB7">
        <w:rPr>
          <w:b/>
          <w:bCs/>
        </w:rPr>
        <w:t>NC-2026-01 (</w:t>
      </w:r>
      <w:r w:rsidRPr="008C5CB7">
        <w:rPr>
          <w:b/>
          <w:bCs/>
        </w:rPr>
        <w:t>严重不符合</w:t>
      </w:r>
      <w:r w:rsidRPr="008C5CB7">
        <w:rPr>
          <w:b/>
          <w:bCs/>
        </w:rPr>
        <w:t xml:space="preserve"> / Major)</w:t>
      </w:r>
      <w:r w:rsidRPr="008C5CB7">
        <w:t xml:space="preserve"> </w:t>
      </w:r>
      <w:r w:rsidRPr="008C5CB7">
        <w:rPr>
          <w:b/>
          <w:bCs/>
        </w:rPr>
        <w:t>涉及条款</w:t>
      </w:r>
      <w:r w:rsidRPr="008C5CB7">
        <w:t>：</w:t>
      </w:r>
      <w:r w:rsidRPr="008C5CB7">
        <w:t xml:space="preserve">ISO 14971:2019 </w:t>
      </w:r>
      <w:r w:rsidRPr="008C5CB7">
        <w:t>第</w:t>
      </w:r>
      <w:r w:rsidRPr="008C5CB7">
        <w:t xml:space="preserve"> 7.1 </w:t>
      </w:r>
      <w:r w:rsidRPr="008C5CB7">
        <w:t>条</w:t>
      </w:r>
      <w:r w:rsidRPr="008C5CB7">
        <w:t xml:space="preserve"> / MDR </w:t>
      </w:r>
      <w:r w:rsidRPr="008C5CB7">
        <w:t>附录</w:t>
      </w:r>
      <w:r w:rsidRPr="008C5CB7">
        <w:t xml:space="preserve"> I </w:t>
      </w:r>
      <w:r w:rsidRPr="008C5CB7">
        <w:t>第</w:t>
      </w:r>
      <w:r w:rsidRPr="008C5CB7">
        <w:t xml:space="preserve"> 3 </w:t>
      </w:r>
      <w:r w:rsidRPr="008C5CB7">
        <w:t>条</w:t>
      </w:r>
      <w:r w:rsidRPr="008C5CB7">
        <w:t xml:space="preserve"> </w:t>
      </w:r>
      <w:r w:rsidRPr="008C5CB7">
        <w:rPr>
          <w:b/>
          <w:bCs/>
        </w:rPr>
        <w:t>不符合描述</w:t>
      </w:r>
      <w:r w:rsidRPr="008C5CB7">
        <w:t>：审核员抽查了型号为</w:t>
      </w:r>
      <w:r w:rsidRPr="008C5CB7">
        <w:t xml:space="preserve"> X-100 </w:t>
      </w:r>
      <w:r w:rsidRPr="008C5CB7">
        <w:t>的高频电刀的风险管理文档（编号</w:t>
      </w:r>
      <w:r w:rsidRPr="008C5CB7">
        <w:t xml:space="preserve"> RM-X100-02</w:t>
      </w:r>
      <w:r w:rsidRPr="008C5CB7">
        <w:t>）。发现在最近一次的软件更新（版本</w:t>
      </w:r>
      <w:r w:rsidRPr="008C5CB7">
        <w:t xml:space="preserve"> v2.1.0</w:t>
      </w:r>
      <w:r w:rsidRPr="008C5CB7">
        <w:t>，涉及功率输出算法调整）后，制造商未能在风险分析（</w:t>
      </w:r>
      <w:r w:rsidRPr="008C5CB7">
        <w:t>FMEA</w:t>
      </w:r>
      <w:r w:rsidRPr="008C5CB7">
        <w:t>）中评估由于新算法导致输出功率异常波动的潜在风险。缺乏对新引入软件风险的识别和控制措施的客观证据。</w:t>
      </w:r>
    </w:p>
    <w:p w14:paraId="503E4723" w14:textId="77777777" w:rsidR="008C5CB7" w:rsidRPr="008C5CB7" w:rsidRDefault="008C5CB7" w:rsidP="008C5CB7">
      <w:pPr>
        <w:ind w:firstLine="482"/>
      </w:pPr>
      <w:r w:rsidRPr="008C5CB7">
        <w:rPr>
          <w:b/>
          <w:bCs/>
        </w:rPr>
        <w:t>NC-2026-02 (</w:t>
      </w:r>
      <w:r w:rsidRPr="008C5CB7">
        <w:rPr>
          <w:b/>
          <w:bCs/>
        </w:rPr>
        <w:t>轻微不符合</w:t>
      </w:r>
      <w:r w:rsidRPr="008C5CB7">
        <w:rPr>
          <w:b/>
          <w:bCs/>
        </w:rPr>
        <w:t xml:space="preserve"> / Minor)</w:t>
      </w:r>
      <w:r w:rsidRPr="008C5CB7">
        <w:t xml:space="preserve"> </w:t>
      </w:r>
      <w:r w:rsidRPr="008C5CB7">
        <w:rPr>
          <w:b/>
          <w:bCs/>
        </w:rPr>
        <w:t>涉及条款</w:t>
      </w:r>
      <w:r w:rsidRPr="008C5CB7">
        <w:t>：</w:t>
      </w:r>
      <w:r w:rsidRPr="008C5CB7">
        <w:t xml:space="preserve">MEDDEV 2.7/1 Rev 4 </w:t>
      </w:r>
      <w:r w:rsidRPr="008C5CB7">
        <w:t>第</w:t>
      </w:r>
      <w:r w:rsidRPr="008C5CB7">
        <w:t xml:space="preserve"> 8 </w:t>
      </w:r>
      <w:r w:rsidRPr="008C5CB7">
        <w:t>节</w:t>
      </w:r>
      <w:r w:rsidRPr="008C5CB7">
        <w:t xml:space="preserve"> / MDR </w:t>
      </w:r>
      <w:r w:rsidRPr="008C5CB7">
        <w:t>附录</w:t>
      </w:r>
      <w:r w:rsidRPr="008C5CB7">
        <w:t xml:space="preserve"> XIV </w:t>
      </w:r>
      <w:r w:rsidRPr="008C5CB7">
        <w:rPr>
          <w:b/>
          <w:bCs/>
        </w:rPr>
        <w:t>不符合描述</w:t>
      </w:r>
      <w:r w:rsidRPr="008C5CB7">
        <w:t>：在抽查心脏起搏器电极导线的临床评价报告（</w:t>
      </w:r>
      <w:r w:rsidRPr="008C5CB7">
        <w:t>CER-2025-V2</w:t>
      </w:r>
      <w:r w:rsidRPr="008C5CB7">
        <w:t>）时，文献检索策略记录不完整。报告中列出了最终纳入的</w:t>
      </w:r>
      <w:r w:rsidRPr="008C5CB7">
        <w:t xml:space="preserve"> 15 </w:t>
      </w:r>
      <w:r w:rsidRPr="008C5CB7">
        <w:t>篇临床文献，但未提供明确的文献纳入和排除标准（</w:t>
      </w:r>
      <w:r w:rsidRPr="008C5CB7">
        <w:t>Inclusion/Exclusion Criteria</w:t>
      </w:r>
      <w:r w:rsidRPr="008C5CB7">
        <w:t>），也未记录在</w:t>
      </w:r>
      <w:r w:rsidRPr="008C5CB7">
        <w:t xml:space="preserve"> PubMed </w:t>
      </w:r>
      <w:r w:rsidRPr="008C5CB7">
        <w:t>等数据库中使用的具体布尔逻辑检索词，导致临床数据的收集过程无法完全复现。</w:t>
      </w:r>
    </w:p>
    <w:p w14:paraId="003BF218" w14:textId="77777777" w:rsidR="008C5CB7" w:rsidRPr="008C5CB7" w:rsidRDefault="008C5CB7" w:rsidP="008C5CB7">
      <w:pPr>
        <w:ind w:firstLine="482"/>
      </w:pPr>
      <w:r w:rsidRPr="008C5CB7">
        <w:rPr>
          <w:b/>
          <w:bCs/>
        </w:rPr>
        <w:t>NC-2026-03 (</w:t>
      </w:r>
      <w:r w:rsidRPr="008C5CB7">
        <w:rPr>
          <w:b/>
          <w:bCs/>
        </w:rPr>
        <w:t>轻微不符合</w:t>
      </w:r>
      <w:r w:rsidRPr="008C5CB7">
        <w:rPr>
          <w:b/>
          <w:bCs/>
        </w:rPr>
        <w:t xml:space="preserve"> / Minor)</w:t>
      </w:r>
      <w:r w:rsidRPr="008C5CB7">
        <w:t xml:space="preserve"> </w:t>
      </w:r>
      <w:r w:rsidRPr="008C5CB7">
        <w:rPr>
          <w:b/>
          <w:bCs/>
        </w:rPr>
        <w:t>涉及条款</w:t>
      </w:r>
      <w:r w:rsidRPr="008C5CB7">
        <w:t>：</w:t>
      </w:r>
      <w:r w:rsidRPr="008C5CB7">
        <w:t xml:space="preserve">MDR </w:t>
      </w:r>
      <w:r w:rsidRPr="008C5CB7">
        <w:t>第</w:t>
      </w:r>
      <w:r w:rsidRPr="008C5CB7">
        <w:t xml:space="preserve"> 83 </w:t>
      </w:r>
      <w:r w:rsidRPr="008C5CB7">
        <w:t>条及附录</w:t>
      </w:r>
      <w:r w:rsidRPr="008C5CB7">
        <w:t xml:space="preserve"> III </w:t>
      </w:r>
      <w:r w:rsidRPr="008C5CB7">
        <w:rPr>
          <w:b/>
          <w:bCs/>
        </w:rPr>
        <w:t>不符合描述</w:t>
      </w:r>
      <w:r w:rsidRPr="008C5CB7">
        <w:t>：上市后监督（</w:t>
      </w:r>
      <w:r w:rsidRPr="008C5CB7">
        <w:t>PMS</w:t>
      </w:r>
      <w:r w:rsidRPr="008C5CB7">
        <w:t>）计划（</w:t>
      </w:r>
      <w:r w:rsidRPr="008C5CB7">
        <w:t>PMS-PL-001</w:t>
      </w:r>
      <w:r w:rsidRPr="008C5CB7">
        <w:t>）中，被动数据收集（如客诉）描述完善。但在主动数据收集（</w:t>
      </w:r>
      <w:r w:rsidRPr="008C5CB7">
        <w:t>Proactive data gathering</w:t>
      </w:r>
      <w:r w:rsidRPr="008C5CB7">
        <w:t>）部分，仅泛泛提及</w:t>
      </w:r>
      <w:r w:rsidRPr="008C5CB7">
        <w:t>“</w:t>
      </w:r>
      <w:r w:rsidRPr="008C5CB7">
        <w:t>将关注行业数据库</w:t>
      </w:r>
      <w:r w:rsidRPr="008C5CB7">
        <w:t>”</w:t>
      </w:r>
      <w:r w:rsidRPr="008C5CB7">
        <w:t>，未针对该特定高风险植入器械明确主动收集数据的具体方法、频率以及需要监控的具体临床指标，不符合</w:t>
      </w:r>
      <w:r w:rsidRPr="008C5CB7">
        <w:t xml:space="preserve"> MDR </w:t>
      </w:r>
      <w:r w:rsidRPr="008C5CB7">
        <w:t>对</w:t>
      </w:r>
      <w:r w:rsidRPr="008C5CB7">
        <w:t xml:space="preserve"> PMS </w:t>
      </w:r>
      <w:r w:rsidRPr="008C5CB7">
        <w:t>计划的详细要求。</w:t>
      </w:r>
    </w:p>
    <w:p w14:paraId="420C8321" w14:textId="77777777" w:rsidR="00511810" w:rsidRPr="008C5CB7" w:rsidRDefault="00511810">
      <w:pPr>
        <w:ind w:firstLine="480"/>
      </w:pPr>
    </w:p>
    <w:sectPr w:rsidR="00511810" w:rsidRPr="008C5CB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D2585" w14:textId="77777777" w:rsidR="00CF127C" w:rsidRDefault="00CF127C" w:rsidP="008C5CB7">
      <w:pPr>
        <w:spacing w:line="240" w:lineRule="auto"/>
        <w:ind w:firstLine="480"/>
      </w:pPr>
      <w:r>
        <w:separator/>
      </w:r>
    </w:p>
  </w:endnote>
  <w:endnote w:type="continuationSeparator" w:id="0">
    <w:p w14:paraId="223F5CDB" w14:textId="77777777" w:rsidR="00CF127C" w:rsidRDefault="00CF127C" w:rsidP="008C5CB7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FCA3F" w14:textId="77777777" w:rsidR="008C5CB7" w:rsidRDefault="008C5CB7">
    <w:pPr>
      <w:pStyle w:val="af1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175B8" w14:textId="77777777" w:rsidR="008C5CB7" w:rsidRDefault="008C5CB7">
    <w:pPr>
      <w:pStyle w:val="af1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1875B" w14:textId="77777777" w:rsidR="008C5CB7" w:rsidRDefault="008C5CB7">
    <w:pPr>
      <w:pStyle w:val="af1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8D5AF" w14:textId="77777777" w:rsidR="00CF127C" w:rsidRDefault="00CF127C" w:rsidP="008C5CB7">
      <w:pPr>
        <w:spacing w:line="240" w:lineRule="auto"/>
        <w:ind w:firstLine="480"/>
      </w:pPr>
      <w:r>
        <w:separator/>
      </w:r>
    </w:p>
  </w:footnote>
  <w:footnote w:type="continuationSeparator" w:id="0">
    <w:p w14:paraId="2D32472B" w14:textId="77777777" w:rsidR="00CF127C" w:rsidRDefault="00CF127C" w:rsidP="008C5CB7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D1D80" w14:textId="77777777" w:rsidR="008C5CB7" w:rsidRDefault="008C5CB7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846ED" w14:textId="77777777" w:rsidR="008C5CB7" w:rsidRDefault="008C5CB7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7DBC4" w14:textId="77777777" w:rsidR="008C5CB7" w:rsidRDefault="008C5CB7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60639"/>
    <w:multiLevelType w:val="multilevel"/>
    <w:tmpl w:val="8CA2C2B2"/>
    <w:lvl w:ilvl="0">
      <w:start w:val="1"/>
      <w:numFmt w:val="chineseCountingThousand"/>
      <w:pStyle w:val="1"/>
      <w:suff w:val="space"/>
      <w:lvlText w:val="%1、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 w16cid:durableId="1669751061">
    <w:abstractNumId w:val="0"/>
  </w:num>
  <w:num w:numId="2" w16cid:durableId="937718715">
    <w:abstractNumId w:val="0"/>
  </w:num>
  <w:num w:numId="3" w16cid:durableId="119499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931"/>
    <w:rsid w:val="000E6931"/>
    <w:rsid w:val="003B50EC"/>
    <w:rsid w:val="004530D2"/>
    <w:rsid w:val="00511810"/>
    <w:rsid w:val="00537E94"/>
    <w:rsid w:val="005A40E9"/>
    <w:rsid w:val="00734609"/>
    <w:rsid w:val="008C5CB7"/>
    <w:rsid w:val="00AE23F0"/>
    <w:rsid w:val="00B634AA"/>
    <w:rsid w:val="00CF127C"/>
    <w:rsid w:val="00DD2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8A56649-B4AC-4CF6-A4E4-426262443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1810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11810"/>
    <w:pPr>
      <w:keepNext/>
      <w:keepLines/>
      <w:numPr>
        <w:numId w:val="3"/>
      </w:numPr>
      <w:spacing w:line="600" w:lineRule="auto"/>
      <w:ind w:firstLineChars="0" w:firstLine="0"/>
      <w:jc w:val="center"/>
      <w:outlineLvl w:val="0"/>
    </w:pPr>
    <w:rPr>
      <w:rFonts w:eastAsia="黑体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11810"/>
    <w:pPr>
      <w:keepNext/>
      <w:keepLines/>
      <w:numPr>
        <w:ilvl w:val="1"/>
        <w:numId w:val="3"/>
      </w:numPr>
      <w:ind w:firstLineChars="0" w:firstLine="0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11810"/>
    <w:pPr>
      <w:keepNext/>
      <w:keepLines/>
      <w:numPr>
        <w:ilvl w:val="2"/>
        <w:numId w:val="3"/>
      </w:numPr>
      <w:ind w:firstLineChars="0" w:firstLine="0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6931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6931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6931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6931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6931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693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1810"/>
    <w:rPr>
      <w:rFonts w:ascii="Times New Roman" w:eastAsia="黑体" w:hAnsi="Times New Roman"/>
      <w:b/>
      <w:bCs/>
      <w:kern w:val="44"/>
      <w:sz w:val="30"/>
      <w:szCs w:val="44"/>
      <w14:ligatures w14:val="none"/>
    </w:rPr>
  </w:style>
  <w:style w:type="character" w:customStyle="1" w:styleId="20">
    <w:name w:val="标题 2 字符"/>
    <w:basedOn w:val="a0"/>
    <w:link w:val="2"/>
    <w:uiPriority w:val="9"/>
    <w:rsid w:val="00511810"/>
    <w:rPr>
      <w:rFonts w:ascii="Times New Roman" w:eastAsia="宋体" w:hAnsi="Times New Roman" w:cstheme="majorBidi"/>
      <w:b/>
      <w:bCs/>
      <w:sz w:val="24"/>
      <w:szCs w:val="32"/>
      <w14:ligatures w14:val="none"/>
    </w:rPr>
  </w:style>
  <w:style w:type="character" w:customStyle="1" w:styleId="30">
    <w:name w:val="标题 3 字符"/>
    <w:basedOn w:val="a0"/>
    <w:link w:val="3"/>
    <w:uiPriority w:val="9"/>
    <w:rsid w:val="00511810"/>
    <w:rPr>
      <w:rFonts w:ascii="Times New Roman" w:eastAsia="宋体" w:hAnsi="Times New Roman"/>
      <w:b/>
      <w:bCs/>
      <w:sz w:val="24"/>
      <w:szCs w:val="32"/>
      <w14:ligatures w14:val="none"/>
    </w:rPr>
  </w:style>
  <w:style w:type="paragraph" w:styleId="a3">
    <w:name w:val="caption"/>
    <w:basedOn w:val="a"/>
    <w:next w:val="a"/>
    <w:autoRedefine/>
    <w:qFormat/>
    <w:rsid w:val="005A40E9"/>
    <w:pPr>
      <w:keepNext/>
      <w:keepLines/>
      <w:spacing w:before="200" w:after="240" w:line="200" w:lineRule="exact"/>
      <w:ind w:firstLineChars="0" w:firstLine="0"/>
      <w:jc w:val="center"/>
    </w:pPr>
    <w:rPr>
      <w:rFonts w:eastAsia="Times New Roman" w:cs="Times New Roman"/>
      <w:b/>
      <w:kern w:val="0"/>
      <w:sz w:val="20"/>
      <w:szCs w:val="20"/>
      <w:lang w:val="en-GB" w:eastAsia="en-US"/>
    </w:rPr>
  </w:style>
  <w:style w:type="character" w:customStyle="1" w:styleId="40">
    <w:name w:val="标题 4 字符"/>
    <w:basedOn w:val="a0"/>
    <w:link w:val="4"/>
    <w:uiPriority w:val="9"/>
    <w:semiHidden/>
    <w:rsid w:val="000E6931"/>
    <w:rPr>
      <w:rFonts w:cstheme="majorBidi"/>
      <w:color w:val="2F5496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0E6931"/>
    <w:rPr>
      <w:rFonts w:cstheme="majorBidi"/>
      <w:color w:val="2F5496" w:themeColor="accent1" w:themeShade="BF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0E6931"/>
    <w:rPr>
      <w:rFonts w:cstheme="majorBidi"/>
      <w:b/>
      <w:bCs/>
      <w:color w:val="2F5496" w:themeColor="accent1" w:themeShade="BF"/>
      <w:sz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0E6931"/>
    <w:rPr>
      <w:rFonts w:cstheme="majorBidi"/>
      <w:b/>
      <w:bCs/>
      <w:color w:val="595959" w:themeColor="text1" w:themeTint="A6"/>
      <w:sz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0E6931"/>
    <w:rPr>
      <w:rFonts w:cstheme="majorBidi"/>
      <w:color w:val="595959" w:themeColor="text1" w:themeTint="A6"/>
      <w:sz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0E6931"/>
    <w:rPr>
      <w:rFonts w:eastAsiaTheme="majorEastAsia" w:cstheme="majorBidi"/>
      <w:color w:val="595959" w:themeColor="text1" w:themeTint="A6"/>
      <w:sz w:val="24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0E693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0E693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0E6931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0E69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8">
    <w:name w:val="Quote"/>
    <w:basedOn w:val="a"/>
    <w:next w:val="a"/>
    <w:link w:val="a9"/>
    <w:uiPriority w:val="29"/>
    <w:qFormat/>
    <w:rsid w:val="000E69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0E6931"/>
    <w:rPr>
      <w:rFonts w:ascii="Times New Roman" w:eastAsia="宋体" w:hAnsi="Times New Roman"/>
      <w:i/>
      <w:iCs/>
      <w:color w:val="404040" w:themeColor="text1" w:themeTint="BF"/>
      <w:sz w:val="24"/>
      <w14:ligatures w14:val="none"/>
    </w:rPr>
  </w:style>
  <w:style w:type="paragraph" w:styleId="aa">
    <w:name w:val="List Paragraph"/>
    <w:basedOn w:val="a"/>
    <w:uiPriority w:val="34"/>
    <w:qFormat/>
    <w:rsid w:val="000E6931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0E6931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E69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0E6931"/>
    <w:rPr>
      <w:rFonts w:ascii="Times New Roman" w:eastAsia="宋体" w:hAnsi="Times New Roman"/>
      <w:i/>
      <w:iCs/>
      <w:color w:val="2F5496" w:themeColor="accent1" w:themeShade="BF"/>
      <w:sz w:val="24"/>
      <w14:ligatures w14:val="none"/>
    </w:rPr>
  </w:style>
  <w:style w:type="character" w:styleId="ae">
    <w:name w:val="Intense Reference"/>
    <w:basedOn w:val="a0"/>
    <w:uiPriority w:val="32"/>
    <w:qFormat/>
    <w:rsid w:val="000E6931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8C5CB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8C5CB7"/>
    <w:rPr>
      <w:rFonts w:ascii="Times New Roman" w:eastAsia="宋体" w:hAnsi="Times New Roman"/>
      <w:sz w:val="18"/>
      <w:szCs w:val="18"/>
      <w14:ligatures w14:val="none"/>
    </w:rPr>
  </w:style>
  <w:style w:type="paragraph" w:styleId="af1">
    <w:name w:val="footer"/>
    <w:basedOn w:val="a"/>
    <w:link w:val="af2"/>
    <w:uiPriority w:val="99"/>
    <w:unhideWhenUsed/>
    <w:rsid w:val="008C5CB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8C5CB7"/>
    <w:rPr>
      <w:rFonts w:ascii="Times New Roman" w:eastAsia="宋体" w:hAnsi="Times New Roman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鹏亮 刘</dc:creator>
  <cp:keywords/>
  <dc:description/>
  <cp:lastModifiedBy>鹏亮 刘</cp:lastModifiedBy>
  <cp:revision>2</cp:revision>
  <dcterms:created xsi:type="dcterms:W3CDTF">2026-03-21T11:11:00Z</dcterms:created>
  <dcterms:modified xsi:type="dcterms:W3CDTF">2026-03-21T11:12:00Z</dcterms:modified>
</cp:coreProperties>
</file>