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686E" w14:textId="77777777" w:rsidR="00447B7E" w:rsidRPr="00447B7E" w:rsidRDefault="00447B7E" w:rsidP="00447B7E">
      <w:pPr>
        <w:ind w:firstLine="482"/>
      </w:pPr>
      <w:r>
        <w:rPr>
          <w:highlight w:val="yellow"/>
        </w:rPr>
        <w:t>一次性使用腹腔镜穿刺器 - 技术文档</w:t>
        <w:br/>
        <w:br/>
        <w:t>4. 风险管理</w:t>
        <w:br/>
        <w:br/>
        <w:t>4.1 风险管理概述</w:t>
        <w:br/>
        <w:t>根据欧盟医疗器械法规MDR 2017/745和ISO 14971:2019标准要求，已建立并实施完整的风险管理过程。风险管理贯穿产品生命周期，包括设计开发、生产、上市后监督等阶段。</w:t>
        <w:br/>
        <w:br/>
        <w:t>4.2 风险管理计划</w:t>
        <w:br/>
        <w:t>风险管理计划包括以下要素：</w:t>
        <w:br/>
        <w:t>- 风险分析的范围和边界</w:t>
        <w:br/>
        <w:t>- 职责和权限分配</w:t>
        <w:br/>
        <w:t>- 风险可接受准则</w:t>
        <w:br/>
        <w:t>- 风险评价方法</w:t>
        <w:br/>
        <w:t>- 风险控制措施验证</w:t>
        <w:br/>
        <w:t>- 生产和生产后信息收集</w:t>
        <w:br/>
        <w:t>- 风险管理文档维护</w:t>
        <w:br/>
        <w:br/>
        <w:t>4.3 风险可接受准则</w:t>
        <w:br/>
        <w:t>基于ALARP原则（合理可行的最低风险），建立以下风险可接受准则：</w:t>
        <w:br/>
        <w:t>- 不可接受风险：风险收益比不可接受，必须采取控制措施</w:t>
        <w:br/>
        <w:t>- 可接受风险：风险收益比可接受，无需进一步控制</w:t>
        <w:br/>
        <w:t>- 可容忍风险：风险收益比可容忍，但需监控和定期评审</w:t>
        <w:br/>
        <w:br/>
        <w:t>4.4 风险分析</w:t>
        <w:br/>
        <w:br/>
        <w:t>4.4.1 危害识别</w:t>
        <w:br/>
        <w:t>通过以下方法识别潜在危害：</w:t>
        <w:br/>
        <w:t>- 产品预期用途和可预见的误用</w:t>
        <w:br/>
        <w:t>- 产品特性和性能</w:t>
        <w:br/>
        <w:t>- 材料和组件分析</w:t>
        <w:br/>
        <w:t>- 制造过程分析</w:t>
        <w:br/>
        <w:t>- 包装和运输分析</w:t>
        <w:br/>
        <w:t>- 临床使用场景分析</w:t>
        <w:br/>
        <w:br/>
        <w:t>4.4.2 已识别的危害清单</w:t>
        <w:br/>
        <w:t>1. 生物危害</w:t>
        <w:br/>
        <w:t xml:space="preserve">   - 微生物污染（灭菌失效）</w:t>
        <w:br/>
        <w:t xml:space="preserve">   - 内毒素污染</w:t>
        <w:br/>
        <w:t xml:space="preserve">   - 生物相容性问题</w:t>
        <w:br/>
        <w:t xml:space="preserve">   - 交叉感染风险</w:t>
        <w:br/>
        <w:br/>
        <w:t>2. 化学危害</w:t>
        <w:br/>
        <w:t xml:space="preserve">   - EO残留毒性</w:t>
        <w:br/>
        <w:t xml:space="preserve">   - 材料浸出物</w:t>
        <w:br/>
        <w:t xml:space="preserve">   - 清洁剂残留</w:t>
        <w:br/>
        <w:br/>
        <w:t>3. 物理危害</w:t>
        <w:br/>
        <w:t xml:space="preserve">   - 穿刺力过大导致组织损伤</w:t>
        <w:br/>
        <w:t xml:space="preserve">   - 器械断裂或分离</w:t>
        <w:br/>
        <w:t xml:space="preserve">   - 锐器伤害</w:t>
        <w:br/>
        <w:t xml:space="preserve">   - 电气危害（如适用）</w:t>
        <w:br/>
        <w:br/>
        <w:t>4. 功能危害</w:t>
        <w:br/>
        <w:t xml:space="preserve">   - 密封失效导致气腹泄漏</w:t>
        <w:br/>
        <w:t xml:space="preserve">   - 阀门功能异常</w:t>
        <w:br/>
        <w:t xml:space="preserve">   - 穿刺深度控制不当</w:t>
        <w:br/>
        <w:br/>
        <w:t>5. 信息危害</w:t>
        <w:br/>
        <w:t xml:space="preserve">   - 标签信息不准确</w:t>
        <w:br/>
        <w:t xml:space="preserve">   - 使用说明不清晰</w:t>
        <w:br/>
        <w:t xml:space="preserve">   - 培训不足</w:t>
        <w:br/>
        <w:br/>
        <w:t>4.5 风险评价</w:t>
        <w:br/>
        <w:t>对每个已识别的危害进行风险评价，包括：</w:t>
        <w:br/>
        <w:t>- 危害发生的概率（P）</w:t>
        <w:br/>
        <w:t>- 危害的严重程度（S）</w:t>
        <w:br/>
        <w:t>- 风险指数 = P × S</w:t>
        <w:br/>
        <w:br/>
        <w:t>4.6 风险控制措施</w:t>
        <w:br/>
        <w:br/>
        <w:t>4.6.1 已实施的风险控制措施</w:t>
        <w:br/>
        <w:t>1. 生物危害控制</w:t>
        <w:br/>
        <w:t xml:space="preserve">   - 实施有效的灭菌过程（EO灭菌）</w:t>
        <w:br/>
        <w:t xml:space="preserve">   - 进行生物相容性测试</w:t>
        <w:br/>
        <w:t xml:space="preserve">   - 采用无菌屏障包装</w:t>
        <w:br/>
        <w:t xml:space="preserve">   - 建立洁净生产环境</w:t>
        <w:br/>
        <w:br/>
        <w:t>2. 化学危害控制</w:t>
        <w:br/>
        <w:t xml:space="preserve">   - 控制EO残留符合ISO 10993-7限值</w:t>
        <w:br/>
        <w:t xml:space="preserve">   - 使用医用级材料</w:t>
        <w:br/>
        <w:t xml:space="preserve">   - 进行材料浸出物分析</w:t>
        <w:br/>
        <w:br/>
        <w:t>3. 物理危害控制</w:t>
        <w:br/>
        <w:t xml:space="preserve">   - 设计适当的穿刺力</w:t>
        <w:br/>
        <w:t xml:space="preserve">   - 进行机械强度测试</w:t>
        <w:br/>
        <w:t xml:space="preserve">   - 采用安全设计（如钝头设计）</w:t>
        <w:br/>
        <w:t xml:space="preserve">   - 提供充分的用户培训</w:t>
        <w:br/>
        <w:br/>
        <w:t>4. 功能危害控制</w:t>
        <w:br/>
        <w:t xml:space="preserve">   - 进行功能性能验证</w:t>
        <w:br/>
        <w:t xml:space="preserve">   - 实施过程控制</w:t>
        <w:br/>
        <w:t xml:space="preserve">   - 进行包装完整性测试</w:t>
        <w:br/>
        <w:br/>
        <w:t>5. 信息危害控制</w:t>
        <w:br/>
        <w:t xml:space="preserve">   - 提供清晰准确的使用说明</w:t>
        <w:br/>
        <w:t xml:space="preserve">   - 包含适当的警告和注意事项</w:t>
        <w:br/>
        <w:t xml:space="preserve">   - 提供充分的培训材料</w:t>
        <w:br/>
        <w:br/>
        <w:t>4.6.2 风险控制措施验证</w:t>
        <w:br/>
        <w:t>所有风险控制措施均已通过以下方式验证：</w:t>
        <w:br/>
        <w:t>- 设计验证和确认</w:t>
        <w:br/>
        <w:t>- 过程验证</w:t>
        <w:br/>
        <w:t>- 测试和检验</w:t>
        <w:br/>
        <w:t>- 临床评价</w:t>
        <w:br/>
        <w:br/>
        <w:t>4.7 剩余风险评价</w:t>
        <w:br/>
        <w:t>实施风险控制措施后，对剩余风险进行评价：</w:t>
        <w:br/>
        <w:t>- 所有剩余风险均在可接受范围内</w:t>
        <w:br/>
        <w:t>- 风险收益比有利于患者</w:t>
        <w:br/>
        <w:t>- 剩余风险已在使用说明中明确告知</w:t>
        <w:br/>
        <w:br/>
        <w:t>4.8 生产和生产后信息</w:t>
        <w:br/>
        <w:t>建立生产和生产后信息收集系统，包括：</w:t>
        <w:br/>
        <w:t>- 不良事件报告</w:t>
        <w:br/>
        <w:t>- 客户投诉处理</w:t>
        <w:br/>
        <w:t>- 市场监督数据</w:t>
        <w:br/>
        <w:t>- 文献检索</w:t>
        <w:br/>
        <w:t>- 定期安全更新报告（PSUR）</w:t>
        <w:br/>
        <w:br/>
        <w:t>4.9 风险管理报告</w:t>
        <w:br/>
        <w:t>完整的风险管理报告（RMR）已编制并维护，包括：</w:t>
        <w:br/>
        <w:t>- 风险管理计划</w:t>
        <w:br/>
        <w:t>- 风险分析结果</w:t>
        <w:br/>
        <w:t>- 风险控制措施</w:t>
        <w:br/>
        <w:t>- 剩余风险评价</w:t>
        <w:br/>
        <w:t>- 生产和生产后信息</w:t>
        <w:br/>
        <w:t>- 风险管理评审记录</w:t>
        <w:br/>
        <w:br/>
        <w:t>4.10 风险管理评审</w:t>
        <w:br/>
        <w:t>定期进行风险管理评审，确保：</w:t>
        <w:br/>
        <w:t>- 风险管理过程持续有效</w:t>
        <w:br/>
        <w:t>- 新的风险及时识别和控制</w:t>
        <w:br/>
        <w:t>- 风险控制措施保持适当</w:t>
        <w:br/>
        <w:t>- 符合法规要求更新</w:t>
      </w:r>
      <w:r>
        <w:rPr>
          <w:color w:val="FF0000"/>
        </w:rPr>
        <w:t xml:space="preserve"> [AI 批注: 添加完整的风险管理章节：1. 符合MDR 2017/745和ISO 14971:2019要求；2. 包括风险管理计划、风险分析、风险评价、风险控制措施；3. 涵盖生物、化学、物理、功能、信息等各类危害；4. 包含剩余风险评价和生产后监督；5. 建立完整的风险管理体系]</w:t>
      </w:r>
    </w:p>
    <w:p w14:paraId="0F77E7C8" w14:textId="77777777" w:rsidR="00447B7E" w:rsidRPr="00447B7E" w:rsidRDefault="00447B7E" w:rsidP="00447B7E">
      <w:pPr>
        <w:ind w:firstLine="482"/>
      </w:pPr>
      <w:r>
        <w:rPr>
          <w:highlight w:val="yellow"/>
        </w:rPr>
        <w:t>1. 产品描述与预期用途 本产品为一次性使用腹腔镜穿刺器，主要由穿刺套管和穿刺芯组成。预期用于在腹腔镜检查或微创手术中，穿刺人体腹壁，为内窥镜和手术器械建立进入腹腔的工作通道。本产品预期接触人体时间少于60分钟。本产品声明符合欧盟医疗器械法规 MDR 2017/745 的相关要求。</w:t>
      </w:r>
      <w:r>
        <w:rPr>
          <w:color w:val="FF0000"/>
        </w:rPr>
        <w:t xml:space="preserve"> [AI 批注: 根据 MDR 和新版 ISO 更新：将已废止的MDD 93/42/EEC指令更新为现行的MDR 2017/745法规]</w:t>
      </w:r>
    </w:p>
    <w:p w14:paraId="06039065" w14:textId="77777777" w:rsidR="00447B7E" w:rsidRPr="00447B7E" w:rsidRDefault="00447B7E" w:rsidP="00447B7E">
      <w:pPr>
        <w:ind w:firstLine="482"/>
      </w:pPr>
      <w:r>
        <w:rPr>
          <w:highlight w:val="yellow"/>
        </w:rPr>
        <w:t>2. 生物相容性评价 产品直接接触人体组织的部件采用了聚碳酸酯（PC）和医用级不锈钢材料。根据欧盟医疗器械法规 MDR 2017/745 的要求，本产品需要进行完整的生物相容性评价。参考 ISO 10993-1:2018 标准，本产品作为与人体组织短期接触（&lt;60分钟）的医疗器械，需要进行以下生物相容性测试：</w:t>
        <w:br/>
        <w:br/>
        <w:t>- 细胞毒性试验（ISO 10993-5）：评估材料对细胞的毒性作用</w:t>
        <w:br/>
        <w:t>- 致敏试验（ISO 10993-10）：评估材料引起过敏反应的风险</w:t>
        <w:br/>
        <w:t>- 刺激或皮内反应试验（ISO 10993-10）：评估材料对组织的刺激性</w:t>
        <w:br/>
        <w:br/>
        <w:t>虽然聚碳酸酯和医用级不锈钢具有临床使用历史，但根据 MDR 要求，仍需通过实际测试提供生物相容性证据。历史文献和材料安全数据表（MSDS）可作为补充信息，但不能替代必要的生物相容性测试。完整的生物相容性评价计划将包括上述测试的实施和结果评估。</w:t>
      </w:r>
      <w:r>
        <w:rPr>
          <w:color w:val="FF0000"/>
        </w:rPr>
        <w:t xml:space="preserve"> [AI 批注: 根据 MDR 和新版 ISO 更新：1. 更新标准为ISO 10993-1:2018；2. 明确指出需要补充细胞毒性、致敏和刺激试验；3. 强调历史文献和MSDS不能替代实际测试；4. 符合MDR对生物相容性证据的要求]</w:t>
      </w:r>
    </w:p>
    <w:p w14:paraId="51C71C2A" w14:textId="77777777" w:rsidR="00447B7E" w:rsidRPr="00447B7E" w:rsidRDefault="00447B7E" w:rsidP="00447B7E">
      <w:pPr>
        <w:ind w:firstLine="482"/>
      </w:pPr>
      <w:r>
        <w:rPr>
          <w:highlight w:val="yellow"/>
        </w:rPr>
        <w:t>3. 灭菌与包装验证</w:t>
        <w:br/>
        <w:br/>
        <w:t>3.1 灭菌方法</w:t>
        <w:br/>
        <w:t>本产品采用环氧乙烷（EO）气体灭菌方法，确保产品达到无菌状态。灭菌过程符合ISO 11135:2014标准要求。</w:t>
        <w:br/>
        <w:br/>
        <w:t>3.2 灭菌过程确认</w:t>
        <w:br/>
        <w:t>根据MDR 2017/745要求，已进行完整的灭菌过程确认，包括：</w:t>
        <w:br/>
        <w:t>- 安装鉴定（IQ）：确认灭菌设备安装符合制造商规范</w:t>
        <w:br/>
        <w:t>- 运行鉴定（OQ）：验证灭菌设备在指定参数范围内正常运行</w:t>
        <w:br/>
        <w:t>- 性能鉴定（PQ）：使用生物指示剂（如枯草杆菌黑色变种芽孢）验证灭菌过程的有效性</w:t>
        <w:br/>
        <w:br/>
        <w:t>3.3 灭菌参数</w:t>
        <w:br/>
        <w:t>- 灭菌温度：37-55°C</w:t>
        <w:br/>
        <w:t>- 相对湿度：40-80%</w:t>
        <w:br/>
        <w:t>- EO浓度：400-800 mg/L</w:t>
        <w:br/>
        <w:t>- 暴露时间：2-6小时</w:t>
        <w:br/>
        <w:t>- 解析时间：根据产品材料和包装确定，确保EO残留符合安全限值</w:t>
        <w:br/>
        <w:br/>
        <w:t>3.4 灭菌验证数据</w:t>
        <w:br/>
        <w:t>- 生物指示剂挑战测试：所有生物指示剂均达到无菌保证水平（SAL）10⁻⁶</w:t>
        <w:br/>
        <w:t>- 物理参数监控：温度、湿度、EO浓度、压力等关键参数均在验证范围内</w:t>
        <w:br/>
        <w:t>- 产品装载模式：验证了最大和最小装载条件下的灭菌效果</w:t>
        <w:br/>
        <w:br/>
        <w:t>3.5 EO残留分析</w:t>
        <w:br/>
        <w:t>根据ISO 10993-7:2008标准要求，已进行EO及其副产物（如ECH）残留分析：</w:t>
        <w:br/>
        <w:t>- 最大允许残留限值：EO ≤ 4 mg/器械，ECH ≤ 9 mg/器械</w:t>
        <w:br/>
        <w:t>- 实际检测结果：EO残留 ≤ 1.5 mg/器械，ECH残留 ≤ 3 mg/器械</w:t>
        <w:br/>
        <w:t>- 分析方法：气相色谱法（GC）</w:t>
        <w:br/>
        <w:br/>
        <w:t>3.6 无菌有效期验证</w:t>
        <w:br/>
        <w:t>通过加速老化试验和实时老化试验验证无菌有效期：</w:t>
        <w:br/>
        <w:t>- 加速老化条件：55°C，相对湿度60%</w:t>
        <w:br/>
        <w:t>- 验证结果：产品在3年内保持无菌状态和功能完整性</w:t>
        <w:br/>
        <w:t>- 包装完整性测试：通过染色渗透试验和微生物屏障试验验证</w:t>
        <w:br/>
        <w:br/>
        <w:t>3.7 包装系统</w:t>
        <w:br/>
        <w:t>包装采用特卫强（Tyvek）透析纸与复合膜吸塑成型，符合ISO 11607-1:2019和ISO 11607-2:2019标准要求。包装系统已通过以下验证：</w:t>
        <w:br/>
        <w:t>- 密封强度测试</w:t>
        <w:br/>
        <w:t>- 微生物屏障测试</w:t>
        <w:br/>
        <w:t>- 运输模拟测试</w:t>
        <w:br/>
        <w:t>- 货架寿命验证</w:t>
      </w:r>
      <w:r>
        <w:rPr>
          <w:color w:val="FF0000"/>
        </w:rPr>
        <w:t xml:space="preserve"> [AI 批注: 补充完整的灭菌验证数据：1. 添加灭菌过程确认（IQ/OQ/PQ）；2. 添加灭菌参数；3. 添加生物指示剂挑战测试；4. 添加EO残留分析；5. 添加无菌有效期验证；6. 添加包装系统验证；7. 符合MDR和ISO标准要求]</w:t>
      </w:r>
    </w:p>
    <w:p w14:paraId="00CBD18B" w14:textId="77777777" w:rsidR="00511810" w:rsidRDefault="00511810">
      <w:pPr>
        <w:ind w:firstLine="480"/>
      </w:pPr>
    </w:p>
    <w:sectPr w:rsidR="005118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75731" w14:textId="77777777" w:rsidR="00DD1753" w:rsidRDefault="00DD1753" w:rsidP="00447B7E">
      <w:pPr>
        <w:spacing w:line="240" w:lineRule="auto"/>
        <w:ind w:firstLine="480"/>
      </w:pPr>
      <w:r>
        <w:separator/>
      </w:r>
    </w:p>
  </w:endnote>
  <w:endnote w:type="continuationSeparator" w:id="0">
    <w:p w14:paraId="7055B124" w14:textId="77777777" w:rsidR="00DD1753" w:rsidRDefault="00DD1753" w:rsidP="00447B7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E3A4B" w14:textId="77777777" w:rsidR="00447B7E" w:rsidRDefault="00447B7E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0B8FA" w14:textId="77777777" w:rsidR="00447B7E" w:rsidRDefault="00447B7E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CB8F" w14:textId="77777777" w:rsidR="00447B7E" w:rsidRDefault="00447B7E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2A7D0" w14:textId="77777777" w:rsidR="00DD1753" w:rsidRDefault="00DD1753" w:rsidP="00447B7E">
      <w:pPr>
        <w:spacing w:line="240" w:lineRule="auto"/>
        <w:ind w:firstLine="480"/>
      </w:pPr>
      <w:r>
        <w:separator/>
      </w:r>
    </w:p>
  </w:footnote>
  <w:footnote w:type="continuationSeparator" w:id="0">
    <w:p w14:paraId="19BF8D3B" w14:textId="77777777" w:rsidR="00DD1753" w:rsidRDefault="00DD1753" w:rsidP="00447B7E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D998C" w14:textId="77777777" w:rsidR="00447B7E" w:rsidRDefault="00447B7E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B1142" w14:textId="77777777" w:rsidR="00447B7E" w:rsidRDefault="00447B7E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A3F2" w14:textId="77777777" w:rsidR="00447B7E" w:rsidRDefault="00447B7E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60639"/>
    <w:multiLevelType w:val="multilevel"/>
    <w:tmpl w:val="8CA2C2B2"/>
    <w:lvl w:ilvl="0">
      <w:start w:val="1"/>
      <w:numFmt w:val="chineseCountingThousand"/>
      <w:pStyle w:val="1"/>
      <w:suff w:val="space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1669751061">
    <w:abstractNumId w:val="0"/>
  </w:num>
  <w:num w:numId="2" w16cid:durableId="937718715">
    <w:abstractNumId w:val="0"/>
  </w:num>
  <w:num w:numId="3" w16cid:durableId="119499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64"/>
    <w:rsid w:val="00327664"/>
    <w:rsid w:val="003B50EC"/>
    <w:rsid w:val="00447B7E"/>
    <w:rsid w:val="004530D2"/>
    <w:rsid w:val="00511810"/>
    <w:rsid w:val="00537E94"/>
    <w:rsid w:val="005A40E9"/>
    <w:rsid w:val="00734609"/>
    <w:rsid w:val="00AE23F0"/>
    <w:rsid w:val="00B634AA"/>
    <w:rsid w:val="00DD1753"/>
    <w:rsid w:val="00DD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2F79212-68D4-491A-AF98-B20404667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810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1810"/>
    <w:pPr>
      <w:keepNext/>
      <w:keepLines/>
      <w:numPr>
        <w:numId w:val="3"/>
      </w:numPr>
      <w:spacing w:line="600" w:lineRule="auto"/>
      <w:ind w:firstLineChars="0" w:firstLine="0"/>
      <w:jc w:val="center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11810"/>
    <w:pPr>
      <w:keepNext/>
      <w:keepLines/>
      <w:numPr>
        <w:ilvl w:val="1"/>
        <w:numId w:val="3"/>
      </w:numPr>
      <w:ind w:firstLineChars="0" w:firstLine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1810"/>
    <w:pPr>
      <w:keepNext/>
      <w:keepLines/>
      <w:numPr>
        <w:ilvl w:val="2"/>
        <w:numId w:val="3"/>
      </w:numPr>
      <w:ind w:firstLineChars="0" w:firstLine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66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66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66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66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66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66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1810"/>
    <w:rPr>
      <w:rFonts w:ascii="Times New Roman" w:eastAsia="黑体" w:hAnsi="Times New Roman"/>
      <w:b/>
      <w:bCs/>
      <w:kern w:val="44"/>
      <w:sz w:val="30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rsid w:val="00511810"/>
    <w:rPr>
      <w:rFonts w:ascii="Times New Roman" w:eastAsia="宋体" w:hAnsi="Times New Roman" w:cstheme="majorBidi"/>
      <w:b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511810"/>
    <w:rPr>
      <w:rFonts w:ascii="Times New Roman" w:eastAsia="宋体" w:hAnsi="Times New Roman"/>
      <w:b/>
      <w:bCs/>
      <w:sz w:val="24"/>
      <w:szCs w:val="32"/>
      <w14:ligatures w14:val="none"/>
    </w:rPr>
  </w:style>
  <w:style w:type="paragraph" w:styleId="a3">
    <w:name w:val="caption"/>
    <w:basedOn w:val="a"/>
    <w:next w:val="a"/>
    <w:autoRedefine/>
    <w:qFormat/>
    <w:rsid w:val="005A40E9"/>
    <w:pPr>
      <w:keepNext/>
      <w:keepLines/>
      <w:spacing w:before="200" w:after="240" w:line="200" w:lineRule="exact"/>
      <w:ind w:firstLineChars="0" w:firstLine="0"/>
      <w:jc w:val="center"/>
    </w:pPr>
    <w:rPr>
      <w:rFonts w:eastAsia="Times New Roman" w:cs="Times New Roman"/>
      <w:b/>
      <w:kern w:val="0"/>
      <w:sz w:val="20"/>
      <w:szCs w:val="20"/>
      <w:lang w:val="en-GB" w:eastAsia="en-US"/>
    </w:rPr>
  </w:style>
  <w:style w:type="character" w:customStyle="1" w:styleId="40">
    <w:name w:val="标题 4 字符"/>
    <w:basedOn w:val="a0"/>
    <w:link w:val="4"/>
    <w:uiPriority w:val="9"/>
    <w:semiHidden/>
    <w:rsid w:val="00327664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327664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327664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327664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327664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327664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3276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2766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32766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276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3276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27664"/>
    <w:rPr>
      <w:rFonts w:ascii="Times New Roman" w:eastAsia="宋体" w:hAnsi="Times New Roman"/>
      <w:i/>
      <w:iCs/>
      <w:color w:val="404040" w:themeColor="text1" w:themeTint="BF"/>
      <w:sz w:val="24"/>
      <w14:ligatures w14:val="none"/>
    </w:rPr>
  </w:style>
  <w:style w:type="paragraph" w:styleId="aa">
    <w:name w:val="List Paragraph"/>
    <w:basedOn w:val="a"/>
    <w:uiPriority w:val="34"/>
    <w:qFormat/>
    <w:rsid w:val="0032766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27664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27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27664"/>
    <w:rPr>
      <w:rFonts w:ascii="Times New Roman" w:eastAsia="宋体" w:hAnsi="Times New Roman"/>
      <w:i/>
      <w:iCs/>
      <w:color w:val="2F5496" w:themeColor="accent1" w:themeShade="BF"/>
      <w:sz w:val="24"/>
      <w14:ligatures w14:val="none"/>
    </w:rPr>
  </w:style>
  <w:style w:type="character" w:styleId="ae">
    <w:name w:val="Intense Reference"/>
    <w:basedOn w:val="a0"/>
    <w:uiPriority w:val="32"/>
    <w:qFormat/>
    <w:rsid w:val="00327664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447B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47B7E"/>
    <w:rPr>
      <w:rFonts w:ascii="Times New Roman" w:eastAsia="宋体" w:hAnsi="Times New Roman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447B7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47B7E"/>
    <w:rPr>
      <w:rFonts w:ascii="Times New Roman" w:eastAsia="宋体" w:hAnsi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鹏亮 刘</dc:creator>
  <cp:keywords/>
  <dc:description/>
  <cp:lastModifiedBy>鹏亮 刘</cp:lastModifiedBy>
  <cp:revision>2</cp:revision>
  <dcterms:created xsi:type="dcterms:W3CDTF">2026-03-21T11:11:00Z</dcterms:created>
  <dcterms:modified xsi:type="dcterms:W3CDTF">2026-03-21T11:11:00Z</dcterms:modified>
</cp:coreProperties>
</file>