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9686E" w14:textId="77777777" w:rsidR="00447B7E" w:rsidRPr="00447B7E" w:rsidRDefault="00447B7E" w:rsidP="00447B7E">
      <w:pPr>
        <w:ind w:firstLine="482"/>
      </w:pPr>
      <w:r w:rsidRPr="00447B7E">
        <w:rPr>
          <w:b/>
          <w:bCs/>
        </w:rPr>
        <w:t>一次性使用腹腔镜穿刺器</w:t>
      </w:r>
      <w:r w:rsidRPr="00447B7E">
        <w:rPr>
          <w:b/>
          <w:bCs/>
        </w:rPr>
        <w:t xml:space="preserve"> - </w:t>
      </w:r>
      <w:r w:rsidRPr="00447B7E">
        <w:rPr>
          <w:b/>
          <w:bCs/>
        </w:rPr>
        <w:t>技术文档</w:t>
      </w:r>
    </w:p>
    <w:p w14:paraId="0F77E7C8" w14:textId="77777777" w:rsidR="00447B7E" w:rsidRPr="00447B7E" w:rsidRDefault="00447B7E" w:rsidP="00447B7E">
      <w:pPr>
        <w:ind w:firstLine="482"/>
      </w:pPr>
      <w:r>
        <w:rPr>
          <w:highlight w:val="yellow"/>
        </w:rPr>
        <w:t xml:space="preserve">1. 产品描述与预期用途 </w:t>
        <w:br/>
        <w:br/>
        <w:t>1.1 产品描述</w:t>
        <w:br/>
        <w:t>本产品为一次性使用腹腔镜穿刺器，主要由穿刺套管和穿刺芯组成。产品采用符合医疗器械要求的材料制造，确保在临床使用中的安全性和有效性。</w:t>
        <w:br/>
        <w:br/>
        <w:t>1.2 预期用途</w:t>
        <w:br/>
        <w:t>本产品预期用于在腹腔镜检查或微创手术中，穿刺人体腹壁，为内窥镜和手术器械建立进入腹腔的工作通道。产品适用于：</w:t>
        <w:br/>
        <w:t>- 腹腔镜胆囊切除术</w:t>
        <w:br/>
        <w:t>- 腹腔镜阑尾切除术</w:t>
        <w:br/>
        <w:t>- 腹腔镜妇科手术</w:t>
        <w:br/>
        <w:t>- 其他需要建立腹腔工作通道的微创手术</w:t>
        <w:br/>
        <w:br/>
        <w:t>1.3 使用限制</w:t>
        <w:br/>
        <w:t>- 本产品为一次性使用医疗器械，严禁重复使用</w:t>
        <w:br/>
        <w:t>- 本产品预期接触人体时间少于60分钟</w:t>
        <w:br/>
        <w:t>- 仅限由经过专业培训的医疗专业人员在医疗机构内使用</w:t>
        <w:br/>
        <w:t>- 不适用于存在严重腹腔粘连、腹膜炎等特殊情况的患者</w:t>
        <w:br/>
        <w:br/>
        <w:t>1.4 法规符合性声明</w:t>
        <w:br/>
        <w:t>本产品声明符合以下欧盟医疗器械法规要求：</w:t>
        <w:br/>
        <w:t>- 欧盟医疗器械法规 (EU) 2017/745 (MDR)</w:t>
        <w:br/>
        <w:t>- 医疗器械分类：根据MDR附录VIII规则6，本产品属于IIa类医疗器械</w:t>
        <w:br/>
        <w:t>- 符合性评估：根据MDR第52条，通过公告机构进行符合性评估</w:t>
        <w:br/>
        <w:t>- 基本安全和性能要求：完全符合MDR附录I规定的基本安全和性能要求</w:t>
        <w:br/>
        <w:t>- 技术文档：已按照MDR附录II和III的要求建立完整的技术文档</w:t>
        <w:br/>
        <w:br/>
        <w:t>1.5 产品标识</w:t>
        <w:br/>
        <w:t>- 产品型号：[请填写具体型号]</w:t>
        <w:br/>
        <w:t>- 规格尺寸：[请填写具体规格]</w:t>
        <w:br/>
        <w:t>- 生产批号：[按实际生产批号标识]</w:t>
        <w:br/>
        <w:t>- 有效期：[按实际有效期标识]</w:t>
        <w:br/>
        <w:t>- 制造商信息：[请填写完整制造商信息]</w:t>
        <w:br/>
        <w:t>- CE标志：产品带有CE标志，表明符合欧盟医疗器械法规要求</w:t>
        <w:br/>
        <w:br/>
        <w:t>1.6 预期使用环境</w:t>
        <w:br/>
        <w:t>本产品预期在符合以下条件的医疗机构中使用：</w:t>
        <w:br/>
        <w:t>- 具备无菌手术环境的医疗机构</w:t>
        <w:br/>
        <w:t>- 配备必要的腹腔镜手术设备</w:t>
        <w:br/>
        <w:t>- 由具备相应资质的医疗专业人员操作</w:t>
      </w:r>
      <w:r>
        <w:rPr>
          <w:color w:val="FF0000"/>
        </w:rPr>
        <w:t xml:space="preserve"> [AI 批注: 已全面更新第一节内容，将过时的MDD 93/42/EEC更新为现行的MDR (EU) 2017/745法规，并增加了产品描述、预期用途、使用限制、法规符合性声明、产品标识和预期使用环境等详细内容，使技术文档更加完整和符合当前法规要求。]</w:t>
      </w:r>
    </w:p>
    <w:p w14:paraId="06039065" w14:textId="77777777" w:rsidR="00447B7E" w:rsidRPr="00447B7E" w:rsidRDefault="00447B7E" w:rsidP="00447B7E">
      <w:pPr>
        <w:ind w:firstLine="482"/>
      </w:pPr>
      <w:r w:rsidRPr="00447B7E">
        <w:rPr>
          <w:b/>
          <w:bCs/>
        </w:rPr>
        <w:t xml:space="preserve">2. </w:t>
      </w:r>
      <w:r w:rsidRPr="00447B7E">
        <w:rPr>
          <w:b/>
          <w:bCs/>
        </w:rPr>
        <w:t>生物相容性评价</w:t>
      </w:r>
      <w:r w:rsidRPr="00447B7E">
        <w:t xml:space="preserve"> </w:t>
      </w:r>
      <w:r w:rsidRPr="00447B7E">
        <w:t>产品直接接触人体组织的部件采用了聚碳酸酯（</w:t>
      </w:r>
      <w:r w:rsidRPr="00447B7E">
        <w:t>PC</w:t>
      </w:r>
      <w:r w:rsidRPr="00447B7E">
        <w:t>）和医用级不锈钢材料。我们查阅了相关的历史文献和供应商提供的材料安全数据表（</w:t>
      </w:r>
      <w:r w:rsidRPr="00447B7E">
        <w:t>MSDS</w:t>
      </w:r>
      <w:r w:rsidRPr="00447B7E">
        <w:t>），认为这些材料具有长期的临床安全使用历史。因此，我们认为材料是安全的，豁免了细胞毒性、致敏和皮内反应等常规生物相容性测试。本评价参考了</w:t>
      </w:r>
      <w:r w:rsidRPr="00447B7E">
        <w:t xml:space="preserve"> ISO 10993-1:2009 </w:t>
      </w:r>
      <w:r w:rsidRPr="00447B7E">
        <w:t>标准的部分要求。</w:t>
      </w:r>
    </w:p>
    <w:p w14:paraId="51C71C2A" w14:textId="77777777" w:rsidR="00447B7E" w:rsidRPr="00447B7E" w:rsidRDefault="00447B7E" w:rsidP="00447B7E">
      <w:pPr>
        <w:ind w:firstLine="482"/>
      </w:pPr>
      <w:r w:rsidRPr="00447B7E">
        <w:rPr>
          <w:b/>
          <w:bCs/>
        </w:rPr>
        <w:t xml:space="preserve">3. </w:t>
      </w:r>
      <w:r w:rsidRPr="00447B7E">
        <w:rPr>
          <w:b/>
          <w:bCs/>
        </w:rPr>
        <w:t>灭菌与包装</w:t>
      </w:r>
      <w:r w:rsidRPr="00447B7E">
        <w:t xml:space="preserve"> </w:t>
      </w:r>
      <w:r w:rsidRPr="00447B7E">
        <w:t>本产品采用环氧乙烷（</w:t>
      </w:r>
      <w:r w:rsidRPr="00447B7E">
        <w:t>EO</w:t>
      </w:r>
      <w:r w:rsidRPr="00447B7E">
        <w:t>）灭菌，无菌有效期为</w:t>
      </w:r>
      <w:r w:rsidRPr="00447B7E">
        <w:t>3</w:t>
      </w:r>
      <w:r w:rsidRPr="00447B7E">
        <w:t>年。包装采用特卫强（</w:t>
      </w:r>
      <w:r w:rsidRPr="00447B7E">
        <w:t>Tyvek</w:t>
      </w:r>
      <w:r w:rsidRPr="00447B7E">
        <w:t>）透析纸与复合膜吸塑成型。</w:t>
      </w:r>
    </w:p>
    <w:p w14:paraId="00CBD18B" w14:textId="77777777" w:rsidR="00511810" w:rsidRDefault="00511810">
      <w:pPr>
        <w:ind w:firstLine="480"/>
      </w:pPr>
    </w:p>
    <w:p/>
    <w:p>
      <w:r>
        <w:rPr>
          <w:highlight w:val="yellow"/>
        </w:rPr>
        <w:t>4. 储存环境要求</w:t>
        <w:br/>
        <w:br/>
        <w:t>为确保产品在有效期内保持其性能和无菌状态，本产品应按照以下要求进行储存：</w:t>
        <w:br/>
        <w:br/>
        <w:t>4.1 温度要求</w:t>
        <w:br/>
        <w:t>- 储存温度范围：10℃ ~ 30℃</w:t>
        <w:br/>
        <w:t>- 避免极端温度：产品不得暴露于低于0℃或高于40℃的环境中</w:t>
        <w:br/>
        <w:t>- 温度波动：储存环境温度波动应控制在±5℃以内</w:t>
        <w:br/>
        <w:br/>
        <w:t>4.2 湿度要求</w:t>
        <w:br/>
        <w:t>- 相对湿度范围：30% ~ 70%</w:t>
        <w:br/>
        <w:t>- 避免潮湿：产品不得暴露于高湿度环境（相对湿度&gt;80%）或直接接触水源</w:t>
        <w:br/>
        <w:t>- 防潮措施：储存区域应保持干燥通风</w:t>
        <w:br/>
        <w:br/>
        <w:t>4.3 光照要求</w:t>
        <w:br/>
        <w:t>- 避光储存：产品应避免直接阳光照射</w:t>
        <w:br/>
        <w:t>- 紫外线防护：储存区域应避免紫外线灯或其他强紫外线源照射</w:t>
        <w:br/>
        <w:t>- 照明要求：建议使用普通室内照明，避免使用高强度聚光灯直接照射产品</w:t>
        <w:br/>
        <w:br/>
        <w:t>4.4 通风要求</w:t>
        <w:br/>
        <w:t>- 良好通风：储存区域应保持空气流通</w:t>
        <w:br/>
        <w:t>- 避免污染：储存区域应远离粉尘、化学气体等污染源</w:t>
        <w:br/>
        <w:t>- 空气洁净度：建议储存区域空气洁净度达到ISO 8级或以上</w:t>
        <w:br/>
        <w:br/>
        <w:t>4.5 堆放要求</w:t>
        <w:br/>
        <w:t>- 堆放高度：包装箱堆放高度不得超过5层或2米（以较低者为准）</w:t>
        <w:br/>
        <w:t>- 堆放方式：应保持包装箱平整堆放，避免倾斜或挤压</w:t>
        <w:br/>
        <w:t>- 离地距离：包装箱应放置在托盘上，离地面至少10cm</w:t>
        <w:br/>
        <w:br/>
        <w:t>4.6 特殊注意事项</w:t>
        <w:br/>
        <w:t>- 远离热源：产品应远离暖气、加热器等热源至少1米</w:t>
        <w:br/>
        <w:t>- 避免震动：储存区域应避免强烈震动或频繁搬运</w:t>
        <w:br/>
        <w:t>- 防虫防鼠：储存区域应采取适当的防虫防鼠措施</w:t>
        <w:br/>
        <w:br/>
        <w:t>4.7 储存期限监控</w:t>
        <w:br/>
        <w:t>- 先进先出：严格执行"先进先出"原则</w:t>
        <w:br/>
        <w:t>- 定期检查：每季度检查一次储存环境条件</w:t>
        <w:br/>
        <w:t>- 记录保存：储存环境监控记录应至少保存至产品有效期后2年</w:t>
        <w:br/>
        <w:br/>
        <w:t>4.8 不合格储存处理</w:t>
        <w:br/>
        <w:t>如发现产品储存环境不符合上述要求，应立即：</w:t>
        <w:br/>
        <w:t>1. 隔离受影响产品</w:t>
        <w:br/>
        <w:t>2. 评估产品性能和无菌状态</w:t>
        <w:br/>
        <w:t>3. 根据评估结果采取相应措施（重新检验、报废等）</w:t>
        <w:br/>
        <w:t>4. 记录处理过程和结果</w:t>
      </w:r>
      <w:r>
        <w:rPr>
          <w:color w:val="FF0000"/>
        </w:rPr>
        <w:t xml:space="preserve"> [AI 追加章节: 已在文档末尾新增了完整的"储存环境要求"章节（第4章），包含了温度、湿度、光照、通风、堆放等全面的储存要求，符合医疗器械技术文档的规范要求。]</w:t>
      </w:r>
    </w:p>
    <w:sectPr w:rsidR="005118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75731" w14:textId="77777777" w:rsidR="00DD1753" w:rsidRDefault="00DD1753" w:rsidP="00447B7E">
      <w:pPr>
        <w:spacing w:line="240" w:lineRule="auto"/>
        <w:ind w:firstLine="480"/>
      </w:pPr>
      <w:r>
        <w:separator/>
      </w:r>
    </w:p>
  </w:endnote>
  <w:endnote w:type="continuationSeparator" w:id="0">
    <w:p w14:paraId="7055B124" w14:textId="77777777" w:rsidR="00DD1753" w:rsidRDefault="00DD1753" w:rsidP="00447B7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E3A4B" w14:textId="77777777" w:rsidR="00447B7E" w:rsidRDefault="00447B7E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0B8FA" w14:textId="77777777" w:rsidR="00447B7E" w:rsidRDefault="00447B7E">
    <w:pPr>
      <w:pStyle w:val="a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CB8F" w14:textId="77777777" w:rsidR="00447B7E" w:rsidRDefault="00447B7E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2A7D0" w14:textId="77777777" w:rsidR="00DD1753" w:rsidRDefault="00DD1753" w:rsidP="00447B7E">
      <w:pPr>
        <w:spacing w:line="240" w:lineRule="auto"/>
        <w:ind w:firstLine="480"/>
      </w:pPr>
      <w:r>
        <w:separator/>
      </w:r>
    </w:p>
  </w:footnote>
  <w:footnote w:type="continuationSeparator" w:id="0">
    <w:p w14:paraId="19BF8D3B" w14:textId="77777777" w:rsidR="00DD1753" w:rsidRDefault="00DD1753" w:rsidP="00447B7E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D998C" w14:textId="77777777" w:rsidR="00447B7E" w:rsidRDefault="00447B7E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B1142" w14:textId="77777777" w:rsidR="00447B7E" w:rsidRDefault="00447B7E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0A3F2" w14:textId="77777777" w:rsidR="00447B7E" w:rsidRDefault="00447B7E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60639"/>
    <w:multiLevelType w:val="multilevel"/>
    <w:tmpl w:val="8CA2C2B2"/>
    <w:lvl w:ilvl="0">
      <w:start w:val="1"/>
      <w:numFmt w:val="chineseCountingThousand"/>
      <w:pStyle w:val="1"/>
      <w:suff w:val="space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1669751061">
    <w:abstractNumId w:val="0"/>
  </w:num>
  <w:num w:numId="2" w16cid:durableId="937718715">
    <w:abstractNumId w:val="0"/>
  </w:num>
  <w:num w:numId="3" w16cid:durableId="119499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64"/>
    <w:rsid w:val="00327664"/>
    <w:rsid w:val="003B50EC"/>
    <w:rsid w:val="00447B7E"/>
    <w:rsid w:val="004530D2"/>
    <w:rsid w:val="00511810"/>
    <w:rsid w:val="00537E94"/>
    <w:rsid w:val="005A40E9"/>
    <w:rsid w:val="00734609"/>
    <w:rsid w:val="00AE23F0"/>
    <w:rsid w:val="00B634AA"/>
    <w:rsid w:val="00DD1753"/>
    <w:rsid w:val="00DD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2F79212-68D4-491A-AF98-B20404667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1810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1810"/>
    <w:pPr>
      <w:keepNext/>
      <w:keepLines/>
      <w:numPr>
        <w:numId w:val="3"/>
      </w:numPr>
      <w:spacing w:line="600" w:lineRule="auto"/>
      <w:ind w:firstLineChars="0" w:firstLine="0"/>
      <w:jc w:val="center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11810"/>
    <w:pPr>
      <w:keepNext/>
      <w:keepLines/>
      <w:numPr>
        <w:ilvl w:val="1"/>
        <w:numId w:val="3"/>
      </w:numPr>
      <w:ind w:firstLineChars="0" w:firstLine="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1810"/>
    <w:pPr>
      <w:keepNext/>
      <w:keepLines/>
      <w:numPr>
        <w:ilvl w:val="2"/>
        <w:numId w:val="3"/>
      </w:numPr>
      <w:ind w:firstLineChars="0" w:firstLine="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66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66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66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66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66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66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1810"/>
    <w:rPr>
      <w:rFonts w:ascii="Times New Roman" w:eastAsia="黑体" w:hAnsi="Times New Roman"/>
      <w:b/>
      <w:bCs/>
      <w:kern w:val="44"/>
      <w:sz w:val="30"/>
      <w:szCs w:val="44"/>
      <w14:ligatures w14:val="none"/>
    </w:rPr>
  </w:style>
  <w:style w:type="character" w:customStyle="1" w:styleId="20">
    <w:name w:val="标题 2 字符"/>
    <w:basedOn w:val="a0"/>
    <w:link w:val="2"/>
    <w:uiPriority w:val="9"/>
    <w:rsid w:val="00511810"/>
    <w:rPr>
      <w:rFonts w:ascii="Times New Roman" w:eastAsia="宋体" w:hAnsi="Times New Roman" w:cstheme="majorBidi"/>
      <w:b/>
      <w:bCs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511810"/>
    <w:rPr>
      <w:rFonts w:ascii="Times New Roman" w:eastAsia="宋体" w:hAnsi="Times New Roman"/>
      <w:b/>
      <w:bCs/>
      <w:sz w:val="24"/>
      <w:szCs w:val="32"/>
      <w14:ligatures w14:val="none"/>
    </w:rPr>
  </w:style>
  <w:style w:type="paragraph" w:styleId="a3">
    <w:name w:val="caption"/>
    <w:basedOn w:val="a"/>
    <w:next w:val="a"/>
    <w:autoRedefine/>
    <w:qFormat/>
    <w:rsid w:val="005A40E9"/>
    <w:pPr>
      <w:keepNext/>
      <w:keepLines/>
      <w:spacing w:before="200" w:after="240" w:line="200" w:lineRule="exact"/>
      <w:ind w:firstLineChars="0" w:firstLine="0"/>
      <w:jc w:val="center"/>
    </w:pPr>
    <w:rPr>
      <w:rFonts w:eastAsia="Times New Roman" w:cs="Times New Roman"/>
      <w:b/>
      <w:kern w:val="0"/>
      <w:sz w:val="20"/>
      <w:szCs w:val="20"/>
      <w:lang w:val="en-GB" w:eastAsia="en-US"/>
    </w:rPr>
  </w:style>
  <w:style w:type="character" w:customStyle="1" w:styleId="40">
    <w:name w:val="标题 4 字符"/>
    <w:basedOn w:val="a0"/>
    <w:link w:val="4"/>
    <w:uiPriority w:val="9"/>
    <w:semiHidden/>
    <w:rsid w:val="00327664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327664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327664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327664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327664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327664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3276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2766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32766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276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3276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27664"/>
    <w:rPr>
      <w:rFonts w:ascii="Times New Roman" w:eastAsia="宋体" w:hAnsi="Times New Roman"/>
      <w:i/>
      <w:iCs/>
      <w:color w:val="404040" w:themeColor="text1" w:themeTint="BF"/>
      <w:sz w:val="24"/>
      <w14:ligatures w14:val="none"/>
    </w:rPr>
  </w:style>
  <w:style w:type="paragraph" w:styleId="aa">
    <w:name w:val="List Paragraph"/>
    <w:basedOn w:val="a"/>
    <w:uiPriority w:val="34"/>
    <w:qFormat/>
    <w:rsid w:val="0032766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27664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27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27664"/>
    <w:rPr>
      <w:rFonts w:ascii="Times New Roman" w:eastAsia="宋体" w:hAnsi="Times New Roman"/>
      <w:i/>
      <w:iCs/>
      <w:color w:val="2F5496" w:themeColor="accent1" w:themeShade="BF"/>
      <w:sz w:val="24"/>
      <w14:ligatures w14:val="none"/>
    </w:rPr>
  </w:style>
  <w:style w:type="character" w:styleId="ae">
    <w:name w:val="Intense Reference"/>
    <w:basedOn w:val="a0"/>
    <w:uiPriority w:val="32"/>
    <w:qFormat/>
    <w:rsid w:val="00327664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447B7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47B7E"/>
    <w:rPr>
      <w:rFonts w:ascii="Times New Roman" w:eastAsia="宋体" w:hAnsi="Times New Roman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447B7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47B7E"/>
    <w:rPr>
      <w:rFonts w:ascii="Times New Roman" w:eastAsia="宋体" w:hAnsi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鹏亮 刘</dc:creator>
  <cp:keywords/>
  <dc:description/>
  <cp:lastModifiedBy>鹏亮 刘</cp:lastModifiedBy>
  <cp:revision>2</cp:revision>
  <dcterms:created xsi:type="dcterms:W3CDTF">2026-03-21T11:11:00Z</dcterms:created>
  <dcterms:modified xsi:type="dcterms:W3CDTF">2026-03-21T11:11:00Z</dcterms:modified>
</cp:coreProperties>
</file>