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80" w:after="280"/>
        <w:jc w:val="center"/>
      </w:pPr>
      <w:r>
        <w:rPr>
          <w:rFonts w:ascii="Aptos" w:hAnsi="Aptos" w:eastAsia="Microsoft YaHei"/>
          <w:b/>
          <w:color w:val="123B5D"/>
          <w:sz w:val="60"/>
        </w:rPr>
        <w:t>DEEPFUNDING</w:t>
      </w:r>
    </w:p>
    <w:p>
      <w:pPr>
        <w:jc w:val="center"/>
      </w:pPr>
      <w:r>
        <w:rPr>
          <w:rFonts w:ascii="Aptos" w:hAnsi="Aptos" w:eastAsia="Microsoft YaHei"/>
          <w:b/>
          <w:color w:val="16A3A5"/>
          <w:sz w:val="38"/>
        </w:rPr>
        <w:t>让资本与企业先由 Agent 相遇</w:t>
      </w:r>
    </w:p>
    <w:p>
      <w:pPr>
        <w:spacing w:before="240"/>
        <w:jc w:val="center"/>
      </w:pPr>
      <w:r>
        <w:rPr>
          <w:rFonts w:ascii="Aptos" w:hAnsi="Aptos" w:eastAsia="Microsoft YaHei"/>
          <w:b w:val="0"/>
          <w:color w:val="5C6770"/>
          <w:sz w:val="24"/>
        </w:rPr>
        <w:t>魔搭开源贡献奖 · 作品介绍与技术实践说明</w:t>
      </w:r>
    </w:p>
    <w:p>
      <w:pPr>
        <w:spacing w:before="68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面向魔搭开源贡献奖的作品介绍与技术实践说明</w:t>
      </w:r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项目名称：DeepFunding</w:t>
      </w:r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项目负责人：彭鹏一</w:t>
      </w:r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团队名称：Niu Lai Capital</w:t>
      </w:r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魔搭创空间：</w:t>
      </w:r>
      <w:hyperlink r:id="rId11">
        <w:r>
          <w:rPr>
            <w:color w:val="16A3A5"/>
            <w:u w:val="single"/>
          </w:rPr>
          <w:t>https://pengyi-deep-funding.pengpengyi92.workers.dev/</w:t>
        </w:r>
      </w:hyperlink>
    </w:p>
    <w:p>
      <w:pPr>
        <w:spacing w:before="0" w:after="40"/>
        <w:jc w:val="center"/>
      </w:pPr>
      <w:r>
        <w:rPr>
          <w:rFonts w:ascii="Aptos" w:hAnsi="Aptos" w:eastAsia="Microsoft YaHei"/>
          <w:b w:val="0"/>
          <w:color w:val="5C6770"/>
          <w:sz w:val="21"/>
        </w:rPr>
        <w:t>开源仓库：</w:t>
      </w:r>
      <w:hyperlink r:id="rId12">
        <w:r>
          <w:rPr>
            <w:color w:val="16A3A5"/>
            <w:u w:val="single"/>
          </w:rPr>
          <w:t>https://github.com/pengpengyi92/deep-funding</w:t>
        </w:r>
      </w:hyperlink>
    </w:p>
    <w:p>
      <w:pPr>
        <w:spacing w:before="720"/>
        <w:jc w:val="center"/>
      </w:pPr>
      <w:r>
        <w:rPr>
          <w:rFonts w:ascii="Aptos" w:hAnsi="Aptos" w:eastAsia="Microsoft YaHei"/>
          <w:b/>
          <w:color w:val="16A3A5"/>
          <w:sz w:val="20"/>
        </w:rPr>
        <w:t>PUBLIC  ·  EXPLAINABLE  ·  AUDITABLE  ·  EXTENSIBLE</w:t>
      </w:r>
    </w:p>
    <w:p>
      <w:r>
        <w:br w:type="page"/>
      </w:r>
    </w:p>
    <w:p>
      <w:pPr>
        <w:pStyle w:val="Heading1"/>
      </w:pPr>
      <w:r>
        <w:t>摘要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融资不是一次简单的信息搜索，而是企业与资金方在发展阶段、行业方向、融资金额、地域、风险偏好、资源能力和时间窗口上的双向选择。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是一个面向创业者、企业及资金方的开源 Agent-to-Agent（A2A）融资匹配平台。创业者或企业拥有自己的 Company Agent，VC、PE、银行、天使投资人、孵化器及产业基金等资金方拥有 Funding Agent。系统通过结构化建档、硬约束过滤、语义匹配、可解释评分和反馈闭环，帮助双方在正式会面之前完成高成本、重复性的初步筛选。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当前以可公开体验的 MVP 为核心：用户可选择企业端或资金端身份，填写关键资料或加载匿名演示案例，获得 Top-K 候选、分项匹配得分、匹配理由、潜在缺口、风险提示与下一步行动建议。项目采用 Python、FastAPI、SQLAlchemy 与 SQLite 构建轻量后端，并为后续 PostgreSQL、向量检索、主体 Agent 注册、权限控制、订阅/API 服务及尽调协作预留接口。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的目标不是替人作出投资或融资决策，而是把零散、不可复用的前期沟通转化为结构化、可解释、可评测和可持续改进的开放基础设施。</w:t>
      </w:r>
    </w:p>
    <w:p>
      <w:pPr>
        <w:pStyle w:val="Heading1"/>
      </w:pPr>
      <w:r>
        <w:t>一、项目背景：融资匹配为什么需要 Agent</w:t>
      </w:r>
    </w:p>
    <w:p>
      <w:pPr>
        <w:pStyle w:val="Heading2"/>
      </w:pPr>
      <w:r>
        <w:t>1. 企业端的痛点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同一家企业面对不同资金方，往往需要反复整理相似材料；但不同资金类型的关注点并不相同：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天使投资人和孵化器更关注创始团队、技术能力、产品原型与早期验证；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VC 更关注市场空间、产品、增长、客户、商业模式和可扩展性；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PE、银行及产业基金通常需要更成熟的收入、利润、现金流、资产负债、合同、治理与合规证据。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企业如果没有先判断自身阶段和材料完备度，容易找错资金类型、提交不完整信息，或在低适配对象上消耗大量时间。</w:t>
      </w:r>
    </w:p>
    <w:p>
      <w:pPr>
        <w:pStyle w:val="Heading2"/>
      </w:pPr>
      <w:r>
        <w:t>2. 资金端的痛点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资金方需要面对大量格式不统一、证据质量不一致的项目资料，并在有限时间内判断：项目是否符合投资阶段、行业范围、地域限制、票面区间、成熟度要求和风险偏好。单纯依赖关键词搜索或静态机构名录，既不能有效过滤硬性冲突，也很难解释“为什么匹配”。</w:t>
      </w:r>
    </w:p>
    <w:p>
      <w:pPr>
        <w:pStyle w:val="Heading2"/>
      </w:pPr>
      <w:r>
        <w:t>3. DeepFunding 的产品判断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将融资前置流程建模为双边 Agent 协作：</w:t>
      </w:r>
    </w:p>
    <w:p>
      <w:pPr>
        <w:spacing w:before="80" w:after="140"/>
        <w:ind w:left="283" w:right="283"/>
        <w:shd w:fill="F1F6F8"/>
      </w:pPr>
      <w:r>
        <w:rPr>
          <w:rFonts w:ascii="Consolas" w:hAnsi="Consolas" w:eastAsia="Microsoft YaHei"/>
          <w:b w:val="0"/>
          <w:color w:val="123B5D"/>
          <w:sz w:val="17"/>
        </w:rPr>
        <w:t>企业资料 → Company Agent ─┐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                     ├→ A2A Match Layer → 可解释候选 → 人类会面/尽调</w:t>
        <w:br/>
      </w:r>
      <w:r>
        <w:rPr>
          <w:rFonts w:ascii="Consolas" w:hAnsi="Consolas" w:eastAsia="Microsoft YaHei"/>
          <w:b w:val="0"/>
          <w:color w:val="123B5D"/>
          <w:sz w:val="17"/>
        </w:rPr>
        <w:t>资金偏好 → Funding Agent ─┘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Agent 先完成资料整理、适配分析、证据审计和候选匹配；当双方具有较高适配度时，人类再进入引荐、会面、材料补充、尽调和谈判环节。这样可以把人的精力集中在真正值得推进的关系上。</w:t>
      </w:r>
    </w:p>
    <w:p>
      <w:pPr>
        <w:pStyle w:val="Heading1"/>
      </w:pPr>
      <w:r>
        <w:t>二、产品方案：一次完整匹配如何发生</w:t>
      </w:r>
    </w:p>
    <w:p>
      <w:pPr>
        <w:pStyle w:val="Heading2"/>
      </w:pPr>
      <w:r>
        <w:t>步骤 1：双边结构化建档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企业端填写或导入行业、阶段、产品、团队、融资金额、资金用途、地域、收入/增长、客户、核心优势、关键风险及资源需求。资金端填写机构类型、投资阶段、票面范围、行业偏好、地域、禁投项、成熟度要求与可提供的增值资源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系统同时保留三类信息状态：用户提供、外部验证、Agent 推断；缺失或未经验证的内容不会被包装成确定事实。</w:t>
      </w:r>
    </w:p>
    <w:p>
      <w:pPr>
        <w:pStyle w:val="Heading2"/>
      </w:pPr>
      <w:r>
        <w:t>步骤 2：Information、Analysis、Audit、Match 协作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在企业端和资金端均采用可组合的职能划分：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典型输出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Information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收集、清洗并标准化主体资料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结构化 Profile、缺失字段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Analysis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分析成熟度、融资准备度与偏好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适合/不适合的资金类型、优势与风险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Audit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检查完整性、一致性、证据与推断边界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审计状态、警告、置信度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Match Agent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执行双向筛选、排序和解释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Top-K 候选、分项得分、匹配理由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当前 MVP 将这些职责落在共享服务层中，以保证单元可测试；未来可将其扩展为可注册、可协商的独立 Agent。</w:t>
      </w:r>
    </w:p>
    <w:p>
      <w:pPr>
        <w:pStyle w:val="Heading2"/>
      </w:pPr>
      <w:r>
        <w:t>步骤 3：硬约束优先过滤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第一阶段由确定性程序处理不可妥协的条件，例如：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融资金额是否落入资金方票面范围；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企业阶段是否属于资金方覆盖阶段；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地域是否满足要求；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是否命中禁投行业或其他排除项；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必要资料或成熟度门槛是否满足。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硬约束不交给模型自由判断，从而避免出现“解释听起来合理、实际上无法执行”的推荐。项目的底线评测目标是硬约束违反率为 0。</w:t>
      </w:r>
    </w:p>
    <w:p>
      <w:pPr>
        <w:pStyle w:val="Heading2"/>
      </w:pPr>
      <w:r>
        <w:t>步骤 4：多维评分与语义排序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通过硬约束的候选进入第二阶段排序。MVP 使用可配置权重计算综合分数：</w:t>
      </w:r>
    </w:p>
    <w:p>
      <w:pPr>
        <w:spacing w:before="80" w:after="140"/>
        <w:ind w:left="283" w:right="283"/>
        <w:shd w:fill="F1F6F8"/>
      </w:pPr>
      <w:r>
        <w:rPr>
          <w:rFonts w:ascii="Consolas" w:hAnsi="Consolas" w:eastAsia="Microsoft YaHei"/>
          <w:b w:val="0"/>
          <w:color w:val="123B5D"/>
          <w:sz w:val="17"/>
        </w:rPr>
        <w:t>Score = 0.25 × StageFit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+ 0.20 × TicketFit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+ 0.20 × SectorFit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+ 0.15 × GeographyFit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+ 0.10 × ResourceFit</w:t>
        <w:br/>
      </w:r>
      <w:r>
        <w:rPr>
          <w:rFonts w:ascii="Consolas" w:hAnsi="Consolas" w:eastAsia="Microsoft YaHei"/>
          <w:b w:val="0"/>
          <w:color w:val="123B5D"/>
          <w:sz w:val="17"/>
        </w:rPr>
        <w:t xml:space="preserve">      + 0.10 × SemanticFit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其中阶段、金额、行业、地域和资源适配主要来自结构化字段；模型用于理解项目描述、投资逻辑和资源诉求等非结构化内容，并辅助生成清晰解释。权重存放于配置层，不写死在提示词中，因此结果可复现、可调优、可做版本对比。</w:t>
      </w:r>
    </w:p>
    <w:p>
      <w:pPr>
        <w:pStyle w:val="Heading2"/>
      </w:pPr>
      <w:r>
        <w:t>步骤 5：输出可解释报告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系统不仅给出总分，还回答：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哪些维度形成了匹配；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哪些条件仍存在差距；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哪些资料需要补充或验证；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有哪些潜在风险；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下一步适合请求引荐、补材料，还是暂缓接触。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 xml:space="preserve">用户可以进一步执行 </w:t>
      </w:r>
      <w:r>
        <w:rPr>
          <w:rFonts w:ascii="Consolas" w:hAnsi="Consolas" w:eastAsia="Microsoft YaHei"/>
          <w:b w:val="0"/>
          <w:color w:val="123B5D"/>
          <w:sz w:val="20"/>
        </w:rPr>
        <w:t>Request Introduction</w:t>
      </w:r>
      <w:r>
        <w:rPr>
          <w:rFonts w:ascii="Aptos" w:hAnsi="Aptos" w:eastAsia="Microsoft YaHei"/>
          <w:b w:val="0"/>
          <w:sz w:val="21"/>
        </w:rPr>
        <w:t>，把高适配候选从机器筛选推进到人类沟通。</w:t>
      </w:r>
    </w:p>
    <w:p>
      <w:pPr>
        <w:pStyle w:val="Heading2"/>
      </w:pPr>
      <w:r>
        <w:t>步骤 6：反馈闭环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收藏、忽略、联系、请求引荐、进入尽调等行为会形成反馈事件。后续可用这些反馈校准权重、构建 Benchmark，并比较不同规则或模型版本的表现。</w:t>
      </w:r>
    </w:p>
    <w:p>
      <w:pPr>
        <w:pStyle w:val="Heading1"/>
      </w:pPr>
      <w:r>
        <w:t>三、技术架构与工程实现</w:t>
      </w:r>
    </w:p>
    <w:p>
      <w:pPr>
        <w:pStyle w:val="Heading2"/>
      </w:pPr>
      <w:r>
        <w:t>1. 分层架构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主要组件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设计目标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交互层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魔搭创空间 Web 应用、企业端/资金端表单、候选卡片、匹配报告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降低体验门槛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Agent/领域层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Information、Analysis、Audit、Match；Company/Funding 双边领域模型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职责解耦、便于测试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应用服务层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Profile 服务、匹配服务、报告生成、反馈与审计日志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GUI、TUI、CLI/API 复用同一业务逻辑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数据层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SQLAlchemy + SQLite；主体、偏好、运行结果与反馈事件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MVP 轻量部署、模式可迁移</w:t>
            </w:r>
          </w:p>
        </w:tc>
      </w:tr>
    </w:tbl>
    <w:p>
      <w:pPr>
        <w:spacing w:after="20"/>
      </w:pPr>
    </w:p>
    <w:p>
      <w:pPr>
        <w:pStyle w:val="Heading2"/>
      </w:pPr>
      <w:r>
        <w:t>2. 技术选型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后端语言：Python；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API 框架：FastAPI；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ORM：SQLAlchemy；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MVP 数据库：SQLite；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后续演进：PostgreSQL + pgvector；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对外形态：Web GUI、REST API，并为 TUI、CLI 与 JSON 模式保留共享服务接口。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选择 SQLite 是为了让开源 MVP 可以零配置启动、便于本地演示和自动化测试。当主体规模、并发和语义检索需求增长后，数据模型可迁移到 PostgreSQL，并通过向量扩展支持更丰富的相似度搜索。</w:t>
      </w:r>
    </w:p>
    <w:p>
      <w:pPr>
        <w:pStyle w:val="Heading2"/>
      </w:pPr>
      <w:r>
        <w:t>3. 核心数据表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数据表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用途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companies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企业主体、团队、产品、经营与融资需求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funders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资金方主体、类型、阶段、行业和票面范围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preferences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双方的筛选偏好、资源需求和排除条件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match_runs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每次匹配的输入快照、配置与版本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match_results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候选、分项得分、理由、缺口和置信度</w:t>
            </w:r>
          </w:p>
        </w:tc>
      </w:tr>
      <w:tr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Consolas" w:hAnsi="Consolas" w:eastAsia="Microsoft YaHei"/>
                <w:b w:val="0"/>
                <w:color w:val="123B5D"/>
                <w:sz w:val="16"/>
              </w:rPr>
              <w:t>feedback_events</w:t>
            </w:r>
          </w:p>
        </w:tc>
        <w:tc>
          <w:tcPr>
            <w:tcW w:type="dxa" w:w="4929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收藏、忽略、联系、引荐、尽调等反馈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匹配运行和匹配结果分开存储，使系统能够追溯“当时使用了什么输入、规则和权重”，为后续审计与回归测试提供基础。</w:t>
      </w:r>
    </w:p>
    <w:p>
      <w:pPr>
        <w:pStyle w:val="Heading2"/>
      </w:pPr>
      <w:r>
        <w:t>4. API 设计示例</w:t>
      </w:r>
    </w:p>
    <w:p>
      <w:pPr>
        <w:spacing w:before="80" w:after="140"/>
        <w:ind w:left="283" w:right="283"/>
        <w:shd w:fill="F1F6F8"/>
      </w:pPr>
      <w:r>
        <w:rPr>
          <w:rFonts w:ascii="Consolas" w:hAnsi="Consolas" w:eastAsia="Microsoft YaHei"/>
          <w:b w:val="0"/>
          <w:color w:val="123B5D"/>
          <w:sz w:val="17"/>
        </w:rPr>
        <w:t>POST /profiles</w:t>
        <w:br/>
      </w:r>
      <w:r>
        <w:rPr>
          <w:rFonts w:ascii="Consolas" w:hAnsi="Consolas" w:eastAsia="Microsoft YaHei"/>
          <w:b w:val="0"/>
          <w:color w:val="123B5D"/>
          <w:sz w:val="17"/>
        </w:rPr>
        <w:t>POST /matches</w:t>
        <w:br/>
      </w:r>
      <w:r>
        <w:rPr>
          <w:rFonts w:ascii="Consolas" w:hAnsi="Consolas" w:eastAsia="Microsoft YaHei"/>
          <w:b w:val="0"/>
          <w:color w:val="123B5D"/>
          <w:sz w:val="17"/>
        </w:rPr>
        <w:t>GET  /matches/{id}</w:t>
        <w:br/>
      </w:r>
      <w:r>
        <w:rPr>
          <w:rFonts w:ascii="Consolas" w:hAnsi="Consolas" w:eastAsia="Microsoft YaHei"/>
          <w:b w:val="0"/>
          <w:color w:val="123B5D"/>
          <w:sz w:val="17"/>
        </w:rPr>
        <w:t>POST /feedback</w:t>
      </w:r>
    </w:p>
    <w:p>
      <w:pPr>
        <w:ind w:firstLine="420"/>
      </w:pPr>
      <w:r>
        <w:rPr>
          <w:rFonts w:ascii="Consolas" w:hAnsi="Consolas" w:eastAsia="Microsoft YaHei"/>
          <w:b w:val="0"/>
          <w:color w:val="123B5D"/>
          <w:sz w:val="20"/>
        </w:rPr>
        <w:t>POST /profiles</w:t>
      </w:r>
      <w:r>
        <w:rPr>
          <w:rFonts w:ascii="Aptos" w:hAnsi="Aptos" w:eastAsia="Microsoft YaHei"/>
          <w:b w:val="0"/>
          <w:sz w:val="21"/>
        </w:rPr>
        <w:t xml:space="preserve"> 创建或更新授权主体资料；</w:t>
      </w:r>
      <w:r>
        <w:rPr>
          <w:rFonts w:ascii="Consolas" w:hAnsi="Consolas" w:eastAsia="Microsoft YaHei"/>
          <w:b w:val="0"/>
          <w:color w:val="123B5D"/>
          <w:sz w:val="20"/>
        </w:rPr>
        <w:t>POST /matches</w:t>
      </w:r>
      <w:r>
        <w:rPr>
          <w:rFonts w:ascii="Aptos" w:hAnsi="Aptos" w:eastAsia="Microsoft YaHei"/>
          <w:b w:val="0"/>
          <w:sz w:val="21"/>
        </w:rPr>
        <w:t xml:space="preserve"> 发起一次可版本化的匹配运行；</w:t>
      </w:r>
      <w:r>
        <w:rPr>
          <w:rFonts w:ascii="Consolas" w:hAnsi="Consolas" w:eastAsia="Microsoft YaHei"/>
          <w:b w:val="0"/>
          <w:color w:val="123B5D"/>
          <w:sz w:val="20"/>
        </w:rPr>
        <w:t>GET /matches/{id}</w:t>
      </w:r>
      <w:r>
        <w:rPr>
          <w:rFonts w:ascii="Aptos" w:hAnsi="Aptos" w:eastAsia="Microsoft YaHei"/>
          <w:b w:val="0"/>
          <w:sz w:val="21"/>
        </w:rPr>
        <w:t xml:space="preserve"> 返回候选和解释；</w:t>
      </w:r>
      <w:r>
        <w:rPr>
          <w:rFonts w:ascii="Consolas" w:hAnsi="Consolas" w:eastAsia="Microsoft YaHei"/>
          <w:b w:val="0"/>
          <w:color w:val="123B5D"/>
          <w:sz w:val="20"/>
        </w:rPr>
        <w:t>POST /feedback</w:t>
      </w:r>
      <w:r>
        <w:rPr>
          <w:rFonts w:ascii="Aptos" w:hAnsi="Aptos" w:eastAsia="Microsoft YaHei"/>
          <w:b w:val="0"/>
          <w:sz w:val="21"/>
        </w:rPr>
        <w:t xml:space="preserve"> 写入结果反馈。未来主体 Agent 注册后，可在权限控制下通过同一服务层调用数据和匹配能力。</w:t>
      </w:r>
    </w:p>
    <w:p>
      <w:pPr>
        <w:pStyle w:val="Heading2"/>
      </w:pPr>
      <w:r>
        <w:t>5. 安全、隐私与边界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默认遵循以下原则：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最小必要采集与字段分级；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私有融资历史、机构组合和企业材料默认保留在本地；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公开仓库只包含 Schema、引擎、测试和虚构/匿名样例；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远程模型与外部 API 调用必须显式配置；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公开演示不放置真实敏感数据或密钥；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清楚区分用户声明、可验证证据和 Agent 推断；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系统仅辅助筛选和信息组织，不承诺融资结果，也不构成投资、信贷或法律建议。</w:t>
      </w:r>
    </w:p>
    <w:p>
      <w:pPr>
        <w:pStyle w:val="Heading1"/>
      </w:pPr>
      <w:r>
        <w:t>四、魔搭创空间实践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通过魔搭创空间提供公开体验，使评委和社区用户无需配置本地环境即可运行核心流程。建议的体验路径如下：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选择“我是创业者/企业”或“我是资金方”；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填写关键字段，或一键载入虚构演示案例；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点击“开始匹配”，查看 Top-K 候选和分项得分；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打开候选详情，查看匹配理由、缺口、风险和下一步建议；</w:t>
      </w:r>
    </w:p>
    <w:p>
      <w:pPr>
        <w:pStyle w:val="ListNumber"/>
      </w:pPr>
      <w:r>
        <w:rPr>
          <w:rFonts w:ascii="Aptos" w:hAnsi="Aptos" w:eastAsia="Microsoft YaHei"/>
          <w:b w:val="0"/>
          <w:sz w:val="21"/>
        </w:rPr>
        <w:t>提交“有帮助/不相关”等反馈，观察闭环事件如何沉淀。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部署包包含应用入口、依赖声明、示例数据和使用说明；服务通过环境变量读取运行配置。正式提交前，将使用无痕窗口从零跑通公开路径，确保项目无需内部权限即可体验。</w:t>
      </w:r>
    </w:p>
    <w:p>
      <w:pPr>
        <w:pStyle w:val="Heading1"/>
      </w:pPr>
      <w:r>
        <w:t>五、评测设计：如何证明系统不只是“会讲故事”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将评测分为确定性约束、排序效果、解释质量、稳定性、安全性和工程性能六类。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评测维度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指标/方法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123B5D"/>
          </w:tcPr>
          <w:p>
            <w:r>
              <w:rPr>
                <w:rFonts w:ascii="Aptos" w:hAnsi="Aptos" w:eastAsia="Microsoft YaHei"/>
                <w:b/>
                <w:color w:val="FFFFFF"/>
                <w:sz w:val="17"/>
              </w:rPr>
              <w:t>目标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硬约束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Constraint Violation Rate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必须为 0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排序效果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Precision@K、Recall@K、NDCG@K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优于规则或纯语义单一基线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解释质量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具体性、证据一致性、风险充分性、行动可执行性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人工标注与抽检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稳定性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同一输入重复运行的候选与核心理由一致性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可复现、可回归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安全性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敏感信息泄漏、提示注入、不当承诺测试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rFonts w:ascii="Aptos" w:hAnsi="Aptos" w:eastAsia="Microsoft YaHei"/>
                <w:b w:val="0"/>
                <w:sz w:val="17"/>
              </w:rPr>
              <w:t>阻断或明确降级</w:t>
            </w:r>
          </w:p>
        </w:tc>
      </w:tr>
      <w:tr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工程性能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响应时延、失败率、推理成本</w:t>
            </w:r>
          </w:p>
        </w:tc>
        <w:tc>
          <w:tcPr>
            <w:tcW w:type="dxa" w:w="328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F3F8F8"/>
          </w:tcPr>
          <w:p>
            <w:r>
              <w:rPr>
                <w:rFonts w:ascii="Aptos" w:hAnsi="Aptos" w:eastAsia="Microsoft YaHei"/>
                <w:b w:val="0"/>
                <w:sz w:val="17"/>
              </w:rPr>
              <w:t>满足公开演示体验</w:t>
            </w:r>
          </w:p>
        </w:tc>
      </w:tr>
    </w:tbl>
    <w:p>
      <w:pPr>
        <w:spacing w:after="20"/>
      </w:pP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每次规则、权重或模型升级都应在固定样例集上运行回归测试，并保留配置版本。基线实验将比较：纯规则方案、纯语义方案和“硬约束 + 结构化评分 + 语义解释”的混合方案。</w:t>
      </w:r>
    </w:p>
    <w:p>
      <w:pPr>
        <w:pStyle w:val="Heading1"/>
      </w:pPr>
      <w:r>
        <w:t>六、项目创新点与开源价值</w:t>
      </w:r>
    </w:p>
    <w:p>
      <w:pPr>
        <w:pStyle w:val="Heading2"/>
      </w:pPr>
      <w:r>
        <w:t>1. 从静态名录升级为 A2A 工作流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不只是展示“有哪些机构”，而是让双方的 Agent 读取授权资料、表达偏好、检查证据、执行双向匹配，并把高质量候选推进到引荐或尽调。</w:t>
      </w:r>
    </w:p>
    <w:p>
      <w:pPr>
        <w:pStyle w:val="Heading2"/>
      </w:pPr>
      <w:r>
        <w:t>2. 规则与模型分工明确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金额、阶段、地域和禁投项由确定性规则控制；模型专注非结构化理解与解释。这个组合兼顾语义能力与工程可靠性。</w:t>
      </w:r>
    </w:p>
    <w:p>
      <w:pPr>
        <w:pStyle w:val="Heading2"/>
      </w:pPr>
      <w:r>
        <w:t>3. 匹配过程可解释、可审计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系统保存分项得分、原因、缺口、置信度、输入快照和配置版本，不只输出一个缺乏依据的综合分。</w:t>
      </w:r>
    </w:p>
    <w:p>
      <w:pPr>
        <w:pStyle w:val="Heading2"/>
      </w:pPr>
      <w:r>
        <w:t>4. 双向 Benchmark，而非单边推荐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后续 Founder RSI 将帮助创业者结合自身历史接触记录形成个性化资金方排序；Funding RSI 将帮助资金方把新项目与自己的历史组合、行业或阶段 Cohort 比较。框架开放，但私有数据保持私有。</w:t>
      </w:r>
    </w:p>
    <w:p>
      <w:pPr>
        <w:pStyle w:val="Heading2"/>
      </w:pPr>
      <w:r>
        <w:t>5. 面向社区扩展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社区可以贡献新的资金类型、行业字段、地区规则、数据校验器、匹配器、Benchmark Cohort 和测试集。统一的 Schema、服务接口与评测规则使这些贡献可以被复用，而非沉淀为孤立脚本。</w:t>
      </w:r>
    </w:p>
    <w:p>
      <w:pPr>
        <w:pStyle w:val="Heading1"/>
      </w:pPr>
      <w:r>
        <w:t>七、迭代路线</w:t>
      </w:r>
    </w:p>
    <w:p>
      <w:pPr>
        <w:pStyle w:val="Heading2"/>
      </w:pPr>
      <w:r>
        <w:t>V0：可体验 MVP（本次参评重点）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双边建档；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SQLite 数据保存；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硬约束过滤；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Top-K 多维匹配；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可解释报告；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反馈事件记录；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魔搭创空间公开演示。</w:t>
      </w:r>
    </w:p>
    <w:p>
      <w:pPr>
        <w:pStyle w:val="Heading2"/>
      </w:pPr>
      <w:r>
        <w:t>V0.2：RSI 与 Benchmark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Founder RSI 与 Funding RSI；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递归、可配置 Benchmark Engine；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深圳 VC/PE/孵化器等资金方知识库 Schema 与校验流程；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BP、财务模型、公司及交易结构、尽调要求的结构化 Benchmark；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 xml:space="preserve">TUI、CLI 与 </w:t>
      </w:r>
      <w:r>
        <w:rPr>
          <w:rFonts w:ascii="Consolas" w:hAnsi="Consolas" w:eastAsia="Microsoft YaHei"/>
          <w:b w:val="0"/>
          <w:color w:val="123B5D"/>
          <w:sz w:val="20"/>
        </w:rPr>
        <w:t>--json</w:t>
      </w:r>
      <w:r>
        <w:rPr>
          <w:rFonts w:ascii="Aptos" w:hAnsi="Aptos" w:eastAsia="Microsoft YaHei"/>
          <w:b w:val="0"/>
          <w:sz w:val="21"/>
        </w:rPr>
        <w:t xml:space="preserve"> Agent 调用模式；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隐私优先的本地历史数据分析。</w:t>
      </w:r>
    </w:p>
    <w:p>
      <w:pPr>
        <w:pStyle w:val="Heading2"/>
      </w:pPr>
      <w:r>
        <w:t>V1：数据与评测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引入经过授权和来源验证的数据；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固定 Benchmark 与标注样例；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反馈回流、版本化评测和持续校准；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从深圳扩展至大湾区、香港及其他市场。</w:t>
      </w:r>
    </w:p>
    <w:p>
      <w:pPr>
        <w:pStyle w:val="Heading2"/>
      </w:pPr>
      <w:r>
        <w:t>V2：完整 Agent-to-Agent 协作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主体 Agent 注册与身份权限；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Agent 协商协议；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订阅与 API 服务；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自动材料请求与 Request Introduction 工作流。</w:t>
      </w:r>
    </w:p>
    <w:p>
      <w:pPr>
        <w:pStyle w:val="Heading2"/>
      </w:pPr>
      <w:r>
        <w:t>V3：尽调与融资执行协同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材料清单与数据室；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KYC、合规和证据检查；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尽调任务编排；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从匹配到融资决策的完整审计链。</w:t>
      </w:r>
    </w:p>
    <w:p>
      <w:pPr>
        <w:pStyle w:val="Heading1"/>
      </w:pPr>
      <w:r>
        <w:t>八、结语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希望把依赖人脉、零散搜索和重复填表的融资前置流程，转化为结构化、可解释、可评测并能持续改进的 Agent 原生基础设施。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对企业而言，它帮助团队更早理解“我们适合什么资金、还缺什么证据、应该优先联系谁”；对资金方而言，它帮助机构在大量项目中更快识别阶段、行业、金额与资源真正适配的候选；对开源社区而言，它提供了一套可以共同演进的数据模式、匹配接口、Agent 职责和评测框架。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资本与企业最终仍由人作出决定，但在那之前，可以先让 Agent 更高质量地相遇。</w:t>
      </w:r>
    </w:p>
    <w:p>
      <w:pPr>
        <w:pStyle w:val="Heading1"/>
      </w:pPr>
      <w:r>
        <w:t>附录 A：可直接粘贴到作品表的短介绍</w:t>
      </w:r>
    </w:p>
    <w:p>
      <w:pPr>
        <w:ind w:firstLine="420"/>
      </w:pPr>
      <w:r>
        <w:rPr>
          <w:rFonts w:ascii="Aptos" w:hAnsi="Aptos" w:eastAsia="Microsoft YaHei"/>
          <w:b w:val="0"/>
          <w:sz w:val="21"/>
        </w:rPr>
        <w:t>DeepFunding 是一个面向创业者、企业与资金方的开源 Agent-to-Agent 智能融资匹配平台。系统通过双边结构化建档、硬约束过滤、多维语义排序、可解释报告和反馈闭环，帮助双方在正式接洽前完成高成本、重复性的初步筛选。项目采用 Python、FastAPI、SQLAlchemy 与 SQLite 构建可公开体验的 MVP，并为 PostgreSQL、向量检索、主体 Agent 注册、Benchmark、订阅/API 及尽调协作预留扩展能力。DeepFunding 不是静态投资人名录，也不替代投资决策；它致力于把融资匹配变成可解释、可审计、可评测和可持续改进的开放基础设施。</w:t>
      </w:r>
    </w:p>
    <w:p>
      <w:pPr>
        <w:pStyle w:val="Heading1"/>
      </w:pPr>
      <w:r>
        <w:t>附录 B：提交前检查清单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☐ 团队名称、魔搭创空间与开源仓库链接已补齐；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☐ 插入 3–5 张真实截图：主页、建档、候选列表、解释报告、反馈；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☐ 魔搭创空间设为公开，并用无痕窗口完整体验；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☐ README 包含启动方式、许可证、依赖、示例数据、隐私声明和免责声明；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☐ 公开仓库及演示环境不包含真实敏感数据或密钥；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☐ 作品表中的名称、版本、链接与文章保持一致；</w:t>
      </w:r>
    </w:p>
    <w:p>
      <w:pPr>
        <w:pStyle w:val="ListBullet"/>
      </w:pPr>
      <w:r>
        <w:rPr>
          <w:rFonts w:ascii="Aptos" w:hAnsi="Aptos" w:eastAsia="Microsoft YaHei"/>
          <w:b w:val="0"/>
          <w:sz w:val="21"/>
        </w:rPr>
        <w:t>☐ 提交完成后保留成功页面截图。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91" w:bottom="96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5C6770"/>
        <w:sz w:val="16"/>
      </w:rPr>
      <w:t>DeepFunding · 让资本与企业先由 Agent 相遇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color w:val="16A3A5"/>
        <w:sz w:val="16"/>
      </w:rPr>
      <w:t>DEEPFUNDING  /  MODELSCOPE OPEN-SOURCE PRACTICE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B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6A3A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0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23B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engyi-deep-funding.pengpengyi92.workers.dev/" TargetMode="External"/><Relationship Id="rId12" Type="http://schemas.openxmlformats.org/officeDocument/2006/relationships/hyperlink" Target="https://github.com/pengpengyi92/deep-fund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DeepFunding：让资本与企业先由 Agent 相遇</dc:title>
  <dc:subject>魔搭开源贡献奖作品介绍与技术说明</dc:subject>
  <dc:creator>彭鹏一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