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苹方-简" w:hAnsi="苹方-简" w:eastAsia="苹方-简" w:cs="苹方-简"/>
          <w:b/>
          <w:bCs/>
          <w:color w:val="auto"/>
          <w:sz w:val="36"/>
          <w:szCs w:val="36"/>
        </w:rPr>
      </w:pPr>
      <w:r>
        <w:rPr>
          <w:rFonts w:hint="default" w:ascii="苹方-简" w:hAnsi="苹方-简" w:eastAsia="苹方-简" w:cs="苹方-简"/>
          <w:b/>
          <w:bCs/>
          <w:color w:val="auto"/>
          <w:sz w:val="36"/>
          <w:szCs w:val="36"/>
        </w:rPr>
        <w:t>营销</w:t>
      </w:r>
      <w:r>
        <w:rPr>
          <w:rFonts w:hint="default" w:ascii="苹方-简" w:hAnsi="苹方-简" w:eastAsia="苹方-简" w:cs="苹方-简"/>
          <w:b/>
          <w:bCs/>
          <w:color w:val="auto"/>
          <w:sz w:val="36"/>
          <w:szCs w:val="36"/>
        </w:rPr>
        <w:t>模块</w:t>
      </w:r>
    </w:p>
    <w:p>
      <w:pPr>
        <w:jc w:val="left"/>
        <w:rPr>
          <w:rFonts w:hint="default" w:ascii="苹方-简" w:hAnsi="苹方-简" w:eastAsia="苹方-简" w:cs="苹方-简"/>
          <w:b/>
          <w:bCs/>
          <w:color w:val="auto"/>
          <w:sz w:val="20"/>
          <w:szCs w:val="2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118110</wp:posOffset>
                </wp:positionV>
                <wp:extent cx="165100" cy="1651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65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55pt;margin-top:9.3pt;height:13pt;width:13pt;z-index:251659264;v-text-anchor:middle;mso-width-relative:page;mso-height-relative:page;" fillcolor="#ED7D31 [3205]" filled="t" stroked="f" coordsize="21600,21600" o:gfxdata="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TdLb2NkAAAAJAQAADwAAAAAAAAABACAAAAA4AAAAZHJzL2Rvd25yZXYueG1sUEsBAhQA&#10;FAAAAAgAh07iQGqAQW9NAgAAfAQAAA4AAAAAAAAAAQAgAAAAP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118110</wp:posOffset>
                </wp:positionV>
                <wp:extent cx="165100" cy="16510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4745" y="1583690"/>
                          <a:ext cx="165100" cy="1651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9.3pt;height:13pt;width:13pt;z-index:251658240;v-text-anchor:middle;mso-width-relative:page;mso-height-relative:page;" fillcolor="#5B9BD5 [3204]" filled="t" stroked="f" coordsize="21600,21600" o:gfxdata="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8K20H1QAAAAcBAAAPAAAAAAAAAAEAIAAAADgAAABkcnMvZG93bnJldi54&#10;bWxQSwECFAAUAAAACACHTuJAk9GTI1kCAACIBAAADgAAAAAAAAABACAAAAA6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苹方-简" w:hAnsi="苹方-简" w:eastAsia="苹方-简" w:cs="苹方-简"/>
          <w:b/>
          <w:bCs/>
          <w:color w:val="auto"/>
          <w:sz w:val="28"/>
          <w:szCs w:val="28"/>
        </w:rPr>
        <w:t xml:space="preserve">  </w:t>
      </w:r>
      <w:r>
        <w:rPr>
          <w:rFonts w:hint="default" w:ascii="苹方-简" w:hAnsi="苹方-简" w:eastAsia="苹方-简" w:cs="苹方-简"/>
          <w:b/>
          <w:bCs/>
          <w:color w:val="auto"/>
          <w:sz w:val="20"/>
          <w:szCs w:val="20"/>
        </w:rPr>
        <w:t>字段                说明文字</w:t>
      </w:r>
    </w:p>
    <w:p>
      <w:pPr>
        <w:jc w:val="left"/>
        <w:rPr>
          <w:rFonts w:hint="default" w:ascii="苹方-简" w:hAnsi="苹方-简" w:eastAsia="苹方-简" w:cs="苹方-简"/>
          <w:b/>
          <w:bCs/>
          <w:color w:val="auto"/>
          <w:sz w:val="20"/>
          <w:szCs w:val="20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  <w:r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  <w:t>一：新</w:t>
      </w:r>
      <w:r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  <w:t>赠优惠券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E7E6E6" w:themeColor="background2"/>
                <w:sz w:val="20"/>
                <w:szCs w:val="20"/>
                <w:highlight w:val="none"/>
                <w:shd w:val="clear" w:color="auto" w:fill="auto"/>
                <w:vertAlign w:val="baseline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功能描述</w:t>
            </w:r>
          </w:p>
        </w:tc>
        <w:tc>
          <w:tcPr>
            <w:tcW w:w="6472" w:type="dxa"/>
          </w:tcPr>
          <w:p>
            <w:p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用户在结算订单的时候可以选择使用优惠券来抵扣一定金额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优先级</w:t>
            </w:r>
          </w:p>
        </w:tc>
        <w:tc>
          <w:tcPr>
            <w:tcW w:w="6472" w:type="dxa"/>
          </w:tcPr>
          <w:p>
            <w:p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74" w:hRule="atLeast"/>
        </w:trPr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需求描述</w:t>
            </w:r>
          </w:p>
        </w:tc>
        <w:tc>
          <w:tcPr>
            <w:tcW w:w="64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1.基本字段：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优惠类型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（抵现、折扣）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；卡券名称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限14字符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）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；描述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可换行的文本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2.优惠方式：若卡券优惠类型为抵现，则需要输入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减免金额（元）；</w:t>
            </w: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若卡券优惠类型为</w:t>
            </w: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折扣</w:t>
            </w: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，则需要输入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折扣力度（%）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3.有效期（单选）：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固定日期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（从哪一天到哪一天）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；领取后有效天数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（从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卡券进入会员账户下时开始计算天数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4.使用条件：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最低消费满（）元时可用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补充说明</w:t>
            </w:r>
          </w:p>
        </w:tc>
        <w:tc>
          <w:tcPr>
            <w:tcW w:w="6472" w:type="dxa"/>
          </w:tcPr>
          <w:p>
            <w:pPr>
              <w:numPr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优惠券也需要对接微信卡包，但是点击使用的时候只需要跳转至小程序首页即可。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开发天数</w:t>
            </w:r>
          </w:p>
        </w:tc>
        <w:tc>
          <w:tcPr>
            <w:tcW w:w="6472" w:type="dxa"/>
          </w:tcPr>
          <w:p>
            <w:p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jc w:val="both"/>
      </w:pPr>
    </w:p>
    <w:p>
      <w:pPr>
        <w:jc w:val="both"/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</w:p>
    <w:p>
      <w:pPr>
        <w:jc w:val="both"/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</w:p>
    <w:p>
      <w:pPr>
        <w:jc w:val="both"/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</w:p>
    <w:p>
      <w:pPr>
        <w:jc w:val="both"/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</w:p>
    <w:p>
      <w:pPr>
        <w:jc w:val="both"/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</w:p>
    <w:p>
      <w:pPr>
        <w:jc w:val="both"/>
      </w:pPr>
      <w:r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  <w:t>web端界面展示</w:t>
      </w:r>
    </w:p>
    <w:p>
      <w:pPr>
        <w:jc w:val="left"/>
      </w:pPr>
      <w:r>
        <w:drawing>
          <wp:inline distT="0" distB="0" distL="114300" distR="114300">
            <wp:extent cx="5266055" cy="3792855"/>
            <wp:effectExtent l="0" t="0" r="17145" b="171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62245" cy="3811270"/>
            <wp:effectExtent l="0" t="0" r="20955" b="241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</w:p>
    <w:p>
      <w:pPr>
        <w:jc w:val="both"/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  <w:r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  <w:t>小程序端界面展示</w:t>
      </w:r>
    </w:p>
    <w:p>
      <w:r>
        <w:drawing>
          <wp:inline distT="0" distB="0" distL="114300" distR="114300">
            <wp:extent cx="5271135" cy="4226560"/>
            <wp:effectExtent l="0" t="0" r="12065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</w:p>
    <w:p>
      <w:pPr>
        <w:jc w:val="left"/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</w:pPr>
      <w:r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  <w:t>一：新赠</w:t>
      </w:r>
      <w:r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  <w:t>新品</w:t>
      </w:r>
      <w:r>
        <w:rPr>
          <w:rFonts w:hint="default" w:ascii="苹方-简" w:hAnsi="苹方-简" w:eastAsia="苹方-简" w:cs="苹方-简"/>
          <w:b/>
          <w:bCs/>
          <w:color w:val="00BD32"/>
          <w:sz w:val="28"/>
          <w:szCs w:val="28"/>
        </w:rPr>
        <w:t>券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6472"/>
      </w:tblGrid>
      <w:tr>
        <w:tblPrEx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E7E6E6" w:themeColor="background2"/>
                <w:sz w:val="20"/>
                <w:szCs w:val="20"/>
                <w:highlight w:val="none"/>
                <w:shd w:val="clear" w:color="auto" w:fill="auto"/>
                <w:vertAlign w:val="baseline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功能描述</w:t>
            </w:r>
          </w:p>
        </w:tc>
        <w:tc>
          <w:tcPr>
            <w:tcW w:w="6472" w:type="dxa"/>
          </w:tcPr>
          <w:p>
            <w:p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绑定当前标签为新品的商品，使用卡券时，默认将带有新品标签的商品加入购物车</w:t>
            </w:r>
          </w:p>
        </w:tc>
      </w:tr>
      <w:tr>
        <w:tblPrEx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优先级</w:t>
            </w:r>
          </w:p>
        </w:tc>
        <w:tc>
          <w:tcPr>
            <w:tcW w:w="6472" w:type="dxa"/>
          </w:tcPr>
          <w:p>
            <w:p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Layout w:type="fixed"/>
        </w:tblPrEx>
        <w:trPr>
          <w:trHeight w:val="4546" w:hRule="atLeast"/>
        </w:trPr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需求描述</w:t>
            </w:r>
          </w:p>
        </w:tc>
        <w:tc>
          <w:tcPr>
            <w:tcW w:w="64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1.基本字段：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卡券名称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（限14字符）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；描述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（可换行的文本）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；卡券价格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2.</w:t>
            </w: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有效期（单选）：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固定日期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（从哪一天到哪一天）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；领取后有效天数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（从卡券进入会员账户下时开始计算天数）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3.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一次最多使用【】张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若用户拥有2张该新品券，这里可以设置一个订单最多能使用几张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  <w:t>4.</w:t>
            </w:r>
            <w:r>
              <w:rPr>
                <w:rFonts w:hint="default" w:ascii="苹方-简" w:hAnsi="苹方-简" w:eastAsia="苹方-简" w:cs="苹方-简"/>
                <w:b/>
                <w:bCs/>
                <w:color w:val="5B9BD5" w:themeColor="accent1"/>
                <w:sz w:val="20"/>
                <w:szCs w:val="20"/>
                <w:vertAlign w:val="baseline"/>
                <w14:textFill>
                  <w14:solidFill>
                    <w14:schemeClr w14:val="accent1"/>
                  </w14:solidFill>
                </w14:textFill>
              </w:rPr>
              <w:t>与其他卡券叠加使用</w:t>
            </w:r>
            <w:r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（是否能与其他类型的卡券叠加使用，ps：包括其他不同的新品券）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ED7D31" w:themeColor="accent2"/>
                <w:sz w:val="20"/>
                <w:szCs w:val="20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补充说明</w:t>
            </w:r>
          </w:p>
        </w:tc>
        <w:tc>
          <w:tcPr>
            <w:tcW w:w="64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0F4F8"/>
          </w:tcPr>
          <w:p>
            <w:pPr>
              <w:jc w:val="center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highlight w:val="none"/>
                <w:shd w:val="clear" w:color="auto" w:fill="auto"/>
                <w:vertAlign w:val="baseline"/>
              </w:rPr>
              <w:t>开发天数</w:t>
            </w:r>
          </w:p>
        </w:tc>
        <w:tc>
          <w:tcPr>
            <w:tcW w:w="6472" w:type="dxa"/>
          </w:tcPr>
          <w:p>
            <w:pPr>
              <w:jc w:val="left"/>
              <w:rPr>
                <w:rFonts w:hint="default" w:ascii="苹方-简" w:hAnsi="苹方-简" w:eastAsia="苹方-简" w:cs="苹方-简"/>
                <w:b/>
                <w:bCs/>
                <w:color w:val="auto"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  <w:r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  <w:t>web端界面展示</w:t>
      </w:r>
    </w:p>
    <w:p>
      <w:pPr>
        <w:rPr>
          <w:rFonts w:hint="default" w:ascii="苹方-简" w:hAnsi="苹方-简" w:eastAsia="苹方-简" w:cs="苹方-简"/>
          <w:b/>
          <w:bCs/>
          <w:color w:val="00BD32"/>
          <w:sz w:val="20"/>
          <w:szCs w:val="20"/>
        </w:rPr>
      </w:pPr>
      <w:r>
        <w:drawing>
          <wp:inline distT="0" distB="0" distL="114300" distR="114300">
            <wp:extent cx="4002405" cy="2648585"/>
            <wp:effectExtent l="0" t="0" r="10795" b="184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0E0B"/>
    <w:rsid w:val="27BFF6AA"/>
    <w:rsid w:val="5FFD0E0B"/>
    <w:rsid w:val="9FF7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2019-11-22T15:43:00Z</dcterms:created>
  <dc:creator>carlos</dc:creator>
  <cp:lastModifiedBy>carlos</cp:lastModifiedBy>
  <dcterms:modified xsi:type="dcterms:W3CDTF">2019-11-22T17:50:19Z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