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RouteAlpha 实验记录</w:t>
      </w:r>
    </w:p>
    <w:p>
      <w:pPr>
        <w:pStyle w:val="Heading1"/>
      </w:pPr>
      <w:r>
        <w:t>一、实验目的</w:t>
      </w:r>
    </w:p>
    <w:p>
      <w:r>
        <w:rPr>
          <w:b w:val="0"/>
          <w:sz w:val="22"/>
        </w:rPr>
        <w:t>在大模型生态中, 不同模型在能力、延迟与成本上差异显著。若对所有 query 一律调用最强/最贵模型, 成本不可控; 若一律用最便宜模型, 复杂任务成功率不足。本项目的核心目标是: 在全局预算硬约束下, 自动为每条 query 选择最合适的模型, 在同等成本下提高成功率, 或在同等质量下显著节约成本 (predict-then-optimize)。</w:t>
      </w:r>
    </w:p>
    <w:p>
      <w:r>
        <w:rPr>
          <w:b w:val="0"/>
          <w:sz w:val="22"/>
        </w:rPr>
        <w:t>技术路线与电力交易项目同构: XGB 预测每条 query 在各模型上的成功率 → Gurobi MILP 在预算内做全局最优分配 → 滚动回测诚实评估。</w:t>
      </w:r>
    </w:p>
    <w:p>
      <w:pPr>
        <w:pStyle w:val="Heading1"/>
      </w:pPr>
      <w:r>
        <w:t>二、系统架构</w:t>
      </w:r>
    </w:p>
    <w:p>
      <w:pPr>
        <w:pStyle w:val="ListBullet"/>
      </w:pPr>
      <w:r>
        <w:t>预测层: bge-small embedding + 结构特征 → 每 model 独立 XGBoost → Isotonic 概率校准</w:t>
      </w:r>
    </w:p>
    <w:p>
      <w:pPr>
        <w:pStyle w:val="ListBullet"/>
      </w:pPr>
      <w:r>
        <w:t>决策层: Gurobi MILP, 约束 Σ cost ≤ Budget, 目标 max Σ P(success)</w:t>
      </w:r>
    </w:p>
    <w:p>
      <w:pPr>
        <w:pStyle w:val="ListBullet"/>
      </w:pPr>
      <w:r>
        <w:t>评测层: OOF 回测 (accuracy/AUC/Brier/ECE)、Pareto 前沿、五类失败归因、LLM-as-judge 偏置诊断</w:t>
      </w:r>
    </w:p>
    <w:p>
      <w:pPr>
        <w:pStyle w:val="Heading1"/>
      </w:pPr>
      <w:r>
        <w:t>三、关键迭代与提升</w:t>
      </w:r>
    </w:p>
    <w:p>
      <w:r>
        <w:rPr>
          <w:b/>
          <w:sz w:val="22"/>
        </w:rPr>
        <w:t>数据集: RouterBench peek 1000 条 / 900 query 测试集 (OOF)。特征与校准迭代如下: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版本</w:t>
            </w:r>
          </w:p>
        </w:tc>
        <w:tc>
          <w:tcPr>
            <w:tcW w:type="dxa" w:w="1440"/>
          </w:tcPr>
          <w:p>
            <w:r>
              <w:t>特征</w:t>
            </w:r>
          </w:p>
        </w:tc>
        <w:tc>
          <w:tcPr>
            <w:tcW w:type="dxa" w:w="1440"/>
          </w:tcPr>
          <w:p>
            <w:r>
              <w:t>ECE</w:t>
            </w:r>
          </w:p>
        </w:tc>
        <w:tc>
          <w:tcPr>
            <w:tcW w:type="dxa" w:w="1440"/>
          </w:tcPr>
          <w:p>
            <w:r>
              <w:t>MILP SR@0.002</w:t>
            </w:r>
          </w:p>
        </w:tc>
        <w:tc>
          <w:tcPr>
            <w:tcW w:type="dxa" w:w="1440"/>
          </w:tcPr>
          <w:p>
            <w:r>
              <w:t>MILP SR@0.001</w:t>
            </w:r>
          </w:p>
        </w:tc>
        <w:tc>
          <w:tcPr>
            <w:tcW w:type="dxa" w:w="1440"/>
          </w:tcPr>
          <w:p>
            <w:r>
              <w:t>gap@0.002</w:t>
            </w:r>
          </w:p>
        </w:tc>
      </w:tr>
      <w:tr>
        <w:tc>
          <w:tcPr>
            <w:tcW w:type="dxa" w:w="1440"/>
          </w:tcPr>
          <w:p>
            <w:r>
              <w:t>v0 baseline</w:t>
            </w:r>
          </w:p>
        </w:tc>
        <w:tc>
          <w:tcPr>
            <w:tcW w:type="dxa" w:w="1440"/>
          </w:tcPr>
          <w:p>
            <w:r>
              <w:t>bge384 + 24维结构, 无TE</w:t>
            </w:r>
          </w:p>
        </w:tc>
        <w:tc>
          <w:tcPr>
            <w:tcW w:type="dxa" w:w="1440"/>
          </w:tcPr>
          <w:p>
            <w:r>
              <w:t>0.0565</w:t>
            </w:r>
          </w:p>
        </w:tc>
        <w:tc>
          <w:tcPr>
            <w:tcW w:type="dxa" w:w="1440"/>
          </w:tcPr>
          <w:p>
            <w:r>
              <w:t>0.802</w:t>
            </w:r>
          </w:p>
        </w:tc>
        <w:tc>
          <w:tcPr>
            <w:tcW w:type="dxa" w:w="1440"/>
          </w:tcPr>
          <w:p>
            <w:r>
              <w:t>0.762</w:t>
            </w:r>
          </w:p>
        </w:tc>
        <w:tc>
          <w:tcPr>
            <w:tcW w:type="dxa" w:w="1440"/>
          </w:tcPr>
          <w:p>
            <w:r>
              <w:t>0.124</w:t>
            </w:r>
          </w:p>
        </w:tc>
      </w:tr>
      <w:tr>
        <w:tc>
          <w:tcPr>
            <w:tcW w:type="dxa" w:w="1440"/>
          </w:tcPr>
          <w:p>
            <w:r>
              <w:t>v2 TE only</w:t>
            </w:r>
          </w:p>
        </w:tc>
        <w:tc>
          <w:tcPr>
            <w:tcW w:type="dxa" w:w="1440"/>
          </w:tcPr>
          <w:p>
            <w:r>
              <w:t>v0 + Target Encoding (α=10)</w:t>
            </w:r>
          </w:p>
        </w:tc>
        <w:tc>
          <w:tcPr>
            <w:tcW w:type="dxa" w:w="1440"/>
          </w:tcPr>
          <w:p>
            <w:r>
              <w:t>0.0542</w:t>
            </w:r>
          </w:p>
        </w:tc>
        <w:tc>
          <w:tcPr>
            <w:tcW w:type="dxa" w:w="1440"/>
          </w:tcPr>
          <w:p>
            <w:r>
              <w:t>0.799</w:t>
            </w:r>
          </w:p>
        </w:tc>
        <w:tc>
          <w:tcPr>
            <w:tcW w:type="dxa" w:w="1440"/>
          </w:tcPr>
          <w:p>
            <w:r>
              <w:t>0.769</w:t>
            </w:r>
          </w:p>
        </w:tc>
        <w:tc>
          <w:tcPr>
            <w:tcW w:type="dxa" w:w="1440"/>
          </w:tcPr>
          <w:p>
            <w:r>
              <w:t>0.128</w:t>
            </w:r>
          </w:p>
        </w:tc>
      </w:tr>
      <w:tr>
        <w:tc>
          <w:tcPr>
            <w:tcW w:type="dxa" w:w="1440"/>
          </w:tcPr>
          <w:p>
            <w:r>
              <w:t>v3 TE+cross</w:t>
            </w:r>
          </w:p>
        </w:tc>
        <w:tc>
          <w:tcPr>
            <w:tcW w:type="dxa" w:w="1440"/>
          </w:tcPr>
          <w:p>
            <w:r>
              <w:t>v2 + cross difficulty + mglobal (α=20)</w:t>
            </w:r>
          </w:p>
        </w:tc>
        <w:tc>
          <w:tcPr>
            <w:tcW w:type="dxa" w:w="1440"/>
          </w:tcPr>
          <w:p>
            <w:r>
              <w:t>0.0516</w:t>
            </w:r>
          </w:p>
        </w:tc>
        <w:tc>
          <w:tcPr>
            <w:tcW w:type="dxa" w:w="1440"/>
          </w:tcPr>
          <w:p>
            <w:r>
              <w:t>0.810</w:t>
            </w:r>
          </w:p>
        </w:tc>
        <w:tc>
          <w:tcPr>
            <w:tcW w:type="dxa" w:w="1440"/>
          </w:tcPr>
          <w:p>
            <w:r>
              <w:t>0.777</w:t>
            </w:r>
          </w:p>
        </w:tc>
        <w:tc>
          <w:tcPr>
            <w:tcW w:type="dxa" w:w="1440"/>
          </w:tcPr>
          <w:p>
            <w:r>
              <w:t>0.117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概率校准 (v3 最终配置):</w:t>
      </w:r>
    </w:p>
    <w:p>
      <w:pPr>
        <w:pStyle w:val="ListBullet"/>
      </w:pPr>
      <w:r>
        <w:t>ECE raw → cal: 0.184 → 0.052 (Isotonic, fold 内 holdout)</w:t>
      </w:r>
    </w:p>
    <w:p>
      <w:pPr>
        <w:pStyle w:val="ListBullet"/>
      </w:pPr>
      <w:r>
        <w:t>校准前模型过度自信, 优化器用未校准概率下注会系统性选错; 校准后可靠性图贴近对角线</w:t>
      </w:r>
    </w:p>
    <w:p>
      <w:pPr>
        <w:pStyle w:val="Heading1"/>
      </w:pPr>
      <w:r>
        <w:t>四、最终结论 (v3)</w:t>
      </w:r>
    </w:p>
    <w:p>
      <w:pPr>
        <w:pStyle w:val="ListBullet"/>
      </w:pPr>
      <w:r>
        <w:t>预测 overall AUC: 0.643</w:t>
      </w:r>
    </w:p>
    <w:p>
      <w:pPr>
        <w:pStyle w:val="ListBullet"/>
      </w:pPr>
      <w:r>
        <w:t>MILP @0.002/query: 真实成功率 0.810, optimality gap 0.117 (oracle 0.927)</w:t>
      </w:r>
    </w:p>
    <w:p>
      <w:pPr>
        <w:pStyle w:val="ListBullet"/>
      </w:pPr>
      <w:r>
        <w:t>相对 always-expensive: 成本约 60%, 质量保持约 95%</w:t>
      </w:r>
    </w:p>
    <w:p>
      <w:pPr>
        <w:pStyle w:val="ListBullet"/>
      </w:pPr>
      <w:r>
        <w:t>MILP @0.001/query (紧预算): 成功率 0.777, 路由增益最明显</w:t>
      </w:r>
    </w:p>
    <w:p>
      <w:pPr>
        <w:pStyle w:val="ListBullet"/>
      </w:pPr>
      <w:r>
        <w:t>失败归因 (171 条): 校准/概率误导 82, 任务本身难 66, 预测排序错 8 — 说明下一刀应在校准与难例, 而非单纯加特征</w:t>
      </w:r>
    </w:p>
    <w:p>
      <w:pPr>
        <w:pStyle w:val="ListBullet"/>
      </w:pPr>
      <w:r>
        <w:t>LLM-as-judge (Kimi moonshot-v1-8k, 12 对): flip rate 0.083, accept 0.917, 采纳准确率 1.0; hard 子集暴露 1 条长度偏置翻转并被 swap-and-aggregate 丢弃</w:t>
      </w:r>
    </w:p>
    <w:p>
      <w:pPr>
        <w:pStyle w:val="Heading1"/>
      </w:pPr>
      <w:r>
        <w:t>五、数据纪律</w:t>
      </w:r>
    </w:p>
    <w:p>
      <w:pPr>
        <w:pStyle w:val="ListBullet"/>
      </w:pPr>
      <w:r>
        <w:t>四分法: train / calibration / test / golden — golden 永不参与训练</w:t>
      </w:r>
    </w:p>
    <w:p>
      <w:pPr>
        <w:pStyle w:val="ListBullet"/>
      </w:pPr>
      <w:r>
        <w:t>修复特征穿越: TF-IDF 由全量 fit 改为每 fold 仅 train fit</w:t>
      </w:r>
    </w:p>
    <w:p>
      <w:pPr>
        <w:pStyle w:val="ListBullet"/>
      </w:pPr>
      <w:r>
        <w:t>诚实评估: MILP 真实成功率用 y_true, 不用预测值</w:t>
      </w:r>
    </w:p>
    <w:p>
      <w:pPr>
        <w:pStyle w:val="Heading1"/>
      </w:pPr>
      <w:r>
        <w:t>六、未来可提升方向</w:t>
      </w:r>
    </w:p>
    <w:p>
      <w:pPr>
        <w:pStyle w:val="ListBullet"/>
      </w:pPr>
      <w:r>
        <w:t>级联路由 (cascade): 先 cheap 试答, 低置信再升级强模型 — 与单跳 MILP 互补</w:t>
      </w:r>
    </w:p>
    <w:p>
      <w:pPr>
        <w:pStyle w:val="ListBullet"/>
      </w:pPr>
      <w:r>
        <w:t>RouterArena held-out 打榜: 用真实 API 验证泛化, 拿可验证排名</w:t>
      </w:r>
    </w:p>
    <w:p>
      <w:pPr>
        <w:pStyle w:val="ListBullet"/>
      </w:pPr>
      <w:r>
        <w:t>更强特征: 任务类型 embedding、query 难度估计、历史成功率时序</w:t>
      </w:r>
    </w:p>
    <w:p>
      <w:pPr>
        <w:pStyle w:val="ListBullet"/>
      </w:pPr>
      <w:r>
        <w:t>风险约束 MILP: 除期望成功外加入方差/最坏情况惩罚 (量化交易味)</w:t>
      </w:r>
    </w:p>
    <w:p>
      <w:pPr>
        <w:pStyle w:val="ListBullet"/>
      </w:pPr>
      <w:r>
        <w:t>扩大样本: peek 1000 → 全量 RouterBench / 时序滚动回测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