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意向书expression-of-interest"/>
      <w:r>
        <w:t xml:space="preserve">意向书（Expression of Interest）</w:t>
      </w:r>
      <w:bookmarkEnd w:id="20"/>
    </w:p>
    <w:p>
      <w:pPr>
        <w:pStyle w:val="FirstParagraph"/>
      </w:pPr>
      <w:r>
        <w:rPr>
          <w:b/>
        </w:rPr>
        <w:t xml:space="preserve">Blueprint Biosecurity — 征集公告：无差别生物威胁检测（Pathogen-Agnostic Biothreat Detection）</w:t>
      </w:r>
    </w:p>
    <w:p>
      <w:pPr>
        <w:pStyle w:val="BodyText"/>
      </w:pPr>
      <w:r>
        <w:rPr>
          <w:b/>
        </w:rPr>
        <w:t xml:space="preserve">技术领域：</w:t>
      </w:r>
      <w:r>
        <w:t xml:space="preserve"> </w:t>
      </w:r>
      <w:r>
        <w:t xml:space="preserve">TA1 — 在 MGS 数据中对已知与新颖病原体的计算检测</w:t>
      </w:r>
    </w:p>
    <w:p>
      <w:pPr>
        <w:pStyle w:val="BodyText"/>
      </w:pPr>
      <w:r>
        <w:rPr>
          <w:b/>
        </w:rPr>
        <w:t xml:space="preserve">项目题目：</w:t>
      </w:r>
      <w:r>
        <w:t xml:space="preserve"> </w:t>
      </w:r>
      <w:r>
        <w:rPr>
          <w:b/>
        </w:rPr>
        <w:t xml:space="preserve">SIEVE-MGS</w:t>
      </w:r>
      <w:r>
        <w:t xml:space="preserve"> </w:t>
      </w:r>
      <w:r>
        <w:t xml:space="preserve">— 面向生产规模宏基因组生物监测的、带召回率保证的蒸馏式 read 级新颖性筛查</w:t>
      </w:r>
    </w:p>
    <w:p>
      <w:pPr>
        <w:pStyle w:val="BodyText"/>
      </w:pPr>
      <w:r>
        <w:rPr>
          <w:b/>
        </w:rPr>
        <w:t xml:space="preserve">项目负责人（PI）：</w:t>
      </w:r>
      <w:r>
        <w:t xml:space="preserve"> </w:t>
      </w:r>
      <w:r>
        <w:t xml:space="preserve">彭思华（Sihua Peng），博士 — 佐治亚大学公共卫生学院研究科学家；佐治亚州先进计算资源中心（GACRC）联署</w:t>
      </w:r>
    </w:p>
    <w:p>
      <w:pPr>
        <w:pStyle w:val="BodyText"/>
      </w:pPr>
      <w:r>
        <w:rPr>
          <w:b/>
        </w:rPr>
        <w:t xml:space="preserve">依托单位：</w:t>
      </w:r>
      <w:r>
        <w:t xml:space="preserve"> </w:t>
      </w:r>
      <w:r>
        <w:t xml:space="preserve">美国佐治亚大学（University of Georgia），佐治亚州雅典市</w:t>
      </w:r>
    </w:p>
    <w:p>
      <w:pPr>
        <w:pStyle w:val="BodyText"/>
      </w:pPr>
      <w:r>
        <w:rPr>
          <w:b/>
        </w:rPr>
        <w:t xml:space="preserve">申请执行期：</w:t>
      </w:r>
      <w:r>
        <w:t xml:space="preserve"> </w:t>
      </w:r>
      <w:r>
        <w:t xml:space="preserve">12 个月</w:t>
      </w:r>
    </w:p>
    <w:p>
      <w:pPr>
        <w:pStyle w:val="BodyText"/>
      </w:pPr>
      <w:r>
        <w:rPr>
          <w:b/>
        </w:rPr>
        <w:t xml:space="preserve">申请预算（概算）：</w:t>
      </w:r>
      <w:r>
        <w:t xml:space="preserve"> </w:t>
      </w:r>
      <w:r>
        <w:t xml:space="preserve">$269,500（直接费 + 间接费；详见第 5 节）</w:t>
      </w:r>
    </w:p>
    <w:p>
      <w:pPr>
        <w:pStyle w:val="BodyText"/>
      </w:pPr>
      <w:r>
        <w:rPr>
          <w:b/>
        </w:rPr>
        <w:t xml:space="preserve">日期：</w:t>
      </w:r>
      <w:r>
        <w:t xml:space="preserve"> </w:t>
      </w:r>
      <w:r>
        <w:t xml:space="preserve">[填写] |</w:t>
      </w:r>
      <w:r>
        <w:t xml:space="preserve"> </w:t>
      </w:r>
      <w:r>
        <w:rPr>
          <w:b/>
        </w:rPr>
        <w:t xml:space="preserve">联系方式：</w:t>
      </w:r>
      <w:r>
        <w:t xml:space="preserve"> </w:t>
      </w:r>
      <w:r>
        <w:t xml:space="preserve">[填写邮箱 / 电话]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问题陈述"/>
      <w:r>
        <w:t xml:space="preserve">1. 问题陈述</w:t>
      </w:r>
      <w:bookmarkEnd w:id="21"/>
    </w:p>
    <w:p>
      <w:pPr>
        <w:pStyle w:val="FirstParagraph"/>
      </w:pPr>
      <w:r>
        <w:t xml:space="preserve">一个实际运行的宏基因组监测项目每周产生约 10¹⁰ 条 reads。而最擅长识别</w:t>
      </w:r>
      <w:r>
        <w:t xml:space="preserve">“</w:t>
      </w:r>
      <w:r>
        <w:t xml:space="preserve">从没有人见过的病毒</w:t>
      </w:r>
      <w:r>
        <w:t xml:space="preserve">”</w:t>
      </w:r>
      <w:r>
        <w:t xml:space="preserve">的那类模型，根本跑不动它们。</w:t>
      </w:r>
    </w:p>
    <w:p>
      <w:pPr>
        <w:pStyle w:val="BodyText"/>
      </w:pPr>
      <w:r>
        <w:t xml:space="preserve">这是结构性约束，不是资源抱怨。基因组基础模型确实实质性地提升了新颖病毒的识别能力——基于 DNABERT-2 构建的 ViraLM 是最清楚的例证 [1]——但它们对每条序列的推理开销在毫秒量级，比汇水区级别的周度运行所能承受的速度慢四到五个数量级。标准应对是</w:t>
      </w:r>
      <w:r>
        <w:t xml:space="preserve">“</w:t>
      </w:r>
      <w:r>
        <w:t xml:space="preserve">先组装、再对 contig 而非 read 打分</w:t>
      </w:r>
      <w:r>
        <w:t xml:space="preserve">”</w:t>
      </w:r>
      <w:r>
        <w:t xml:space="preserve">。而它恰恰在早期预警所在的区间失效：相对丰度 10⁻⁷ 的病原体在一份样本里只贡献个位数的 reads，永远拼不出 contig。</w:t>
      </w:r>
      <w:r>
        <w:rPr>
          <w:b/>
        </w:rPr>
        <w:t xml:space="preserve">组装不是中性的提效步骤，它是一道灵敏度地板，正好铺在我们想捕捉的信号底下。</w:t>
      </w:r>
    </w:p>
    <w:p>
      <w:pPr>
        <w:pStyle w:val="BodyText"/>
      </w:pPr>
      <w:r>
        <w:t xml:space="preserve">于是流程被迫在两个都会在关键情形上失效的选项之间二选一：快速的、基于参考库的分类器无法给库里没有的东西打分；准确的无参考模型则在规模上负担不起。像 DeepVirFinder [2] 这样的 read 级分类器介于两极之间，但它早于基础模型时代，也未针对</w:t>
      </w:r>
      <w:r>
        <w:t xml:space="preserve">“</w:t>
      </w:r>
      <w:r>
        <w:t xml:space="preserve">新颖性</w:t>
      </w:r>
      <w:r>
        <w:t xml:space="preserve">”</w:t>
      </w:r>
      <w:r>
        <w:t xml:space="preserve">（区别于</w:t>
      </w:r>
      <w:r>
        <w:t xml:space="preserve">“</w:t>
      </w:r>
      <w:r>
        <w:t xml:space="preserve">病毒性</w:t>
      </w:r>
      <w:r>
        <w:t xml:space="preserve">”</w:t>
      </w:r>
      <w:r>
        <w:t xml:space="preserve">）校准。</w:t>
      </w:r>
    </w:p>
    <w:p>
      <w:pPr>
        <w:pStyle w:val="BodyText"/>
      </w:pPr>
      <w:r>
        <w:t xml:space="preserve">SIEVE-MGS 不是在这两难之间折衷，而是把它取消掉，依据的是一个观察：</w:t>
      </w:r>
      <w:r>
        <w:rPr>
          <w:b/>
        </w:rPr>
        <w:t xml:space="preserve">如果把基础模型当作</w:t>
      </w:r>
      <w:r>
        <w:rPr>
          <w:b/>
        </w:rPr>
        <w:t xml:space="preserve">“</w:t>
      </w:r>
      <w:r>
        <w:rPr>
          <w:b/>
        </w:rPr>
        <w:t xml:space="preserve">教师</w:t>
      </w:r>
      <w:r>
        <w:rPr>
          <w:b/>
        </w:rPr>
        <w:t xml:space="preserve">”</w:t>
      </w:r>
      <w:r>
        <w:rPr>
          <w:b/>
        </w:rPr>
        <w:t xml:space="preserve">而不是</w:t>
      </w:r>
      <w:r>
        <w:rPr>
          <w:b/>
        </w:rPr>
        <w:t xml:space="preserve">“</w:t>
      </w:r>
      <w:r>
        <w:rPr>
          <w:b/>
        </w:rPr>
        <w:t xml:space="preserve">预测器</w:t>
      </w:r>
      <w:r>
        <w:rPr>
          <w:b/>
        </w:rPr>
        <w:t xml:space="preserve">”</w:t>
      </w:r>
      <w:r>
        <w:rPr>
          <w:b/>
        </w:rPr>
        <w:t xml:space="preserve">，它的代价就只在训练时付一次，而不在推理时付。</w:t>
      </w:r>
      <w:r>
        <w:t xml:space="preserve"> </w:t>
      </w:r>
      <w:r>
        <w:t xml:space="preserve">我们把基础模型的表征蒸馏进一个紧凑的 read 级筛查器，使其在无需任何参考索引的前提下达到生产吞吐量；并且——因为一个要丢弃 99.99% 数据的滤网，只有在你能界定它丢掉了什么的时候才敢部署——我们为</w:t>
      </w:r>
      <w:r>
        <w:t xml:space="preserve">“</w:t>
      </w:r>
      <w:r>
        <w:t xml:space="preserve">被丢弃的真阳性 reads 所占比例</w:t>
      </w:r>
      <w:r>
        <w:t xml:space="preserve">”</w:t>
      </w:r>
      <w:r>
        <w:t xml:space="preserve">附上一个可证明的上界。其成果不替代任何东西：它是一道前置滤网，任何现有项目都可以装在自己已在跑的流程前面。</w:t>
      </w:r>
    </w:p>
    <w:p>
      <w:pPr>
        <w:pStyle w:val="Heading2"/>
      </w:pPr>
      <w:bookmarkStart w:id="22" w:name="技术路线"/>
      <w:r>
        <w:t xml:space="preserve">2. 技术路线</w:t>
      </w:r>
      <w:bookmarkEnd w:id="22"/>
    </w:p>
    <w:p>
      <w:pPr>
        <w:pStyle w:val="Heading3"/>
      </w:pPr>
      <w:bookmarkStart w:id="23" w:name="目标一-蒸馏出带召回保证的-read-级新颖性模型第-17-月"/>
      <w:r>
        <w:t xml:space="preserve">目标一 — 蒸馏出带召回保证的 read 级新颖性模型（第 1–7 月）</w:t>
      </w:r>
      <w:bookmarkEnd w:id="23"/>
    </w:p>
    <w:p>
      <w:pPr>
        <w:pStyle w:val="FirstParagraph"/>
      </w:pPr>
      <w:r>
        <w:rPr>
          <w:b/>
        </w:rPr>
        <w:t xml:space="preserve">为什么必须是蒸馏，而不是直接训一个小模型。</w:t>
      </w:r>
      <w:r>
        <w:t xml:space="preserve"> </w:t>
      </w:r>
      <w:r>
        <w:t xml:space="preserve">这是本项目的核心主张，也是唯一一条可被证伪的主张。一个在留出分支（leave-one-clade-out）数据上从零训练的紧凑网络，学到的是</w:t>
      </w:r>
      <w:r>
        <w:t xml:space="preserve">“</w:t>
      </w:r>
      <w:r>
        <w:t xml:space="preserve">它见过的那些分支长什么样</w:t>
      </w:r>
      <w:r>
        <w:t xml:space="preserve">”</w:t>
      </w:r>
      <w:r>
        <w:t xml:space="preserve">，超出这一经验就会退化。强迫学生去匹配教师模型的</w:t>
      </w:r>
      <w:r>
        <w:rPr>
          <w:b/>
        </w:rPr>
        <w:t xml:space="preserve">表征几何</w:t>
      </w:r>
      <w:r>
        <w:t xml:space="preserve"> </w:t>
      </w:r>
      <w:r>
        <w:t xml:space="preserve">[6,7]，迁移的是</w:t>
      </w:r>
      <w:r>
        <w:t xml:space="preserve">“</w:t>
      </w:r>
      <w:r>
        <w:t xml:space="preserve">病毒性</w:t>
      </w:r>
      <w:r>
        <w:t xml:space="preserve">”</w:t>
      </w:r>
      <w:r>
        <w:t xml:space="preserve">这一抽象结构，而不是对具体分支的记忆。因此训练目标包含两项：留出分支模拟数据上的监督损失，以及针对冻结的教师嵌入的表征匹配损失。</w:t>
      </w:r>
      <w:r>
        <w:rPr>
          <w:b/>
        </w:rPr>
        <w:t xml:space="preserve">第 3 月的消融实验直接检验表征匹配项是否就是跨分支泛化的来源。</w:t>
      </w:r>
      <w:r>
        <w:t xml:space="preserve"> </w:t>
      </w:r>
      <w:r>
        <w:t xml:space="preserve">如果不是，本项目的前提即为错误，而我们会早到还来得及调整的时候就知道。 请注意学生学的是什么：</w:t>
      </w:r>
      <w:r>
        <w:rPr>
          <w:b/>
        </w:rPr>
        <w:t xml:space="preserve">它从不翻译，也从不看见蛋白</w:t>
      </w:r>
      <w:r>
        <w:t xml:space="preserve">。它学的是直接在原始核酸空间里识别出 ESM-2 只有翻译之后才能看到的蛋白层面特征。</w:t>
      </w:r>
    </w:p>
    <w:p>
      <w:pPr>
        <w:pStyle w:val="BodyText"/>
      </w:pPr>
      <w:r>
        <w:rPr>
          <w:b/>
        </w:rPr>
        <w:t xml:space="preserve">教师只用一个蛋白通道，这是一项技术决策。</w:t>
      </w:r>
      <w:r>
        <w:t xml:space="preserve"> </w:t>
      </w:r>
      <w:r>
        <w:t xml:space="preserve">核酸语言模型在这里不可用，原因有两条且彼此独立：其一，它们的语料恰恰缺少我们需要的东西——Evo 2 出于生物安全刻意剔除了感染真核宿主的病毒，在正是这类序列上困惑度很高 [3]，Nucleotide Transformer 一系则建立在宿主而非病毒基因组之上 [4]；其二，一条 150 bp 的 read 只有 30–40 个 token，而这些模型按千碱基级上下文训练，何况</w:t>
      </w:r>
      <w:r>
        <w:rPr>
          <w:b/>
        </w:rPr>
        <w:t xml:space="preserve">低于 80% ANI，信号大体已离开核酸字母表。蛋白层面没有。</w:t>
      </w:r>
      <w:r>
        <w:t xml:space="preserve"> </w:t>
      </w:r>
      <w:r>
        <w:t xml:space="preserve">因此教师是</w:t>
      </w:r>
      <w:r>
        <w:rPr>
          <w:b/>
        </w:rPr>
        <w:t xml:space="preserve">单独的 ESM-2 [5]</w:t>
      </w:r>
      <w:r>
        <w:t xml:space="preserve">，作用于六个翻译框并跨框汇合：其 UniRef 语料含病毒蛋白，表征能在早期预警所处的发散区间存活。不含编码内容的 reads 并非盲区：六个框都会被嵌到远离蛋白空间处，这本身即信息。50 aa 片段的嵌入质量作为第 1 月检查项。教师仅离线运行、仅用于训练数据，不属于交付物。</w:t>
      </w:r>
    </w:p>
    <w:p>
      <w:pPr>
        <w:pStyle w:val="BodyText"/>
      </w:pPr>
      <w:r>
        <w:rPr>
          <w:b/>
        </w:rPr>
        <w:t xml:space="preserve">标签来自构造，而不是来自教师。</w:t>
      </w:r>
      <w:r>
        <w:t xml:space="preserve"> </w:t>
      </w:r>
      <w:r>
        <w:t xml:space="preserve">被留出的分支会从所有参考库、训练集与教师拟合集中整体移除；随后在真实错误谱下从留出基因组模拟 75–300 bp 的 reads 并注入真实污水背景，真值因构造而精确。难度以</w:t>
      </w:r>
      <w:r>
        <w:t xml:space="preserve">“</w:t>
      </w:r>
      <w:r>
        <w:t xml:space="preserve">到最近保留邻居的 ANI</w:t>
      </w:r>
      <w:r>
        <w:t xml:space="preserve">”</w:t>
      </w:r>
      <w:r>
        <w:t xml:space="preserve">连续标定，结果按难度分层报告——因为汇总会掩盖 80% 以下同一性那个区间，而真正新颖的病原体恰恰落在那里。</w:t>
      </w:r>
    </w:p>
    <w:p>
      <w:pPr>
        <w:pStyle w:val="BodyText"/>
      </w:pPr>
      <w:r>
        <w:rPr>
          <w:b/>
        </w:rPr>
        <w:t xml:space="preserve">模型有两个输出头，而负类并不干净。</w:t>
      </w:r>
      <w:r>
        <w:t xml:space="preserve"> </w:t>
      </w:r>
      <w:r>
        <w:t xml:space="preserve">我们分别估计 p(感染脊椎动物) 与 p(位于已知病毒空间之外)——噬菌体在污水病毒组中占绝对多数，属背景而非信号——两者同时高的 reads 才保留。真实背景并非干净的负样本集：其中既有</w:t>
      </w:r>
      <w:r>
        <w:rPr>
          <w:b/>
        </w:rPr>
        <w:t xml:space="preserve">已知病毒</w:t>
      </w:r>
      <w:r>
        <w:t xml:space="preserve">（可比对参考库重标），也有</w:t>
      </w:r>
      <w:r>
        <w:rPr>
          <w:b/>
        </w:rPr>
        <w:t xml:space="preserve">未知病毒</w:t>
      </w:r>
      <w:r>
        <w:t xml:space="preserve">（无法识别，而它们恰恰是我们的目标）。因此我们不把背景当作负类，而是在</w:t>
      </w:r>
      <w:r>
        <w:rPr>
          <w:b/>
        </w:rPr>
        <w:t xml:space="preserve">正样本—未标注（PU）框架 [9]</w:t>
      </w:r>
      <w:r>
        <w:t xml:space="preserve"> </w:t>
      </w:r>
      <w:r>
        <w:t xml:space="preserve">下训练，并估计背景中残余的正类比例，使报告的假阳性率不被正确检出抬高。学生模型是反向互补等变的膨胀卷积网络 [8]，≤5M 参数、INT8 量化，同时处理双链与 DNA/RNA，长读分块处理。</w:t>
      </w:r>
    </w:p>
    <w:p>
      <w:pPr>
        <w:pStyle w:val="BodyText"/>
      </w:pPr>
      <w:r>
        <w:rPr>
          <w:b/>
        </w:rPr>
        <w:t xml:space="preserve">保证才是它可部署的原因。</w:t>
      </w:r>
      <w:r>
        <w:t xml:space="preserve"> </w:t>
      </w:r>
      <w:r>
        <w:t xml:space="preserve">借助 conformal risk control [10]，我们选取保留阈值 λ，使得真正新颖的 reads 落入</w:t>
      </w:r>
      <w:r>
        <w:rPr>
          <w:b/>
        </w:rPr>
        <w:t xml:space="preserve">被丢弃集合</w:t>
      </w:r>
      <w:r>
        <w:t xml:space="preserve">的期望比例不超过 ε，置信度为 1−δ。目标一的核心交付物不是某一个工作点，而是完整的</w:t>
      </w:r>
      <w:r>
        <w:t xml:space="preserve"> </w:t>
      </w:r>
      <w:r>
        <w:rPr>
          <w:b/>
        </w:rPr>
        <w:t xml:space="preserve">(ε, 压缩比) 曲线</w:t>
      </w:r>
      <w:r>
        <w:t xml:space="preserve">：你说出你能容忍多大的漏检率，我们说出数据能消失几个数量级。</w:t>
      </w:r>
    </w:p>
    <w:p>
      <w:pPr>
        <w:pStyle w:val="BodyText"/>
      </w:pPr>
      <w:r>
        <w:t xml:space="preserve">我们同样会写出这个保证在哪里变弱。Conformal risk control 依赖可交换性，而不同汇水区、季节、文库化学之间并不可交换。因此我们按站点做滚动校准，并把</w:t>
      </w:r>
      <w:r>
        <w:t xml:space="preserve">“</w:t>
      </w:r>
      <w:r>
        <w:t xml:space="preserve">该界在刻意分布漂移下退化多少</w:t>
      </w:r>
      <w:r>
        <w:t xml:space="preserve">”</w:t>
      </w:r>
      <w:r>
        <w:t xml:space="preserve">作为具名交付物报告，而非塞进附录。</w:t>
      </w:r>
    </w:p>
    <w:p>
      <w:pPr>
        <w:pStyle w:val="Heading3"/>
      </w:pPr>
      <w:bookmarkStart w:id="24" w:name="目标二-生产特性刻画与即插即用部署第-412-月"/>
      <w:r>
        <w:t xml:space="preserve">目标二 — 生产特性刻画与</w:t>
      </w:r>
      <w:r>
        <w:t xml:space="preserve">“</w:t>
      </w:r>
      <w:r>
        <w:t xml:space="preserve">即插即用</w:t>
      </w:r>
      <w:r>
        <w:t xml:space="preserve">”</w:t>
      </w:r>
      <w:r>
        <w:t xml:space="preserve">部署（第 4–12 月）</w:t>
      </w:r>
      <w:bookmarkEnd w:id="24"/>
    </w:p>
    <w:p>
      <w:pPr>
        <w:pStyle w:val="FirstParagraph"/>
      </w:pPr>
      <w:r>
        <w:t xml:space="preserve">决定性的实验可以用一句话概括：</w:t>
      </w:r>
      <w:r>
        <w:rPr>
          <w:b/>
        </w:rPr>
        <w:t xml:space="preserve">只喂给下游流程 0.01% 的 reads，它还能不能找到同样的东西？</w:t>
      </w:r>
      <w:r>
        <w:t xml:space="preserve"> </w:t>
      </w:r>
      <w:r>
        <w:t xml:space="preserve">我们把 SIEVE-MGS 装在 nf-core/mag、mgs-workflow、Kraken2/Bracken 与 geNomad 前面，比较</w:t>
      </w:r>
      <w:r>
        <w:t xml:space="preserve">“</w:t>
      </w:r>
      <w:r>
        <w:t xml:space="preserve">全量输入</w:t>
      </w:r>
      <w:r>
        <w:t xml:space="preserve">”</w:t>
      </w:r>
      <w:r>
        <w:t xml:space="preserve">与</w:t>
      </w:r>
      <w:r>
        <w:t xml:space="preserve">“</w:t>
      </w:r>
      <w:r>
        <w:t xml:space="preserve">筛后输入</w:t>
      </w:r>
      <w:r>
        <w:t xml:space="preserve">”</w:t>
      </w:r>
      <w:r>
        <w:t xml:space="preserve">在回收类群、contig 与标记候选上的一致性，同时给出端到端的墙钟时间与美元成本。</w:t>
      </w:r>
      <w:r>
        <w:t xml:space="preserve">“</w:t>
      </w:r>
      <w:r>
        <w:rPr>
          <w:b/>
        </w:rPr>
        <w:t xml:space="preserve">同样的答案，千分之一的算力</w:t>
      </w:r>
      <w:r>
        <w:t xml:space="preserve">”</w:t>
      </w:r>
      <w:r>
        <w:t xml:space="preserve">这句话，决定了 CDC Biothreat Radar、NWSS 或 mSCAPE 这类项目是否真的装得上去——因此它是被测量出来的，不是被断言的。</w:t>
      </w:r>
    </w:p>
    <w:p>
      <w:pPr>
        <w:pStyle w:val="BodyText"/>
      </w:pPr>
      <w:r>
        <w:t xml:space="preserve">另有三项刻画并行进行。</w:t>
      </w:r>
    </w:p>
    <w:p>
      <w:pPr>
        <w:pStyle w:val="BodyText"/>
      </w:pPr>
      <w:r>
        <w:rPr>
          <w:i/>
        </w:rPr>
        <w:t xml:space="preserve">吞吐与成本。</w:t>
      </w:r>
      <w:r>
        <w:t xml:space="preserve"> </w:t>
      </w:r>
      <w:r>
        <w:t xml:space="preserve">每 GPU 与每 CPU 核的 reads/秒、商用云上每十亿 reads 的成本、常驻内存，以及无需加载索引的流式模式。许多州公共卫生实验室没有 GPU，因此纯 CPU 路径是刚需而非附赠。目标是在 A100 级 GPU 上达到 ≥5×10⁵ reads/s——百亿 reads 的周度运行约五个 GPU-小时——但</w:t>
      </w:r>
      <w:r>
        <w:rPr>
          <w:b/>
        </w:rPr>
        <w:t xml:space="preserve">实测数字本身就是主要交付物</w:t>
      </w:r>
      <w:r>
        <w:t xml:space="preserve">，无论结果如何都会公布。</w:t>
      </w:r>
    </w:p>
    <w:p>
      <w:pPr>
        <w:pStyle w:val="BodyText"/>
      </w:pPr>
      <w:r>
        <w:rPr>
          <w:i/>
        </w:rPr>
        <w:t xml:space="preserve">真实背景下的保留率。</w:t>
      </w:r>
      <w:r>
        <w:t xml:space="preserve"> </w:t>
      </w:r>
      <w:r>
        <w:t xml:space="preserve">在模拟数据上压缩 10⁴× 什么也证明不了。我们在 CASPER（PRJNA1247874）、NWSS（PRJNA747181）、Tisza 2023（PRJNA966185）、Wolfe 2026（PRJNA1438722）与 Zephyr/Broad 鼻拭子（PRJNA1052714）上实测保留率，最后一项兼测跨样本类型迁移。如果真实污水只压得动 100×，我们就报 100×——因为 100× 在运营上依然是决定性的。</w:t>
      </w:r>
    </w:p>
    <w:p>
      <w:pPr>
        <w:pStyle w:val="BodyText"/>
      </w:pPr>
      <w:r>
        <w:rPr>
          <w:i/>
        </w:rPr>
        <w:t xml:space="preserve">历史突发事件上的召回。</w:t>
      </w:r>
      <w:r>
        <w:t xml:space="preserve"> </w:t>
      </w:r>
      <w:r>
        <w:t xml:space="preserve">针对 2022 年 mpox 与 2024 年 H5N1 入污水，我们只问本项目该负责的那个窄问题：在相关 reads 确实存在的最早时间点上，</w:t>
      </w:r>
      <w:r>
        <w:rPr>
          <w:b/>
        </w:rPr>
        <w:t xml:space="preserve">筛查器把它们保留下来了吗？</w:t>
      </w:r>
      <w:r>
        <w:t xml:space="preserve"> </w:t>
      </w:r>
      <w:r>
        <w:t xml:space="preserve">是否告警、何时告警是另一个问题，本提案不声称回答。</w:t>
      </w:r>
    </w:p>
    <w:p>
      <w:pPr>
        <w:pStyle w:val="Heading2"/>
      </w:pPr>
      <w:bookmarkStart w:id="25" w:name="交付物开放获取与执行速度"/>
      <w:r>
        <w:t xml:space="preserve">3. 交付物、开放获取与执行速度</w:t>
      </w:r>
      <w:bookmarkEnd w:id="25"/>
    </w:p>
    <w:p>
      <w:pPr>
        <w:pStyle w:val="FirstParagraph"/>
      </w:pPr>
      <w:r>
        <w:rPr>
          <w:rStyle w:val="VerbatimChar"/>
        </w:rPr>
        <w:t xml:space="preserve">sieve</w:t>
      </w:r>
      <w:r>
        <w:t xml:space="preserve"> </w:t>
      </w:r>
      <w:r>
        <w:t xml:space="preserve">自第 3 月起以 MIT/Apache-2.0 许可在 GitHub 公开，全程开放开发而非结束时一次性倾倒：PyTorch 训练代码、ONNX/TensorRT 部署、纯 CPU 回退，以及 nf-core 风格的 Nextflow 模块——已在跑 nf-core/mag 的项目只需加一步即可接入。权重、校准工件与基准数据发布至 Hugging Face 与 Zenodo（附持久 DOI）。预计两篇论文，均在投稿时同步预印。</w:t>
      </w:r>
    </w:p>
    <w:p>
      <w:pPr>
        <w:pStyle w:val="BodyText"/>
      </w:pPr>
      <w:r>
        <w:t xml:space="preserve">我们</w:t>
      </w:r>
      <w:r>
        <w:rPr>
          <w:b/>
        </w:rPr>
        <w:t xml:space="preserve">刻意不另建基准数据集</w:t>
      </w:r>
      <w:r>
        <w:t xml:space="preserve">：已有或将有的公开基准都会在其上评测，并把留一分支划分回馈社区。本项目的贡献是模型、保证与实测运行成本。</w:t>
      </w:r>
    </w:p>
    <w:p>
      <w:pPr>
        <w:pStyle w:val="BodyText"/>
      </w:pPr>
      <w:r>
        <w:t xml:space="preserve">关于执行速度：不需湿实验、新采样或新硬件；数据均已公开并下载完毕，分析第一周即可开始。两个主要检查点都刻意设计成</w:t>
      </w:r>
      <w:r>
        <w:t xml:space="preserve">“</w:t>
      </w:r>
      <w:r>
        <w:t xml:space="preserve">早失败而非晚失败</w:t>
      </w:r>
      <w:r>
        <w:t xml:space="preserve">”</w:t>
      </w:r>
      <w:r>
        <w:t xml:space="preserve">。</w:t>
      </w:r>
    </w:p>
    <w:p>
      <w:pPr>
        <w:pStyle w:val="Heading2"/>
      </w:pPr>
      <w:bookmarkStart w:id="26" w:name="团队与能力"/>
      <w:r>
        <w:t xml:space="preserve">4. 团队与能力</w:t>
      </w:r>
      <w:bookmarkEnd w:id="26"/>
    </w:p>
    <w:p>
      <w:pPr>
        <w:pStyle w:val="FirstParagraph"/>
      </w:pPr>
      <w:r>
        <w:rPr>
          <w:b/>
        </w:rPr>
        <w:t xml:space="preserve">彭思华博士 — 项目负责人。</w:t>
      </w:r>
      <w:r>
        <w:t xml:space="preserve"> </w:t>
      </w:r>
      <w:r>
        <w:t xml:space="preserve">佐治亚大学公共卫生学院研究科学家；40 余篇同行评审论文（h 指数 24），横跨计算生物学、生物统计学与机器学习。</w:t>
      </w:r>
      <w:r>
        <w:rPr>
          <w:b/>
        </w:rPr>
        <w:t xml:space="preserve">本项目里深度学习那一半是已被证实的能力，而非自述</w:t>
      </w:r>
      <w:r>
        <w:t xml:space="preserve">：PI 长期开发并公开发布微调的蛋白与生物语言模型（huggingface.co/sihuapeng），数个为 3B 量级——</w:t>
      </w:r>
      <w:r>
        <w:rPr>
          <w:b/>
        </w:rPr>
        <w:t xml:space="preserve">正是目标一教师所依托的同一模型家族</w:t>
      </w:r>
      <w:r>
        <w:t xml:space="preserve">；这也是我们能为 RFP 开放性评分项提供的最直接证据：</w:t>
      </w:r>
      <w:r>
        <w:rPr>
          <w:rStyle w:val="VerbatimChar"/>
        </w:rPr>
        <w:t xml:space="preserve">sieve</w:t>
      </w:r>
      <w:r>
        <w:t xml:space="preserve"> </w:t>
      </w:r>
      <w:r>
        <w:t xml:space="preserve">的权重与校准工件将以同样方式发布在同一平台。PI 同时在 Illumina、PacBio HiFi 与 Nanopore 三平台开展生产级宏基因组工作，经 GACRC 的 SLURM 集群规模化运行。这一组合很少见：蛋白语言模型工程、无分布假设的不确定性量化，以及对宏基因组流程真实成本的一手经验。目标一里的那个保证不是装饰——它是公共卫生项目愿意丢掉 99.99% 数据的</w:t>
      </w:r>
      <w:r>
        <w:rPr>
          <w:b/>
        </w:rPr>
        <w:t xml:space="preserve">唯一理由</w:t>
      </w:r>
      <w:r>
        <w:t xml:space="preserve">，而把它陈述正确首先是统计学问题，其次才是机器学习问题。</w:t>
      </w:r>
    </w:p>
    <w:p>
      <w:pPr>
        <w:pStyle w:val="BodyText"/>
      </w:pPr>
      <w:r>
        <w:t xml:space="preserve">我们欢迎 Blueprint 引荐运营方伙伴（NWSS 水厂、佐治亚州公共卫生部、CASPER、Zephyr）开展部署测试，也乐于与互补的 TA1/TA2 提案组队。</w:t>
      </w:r>
    </w:p>
    <w:p>
      <w:pPr>
        <w:pStyle w:val="BodyText"/>
      </w:pPr>
      <w:r>
        <w:rPr>
          <w:i/>
        </w:rPr>
        <w:t xml:space="preserve">同期提交声明：</w:t>
      </w:r>
      <w:r>
        <w:t xml:space="preserve"> </w:t>
      </w:r>
      <w:r>
        <w:t xml:space="preserve">本组另行提交一份 TA3 意向书（</w:t>
      </w:r>
      <w:r>
        <w:rPr>
          <w:b/>
        </w:rPr>
        <w:t xml:space="preserve">DPD</w:t>
      </w:r>
      <w:r>
        <w:t xml:space="preserve">，序贯检测统计学与预算—预警时长建模），由 Justin Bahl 教授任 PI。两者互补而独立：SIEVE-MGS 决定哪些 reads 值得留下，DPD 决定一条轨迹何时值得告警、要花多少钱。各自自洽、独立立项与编列预算、由不同负责人牵头，任何一方都不以另一方获资助为前提。</w:t>
      </w:r>
    </w:p>
    <w:p>
      <w:pPr>
        <w:pStyle w:val="Heading2"/>
      </w:pPr>
      <w:bookmarkStart w:id="27" w:name="预算概算12-个月"/>
      <w:r>
        <w:t xml:space="preserve">5. 预算概算（12 个月）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 工时（25% FTE）</w:t>
            </w:r>
          </w:p>
        </w:tc>
        <w:tc>
          <w:p>
            <w:pPr>
              <w:pStyle w:val="Compact"/>
              <w:jc w:val="left"/>
            </w:pPr>
            <w:r>
              <w:t xml:space="preserve">$40,000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博士后研究员 / 机器学习科学家（100% FTE）</w:t>
            </w:r>
          </w:p>
        </w:tc>
        <w:tc>
          <w:p>
            <w:pPr>
              <w:pStyle w:val="Compact"/>
              <w:jc w:val="left"/>
            </w:pPr>
            <w:r>
              <w:t xml:space="preserve">$82,000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研究生助研（50% FTE，含学费）</w:t>
            </w:r>
          </w:p>
        </w:tc>
        <w:tc>
          <w:p>
            <w:pPr>
              <w:pStyle w:val="Compact"/>
              <w:jc w:val="left"/>
            </w:pPr>
            <w:r>
              <w:t xml:space="preserve">$46,000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员工福利（Fringe）</w:t>
            </w:r>
          </w:p>
        </w:tc>
        <w:tc>
          <w:p>
            <w:pPr>
              <w:pStyle w:val="Compact"/>
              <w:jc w:val="left"/>
            </w:pPr>
            <w:r>
              <w:t xml:space="preserve">$37,000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计算：教师推理、蒸馏训练与吞吐基准</w:t>
            </w:r>
          </w:p>
        </w:tc>
        <w:tc>
          <w:p>
            <w:pPr>
              <w:pStyle w:val="Compact"/>
              <w:jc w:val="left"/>
            </w:pPr>
            <w:r>
              <w:t xml:space="preserve">$30,000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发表、传播与差旅</w:t>
            </w:r>
          </w:p>
        </w:tc>
        <w:tc>
          <w:p>
            <w:pPr>
              <w:pStyle w:val="Compact"/>
              <w:jc w:val="left"/>
            </w:pPr>
            <w:r>
              <w:t xml:space="preserve">$10,000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直接费用合计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$245,000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间接费用（直接费 10%，按 Blueprint 政策）</w:t>
            </w:r>
          </w:p>
        </w:tc>
        <w:tc>
          <w:p>
            <w:pPr>
              <w:pStyle w:val="Compact"/>
              <w:jc w:val="left"/>
            </w:pPr>
            <w:r>
              <w:t xml:space="preserve">$24,500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申请总额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$269,500</w:t>
            </w:r>
          </w:p>
        </w:tc>
      </w:tr>
    </w:tbl>
    <w:p>
      <w:pPr>
        <w:pStyle w:val="BodyText"/>
      </w:pPr>
      <w:r>
        <w:t xml:space="preserve">计算费确有必要：生成教师嵌入与跨硬件刻画吞吐都是 GPU 密集型的，单一设备上测出的数字毫无价值。GACRC 免费提供集群计算、存储与容器基础设施，因此这一行仅覆盖云端弹性算力与归档托管。间接费用按 Blueprint 公布的 10% 上限编列；佐治亚大学协商 F&amp;A 费率高于此值，机构豁免申请正通过科研办公室着手办理，而非拖到全额提案阶段。项目按模块设计：</w:t>
      </w:r>
      <w:r>
        <w:rPr>
          <w:b/>
        </w:rPr>
        <w:t xml:space="preserve">若 Blueprint 倾向更紧凑的范围，仅目标一即构成一个自洽的独立项目，约 $175,000。</w:t>
      </w:r>
    </w:p>
    <w:p>
      <w:pPr>
        <w:pStyle w:val="Heading2"/>
      </w:pPr>
      <w:bookmarkStart w:id="28" w:name="风险与应对"/>
      <w:r>
        <w:t xml:space="preserve">6. 风险与应对</w:t>
      </w:r>
      <w:bookmarkEnd w:id="28"/>
    </w:p>
    <w:p>
      <w:pPr>
        <w:pStyle w:val="FirstParagraph"/>
      </w:pPr>
      <w:r>
        <w:rPr>
          <w:b/>
        </w:rPr>
        <w:t xml:space="preserve">蒸馏可能无法跨分支迁移。</w:t>
      </w:r>
      <w:r>
        <w:t xml:space="preserve"> </w:t>
      </w:r>
      <w:r>
        <w:t xml:space="preserve">中心假设，最先检验：第 3 月的消融对照</w:t>
      </w:r>
      <w:r>
        <w:t xml:space="preserve">“</w:t>
      </w:r>
      <w:r>
        <w:t xml:space="preserve">去掉表征匹配项、尺寸相同</w:t>
      </w:r>
      <w:r>
        <w:t xml:space="preserve">”</w:t>
      </w:r>
      <w:r>
        <w:t xml:space="preserve">的模型，按 ANI 分层。若该项毫无贡献，退路是放大学生模型——仍比教师快两个数量级——而这一否定结果本身即可发表。</w:t>
      </w:r>
    </w:p>
    <w:p>
      <w:pPr>
        <w:pStyle w:val="BodyText"/>
      </w:pPr>
      <w:r>
        <w:rPr>
          <w:b/>
        </w:rPr>
        <w:t xml:space="preserve">真实背景的压缩比可能远低于模拟数据。</w:t>
      </w:r>
      <w:r>
        <w:t xml:space="preserve"> </w:t>
      </w:r>
      <w:r>
        <w:t xml:space="preserve">在第 2 月而非第 10 月测量。交付物是 (ε, 压缩比) 曲线，不是营销数字。</w:t>
      </w:r>
    </w:p>
    <w:p>
      <w:pPr>
        <w:pStyle w:val="BodyText"/>
      </w:pPr>
      <w:r>
        <w:rPr>
          <w:b/>
        </w:rPr>
        <w:t xml:space="preserve">可交换性失效会削弱 conformal 界，且足够发散的病原体可能逃过任何学习到的表征。</w:t>
      </w:r>
      <w:r>
        <w:t xml:space="preserve"> </w:t>
      </w:r>
      <w:r>
        <w:t xml:space="preserve">前者以逐站点滚动校准应对，退化幅度由跨站点、跨季节、跨平台的漂移压力测试量化；后者正是筛查器设为高召回、低精度的原因——我们界定的是被丢弃的部分而非被保留的部分，控假阳性是下游的职责。</w:t>
      </w:r>
    </w:p>
    <w:p>
      <w:pPr>
        <w:pStyle w:val="Heading2"/>
      </w:pPr>
      <w:bookmarkStart w:id="29" w:name="参考文献"/>
      <w:r>
        <w:t xml:space="preserve">7. 参考文献</w:t>
      </w:r>
      <w:bookmarkEnd w:id="29"/>
    </w:p>
    <w:p>
      <w:pPr>
        <w:numPr>
          <w:ilvl w:val="0"/>
          <w:numId w:val="1001"/>
        </w:numPr>
        <w:pStyle w:val="Compact"/>
      </w:pPr>
      <w:r>
        <w:t xml:space="preserve">Peng C, Shang J, Guan J, Wang D, Sun Y. ViraLM: empowering virus discovery through the genome foundation model.</w:t>
      </w:r>
      <w:r>
        <w:t xml:space="preserve"> </w:t>
      </w:r>
      <w:r>
        <w:rPr>
          <w:i/>
        </w:rPr>
        <w:t xml:space="preserve">Bioinformatics</w:t>
      </w:r>
      <w:r>
        <w:t xml:space="preserve"> </w:t>
      </w:r>
      <w:r>
        <w:t xml:space="preserve">2024;40(12):btae704.</w:t>
      </w:r>
    </w:p>
    <w:p>
      <w:pPr>
        <w:numPr>
          <w:ilvl w:val="0"/>
          <w:numId w:val="1001"/>
        </w:numPr>
        <w:pStyle w:val="Compact"/>
      </w:pPr>
      <w:r>
        <w:t xml:space="preserve">Ren J, Song K, Deng C, Ahlgren NA, Fuhrman JA, Li Y, Xie X, Poplin R, Sun F. Identifying viruses from metagenomic data using deep learning.</w:t>
      </w:r>
      <w:r>
        <w:t xml:space="preserve"> </w:t>
      </w:r>
      <w:r>
        <w:rPr>
          <w:i/>
        </w:rPr>
        <w:t xml:space="preserve">Quantitative Biology</w:t>
      </w:r>
      <w:r>
        <w:t xml:space="preserve"> </w:t>
      </w:r>
      <w:r>
        <w:t xml:space="preserve">2020;8(1):64–77.</w:t>
      </w:r>
    </w:p>
    <w:p>
      <w:pPr>
        <w:numPr>
          <w:ilvl w:val="0"/>
          <w:numId w:val="1001"/>
        </w:numPr>
        <w:pStyle w:val="Compact"/>
      </w:pPr>
      <w:r>
        <w:t xml:space="preserve">Brixi G, Durrant MG, Ku J, et al. Genome modelling and design across all domains of life with Evo 2.</w:t>
      </w:r>
      <w:r>
        <w:t xml:space="preserve"> </w:t>
      </w:r>
      <w:r>
        <w:rPr>
          <w:i/>
        </w:rPr>
        <w:t xml:space="preserve">Nature</w:t>
      </w:r>
      <w:r>
        <w:t xml:space="preserve"> </w:t>
      </w:r>
      <w:r>
        <w:t xml:space="preserve">2026.（预印本：</w:t>
      </w:r>
      <w:r>
        <w:rPr>
          <w:i/>
        </w:rPr>
        <w:t xml:space="preserve">bioRxiv</w:t>
      </w:r>
      <w:r>
        <w:t xml:space="preserve"> </w:t>
      </w:r>
      <w:r>
        <w:t xml:space="preserve">2025.02.18.638918）</w:t>
      </w:r>
    </w:p>
    <w:p>
      <w:pPr>
        <w:numPr>
          <w:ilvl w:val="0"/>
          <w:numId w:val="1001"/>
        </w:numPr>
        <w:pStyle w:val="Compact"/>
      </w:pPr>
      <w:r>
        <w:t xml:space="preserve">Dalla-Torre H, Gonzalez L, Mendoza-Revilla J, et al. Nucleotide Transformer: building and evaluating robust foundation models for human genomics.</w:t>
      </w:r>
      <w:r>
        <w:t xml:space="preserve"> </w:t>
      </w:r>
      <w:r>
        <w:rPr>
          <w:i/>
        </w:rPr>
        <w:t xml:space="preserve">Nature Methods</w:t>
      </w:r>
      <w:r>
        <w:t xml:space="preserve"> </w:t>
      </w:r>
      <w:r>
        <w:t xml:space="preserve">2025;22(2):287–297.</w:t>
      </w:r>
    </w:p>
    <w:p>
      <w:pPr>
        <w:numPr>
          <w:ilvl w:val="0"/>
          <w:numId w:val="1001"/>
        </w:numPr>
        <w:pStyle w:val="Compact"/>
      </w:pPr>
      <w:r>
        <w:t xml:space="preserve">Lin Z, Akin H, Rao R, et al. Evolutionary-scale prediction of atomic-level protein structure with a language model.</w:t>
      </w:r>
      <w:r>
        <w:t xml:space="preserve"> </w:t>
      </w:r>
      <w:r>
        <w:rPr>
          <w:i/>
        </w:rPr>
        <w:t xml:space="preserve">Science</w:t>
      </w:r>
      <w:r>
        <w:t xml:space="preserve"> </w:t>
      </w:r>
      <w:r>
        <w:t xml:space="preserve">2023;379(6637):1123–1130.</w:t>
      </w:r>
    </w:p>
    <w:p>
      <w:pPr>
        <w:numPr>
          <w:ilvl w:val="0"/>
          <w:numId w:val="1001"/>
        </w:numPr>
        <w:pStyle w:val="Compact"/>
      </w:pPr>
      <w:r>
        <w:t xml:space="preserve">Hinton G, Vinyals O, Dean J. Distilling the knowledge in a neural network.</w:t>
      </w:r>
      <w:r>
        <w:t xml:space="preserve"> </w:t>
      </w:r>
      <w:r>
        <w:rPr>
          <w:i/>
        </w:rPr>
        <w:t xml:space="preserve">arXiv:1503.02531</w:t>
      </w:r>
      <w:r>
        <w:t xml:space="preserve">, 2015.</w:t>
      </w:r>
    </w:p>
    <w:p>
      <w:pPr>
        <w:numPr>
          <w:ilvl w:val="0"/>
          <w:numId w:val="1001"/>
        </w:numPr>
        <w:pStyle w:val="Compact"/>
      </w:pPr>
      <w:r>
        <w:t xml:space="preserve">Romero A, Ballas N, Kahou SE, Chassang A, Gatta C, Bengio Y. FitNets: hints for thin deep nets.</w:t>
      </w:r>
      <w:r>
        <w:t xml:space="preserve"> </w:t>
      </w:r>
      <w:r>
        <w:rPr>
          <w:i/>
        </w:rPr>
        <w:t xml:space="preserve">Proceedings of ICLR</w:t>
      </w:r>
      <w:r>
        <w:t xml:space="preserve"> </w:t>
      </w:r>
      <w:r>
        <w:t xml:space="preserve">2015.</w:t>
      </w:r>
    </w:p>
    <w:p>
      <w:pPr>
        <w:numPr>
          <w:ilvl w:val="0"/>
          <w:numId w:val="1001"/>
        </w:numPr>
        <w:pStyle w:val="Compact"/>
      </w:pPr>
      <w:r>
        <w:t xml:space="preserve">Shrikumar A, Greenside P, Kundaje A. Reverse-complement parameter sharing improves deep learning models for genomics.</w:t>
      </w:r>
      <w:r>
        <w:t xml:space="preserve"> </w:t>
      </w:r>
      <w:r>
        <w:rPr>
          <w:i/>
        </w:rPr>
        <w:t xml:space="preserve">bioRxiv</w:t>
      </w:r>
      <w:r>
        <w:t xml:space="preserve"> </w:t>
      </w:r>
      <w:r>
        <w:t xml:space="preserve">103663, 2017.</w:t>
      </w:r>
    </w:p>
    <w:p>
      <w:pPr>
        <w:numPr>
          <w:ilvl w:val="0"/>
          <w:numId w:val="1001"/>
        </w:numPr>
        <w:pStyle w:val="Compact"/>
      </w:pPr>
      <w:r>
        <w:t xml:space="preserve">Kiryo R, Niu G, du Plessis MC, Sugiyama M. Positive-unlabeled learning with non-negative risk estimator.</w:t>
      </w:r>
      <w:r>
        <w:t xml:space="preserve"> </w:t>
      </w:r>
      <w:r>
        <w:rPr>
          <w:i/>
        </w:rPr>
        <w:t xml:space="preserve">Advances in Neural Information Processing Systems</w:t>
      </w:r>
      <w:r>
        <w:t xml:space="preserve"> </w:t>
      </w:r>
      <w:r>
        <w:t xml:space="preserve">2017;30.</w:t>
      </w:r>
    </w:p>
    <w:p>
      <w:pPr>
        <w:numPr>
          <w:ilvl w:val="0"/>
          <w:numId w:val="1001"/>
        </w:numPr>
        <w:pStyle w:val="Compact"/>
      </w:pPr>
      <w:r>
        <w:t xml:space="preserve">Angelopoulos AN, Bates S, Fisch A, Lei L, Schuster T. Conformal risk control.</w:t>
      </w:r>
      <w:r>
        <w:t xml:space="preserve"> </w:t>
      </w:r>
      <w:r>
        <w:rPr>
          <w:i/>
        </w:rPr>
        <w:t xml:space="preserve">Proceedings of ICLR</w:t>
      </w:r>
      <w:r>
        <w:t xml:space="preserve"> </w:t>
      </w:r>
      <w:r>
        <w:t xml:space="preserve">2024.</w:t>
      </w:r>
    </w:p>
    <w:p>
      <w:pPr>
        <w:numPr>
          <w:ilvl w:val="0"/>
          <w:numId w:val="1001"/>
        </w:numPr>
        <w:pStyle w:val="Compact"/>
      </w:pPr>
      <w:r>
        <w:t xml:space="preserve">Saito T, Rehmsmeier M. The precision-recall plot is more informative than the ROC plot when evaluating binary classifiers on imbalanced datasets.</w:t>
      </w:r>
      <w:r>
        <w:t xml:space="preserve"> </w:t>
      </w:r>
      <w:r>
        <w:rPr>
          <w:i/>
        </w:rPr>
        <w:t xml:space="preserve">PLoS ONE</w:t>
      </w:r>
      <w:r>
        <w:t xml:space="preserve"> </w:t>
      </w:r>
      <w:r>
        <w:t xml:space="preserve">2015;10(3):e0118432.</w:t>
      </w:r>
    </w:p>
    <w:p>
      <w:pPr>
        <w:pStyle w:val="FirstParagraph"/>
      </w:pPr>
      <w:r>
        <w:rPr>
          <w:i/>
        </w:rPr>
        <w:t xml:space="preserve">根据 RFP 规定，参考文献不计入页数限制。</w:t>
      </w:r>
    </w:p>
    <w:p>
      <w:r>
        <w:pict>
          <v:rect style="width:0;height:1.5pt" o:hralign="center" o:hrstd="t" o:hr="t"/>
        </w:pict>
      </w:r>
    </w:p>
    <w:sectPr>
      <w:pgSz w:w="12240" w:h="15840"/>
      <w:pgMar w:top="1008" w:bottom="1008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 w:after="40"/>
    </w:pPr>
    <w:rPr>
      <w:rFonts w:ascii="Arial" w:hAnsi="Arial"/>
      <w:sz w:val="19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80" w:after="40"/>
      <w:jc w:val="center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2026-07-30T19:44:28Z</dcterms:created>
  <dcterms:modified xsi:type="dcterms:W3CDTF">2026-07-30T19:44:28Z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