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814" w:rsidRPr="00017AAA" w:rsidRDefault="005005D2" w:rsidP="005F2349">
      <w:pPr>
        <w:pStyle w:val="Heading1"/>
        <w:spacing w:before="40"/>
        <w:rPr>
          <w:rFonts w:ascii="Times New Roman" w:hAnsi="Times New Roman" w:cs="Times New Roman"/>
        </w:rPr>
      </w:pPr>
      <w:bookmarkStart w:id="0" w:name="expression-of-interest"/>
      <w:r w:rsidRPr="00017AAA">
        <w:rPr>
          <w:rFonts w:ascii="Times New Roman" w:hAnsi="Times New Roman" w:cs="Times New Roman"/>
          <w:color w:val="000000"/>
        </w:rPr>
        <w:t>Expression of Interest</w:t>
      </w:r>
      <w:bookmarkEnd w:id="0"/>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Blueprint Biosecurity — Request for Proposals: Pathogen-Agnostic Biothreat Detection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Technical Area:</w:t>
      </w:r>
      <w:r w:rsidRPr="00017AAA">
        <w:rPr>
          <w:rFonts w:ascii="Times New Roman" w:eastAsia="Arial" w:hAnsi="Times New Roman" w:cs="Times New Roman"/>
        </w:rPr>
        <w:t xml:space="preserve"> 3 — Modeling pathogen-agnostic biosurveillance system features such as cost, sensitivity, and optimal deployment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Title:</w:t>
      </w:r>
      <w:r w:rsidRPr="00017AAA">
        <w:rPr>
          <w:rFonts w:ascii="Times New Roman" w:eastAsia="Arial" w:hAnsi="Times New Roman" w:cs="Times New Roman"/>
        </w:rPr>
        <w:t xml:space="preserve"> </w:t>
      </w:r>
      <w:r w:rsidRPr="00017AAA">
        <w:rPr>
          <w:rFonts w:ascii="Times New Roman" w:eastAsia="Arial" w:hAnsi="Times New Roman" w:cs="Times New Roman"/>
          <w:b/>
        </w:rPr>
        <w:t>LEAD-MGS — Lead-time Estimation and Deployment Optimisation: Sequential Detection Statistics and Calibrated Budget-to-Lead-Time Modeling for Metagenomic Biosurveillance</w:t>
      </w:r>
      <w:r w:rsidRPr="00017AAA">
        <w:rPr>
          <w:rFonts w:ascii="Times New Roman" w:eastAsia="Arial" w:hAnsi="Times New Roman" w:cs="Times New Roman"/>
        </w:rPr>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Principal Investigator:</w:t>
      </w:r>
      <w:r w:rsidRPr="00017AAA">
        <w:rPr>
          <w:rFonts w:ascii="Times New Roman" w:eastAsia="Arial" w:hAnsi="Times New Roman" w:cs="Times New Roman"/>
        </w:rPr>
        <w:t xml:space="preserve"> Justin Bahl, PhD — Professor, [INSERT: department / center], University of Georgia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Scientist:</w:t>
      </w:r>
      <w:r w:rsidRPr="00017AAA">
        <w:rPr>
          <w:rFonts w:ascii="Times New Roman" w:eastAsia="Arial" w:hAnsi="Times New Roman" w:cs="Times New Roman"/>
        </w:rPr>
        <w:t xml:space="preserve"> Sihua Peng, PhD — Research Scientist, College of Public Health, University of Georgia; affiliated with the Georgia Advanced Computing Resource Center (GACRC)</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Institution:</w:t>
      </w:r>
      <w:r w:rsidRPr="00017AAA">
        <w:rPr>
          <w:rFonts w:ascii="Times New Roman" w:eastAsia="Arial" w:hAnsi="Times New Roman" w:cs="Times New Roman"/>
        </w:rPr>
        <w:t xml:space="preserve"> University of Georgia, Athens, GA, USA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Requested Period of Performance:</w:t>
      </w:r>
      <w:r w:rsidRPr="00017AAA">
        <w:rPr>
          <w:rFonts w:ascii="Times New Roman" w:eastAsia="Arial" w:hAnsi="Times New Roman" w:cs="Times New Roman"/>
        </w:rPr>
        <w:t xml:space="preserve"> 12 months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Approximate Budget Request:</w:t>
      </w:r>
      <w:r w:rsidRPr="00017AAA">
        <w:rPr>
          <w:rFonts w:ascii="Times New Roman" w:eastAsia="Arial" w:hAnsi="Times New Roman" w:cs="Times New Roman"/>
        </w:rPr>
        <w:t xml:space="preserve"> $267,300 (direct + indirect; see Section 6)</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Date:</w:t>
      </w:r>
      <w:r w:rsidRPr="00017AAA">
        <w:rPr>
          <w:rFonts w:ascii="Times New Roman" w:eastAsia="Arial" w:hAnsi="Times New Roman" w:cs="Times New Roman"/>
        </w:rPr>
        <w:t xml:space="preserve"> [INSERT] | </w:t>
      </w:r>
      <w:r w:rsidRPr="00017AAA">
        <w:rPr>
          <w:rFonts w:ascii="Times New Roman" w:eastAsia="Arial" w:hAnsi="Times New Roman" w:cs="Times New Roman"/>
          <w:b/>
        </w:rPr>
        <w:t>Contact:</w:t>
      </w:r>
      <w:r w:rsidRPr="00017AAA">
        <w:rPr>
          <w:rFonts w:ascii="Times New Roman" w:eastAsia="Arial" w:hAnsi="Times New Roman" w:cs="Times New Roman"/>
        </w:rPr>
        <w:t xml:space="preserve"> [INSERT EMAIL / PHONE]</w:t>
      </w:r>
    </w:p>
    <w:p w:rsidR="002B3814" w:rsidRPr="00017AAA" w:rsidRDefault="005005D2">
      <w:pPr>
        <w:pStyle w:val="Heading2"/>
        <w:rPr>
          <w:rFonts w:ascii="Times New Roman" w:hAnsi="Times New Roman" w:cs="Times New Roman"/>
        </w:rPr>
      </w:pPr>
      <w:bookmarkStart w:id="1" w:name="problem-statement"/>
      <w:r w:rsidRPr="00017AAA">
        <w:rPr>
          <w:rFonts w:ascii="Times New Roman" w:hAnsi="Times New Roman" w:cs="Times New Roman"/>
          <w:color w:val="000000"/>
        </w:rPr>
        <w:t>1. Problem Statement</w:t>
      </w:r>
      <w:bookmarkEnd w:id="1"/>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Two gaps make it unanswerable. First, </w:t>
      </w:r>
      <w:r w:rsidRPr="00017AAA">
        <w:rPr>
          <w:rFonts w:ascii="Times New Roman" w:eastAsia="Arial" w:hAnsi="Times New Roman" w:cs="Times New Roman"/>
          <w:b/>
        </w:rPr>
        <w:t>the detection endpoint itself is undefined.</w:t>
      </w:r>
      <w:r w:rsidRPr="00017AAA">
        <w:rPr>
          <w:rFonts w:ascii="Times New Roman" w:eastAsia="Arial" w:hAnsi="Times New Roman" w:cs="Times New Roman"/>
        </w:rPr>
        <w:t xml:space="preserve"> 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 </w:t>
      </w:r>
      <w:r w:rsidRPr="00017AAA">
        <w:rPr>
          <w:rFonts w:ascii="Times New Roman" w:eastAsia="Arial" w:hAnsi="Times New Roman" w:cs="Times New Roman"/>
          <w:i/>
        </w:rPr>
        <w:t>trajectory</w:t>
      </w:r>
      <w:r w:rsidRPr="00017AAA">
        <w:rPr>
          <w:rFonts w:ascii="Times New Roman" w:eastAsia="Arial" w:hAnsi="Times New Roman" w:cs="Times New Roman"/>
        </w:rPr>
        <w:t xml:space="preserve">, and a trajectory is detectable long before any single timepoint clears a threshold. Second, </w:t>
      </w:r>
      <w:r w:rsidRPr="00017AAA">
        <w:rPr>
          <w:rFonts w:ascii="Times New Roman" w:eastAsia="Arial" w:hAnsi="Times New Roman" w:cs="Times New Roman"/>
          <w:b/>
        </w:rPr>
        <w:t>the modeling chain is broken at the joints.</w:t>
      </w:r>
      <w:r w:rsidRPr="00017AAA">
        <w:rPr>
          <w:rFonts w:ascii="Times New Roman" w:eastAsia="Arial" w:hAnsi="Times New Roman" w:cs="Times New Roman"/>
        </w:rPr>
        <w:t xml:space="preserve"> Shedding models, P2RA relative-abundance factors, cost models, and siting analyses exist as separate literatures with incompatible parameterizations, so no one can propagate uncertainty from a shedding parameter through to a deployment decision.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LEAD-MGS closes both. We will build a sequential detection framework whose </w:t>
      </w:r>
      <w:r w:rsidRPr="00017AAA">
        <w:rPr>
          <w:rFonts w:ascii="Times New Roman" w:eastAsia="Arial" w:hAnsi="Times New Roman" w:cs="Times New Roman"/>
          <w:i/>
        </w:rPr>
        <w:t>measured</w:t>
      </w:r>
      <w:r w:rsidRPr="00017AAA">
        <w:rPr>
          <w:rFonts w:ascii="Times New Roman" w:eastAsia="Arial" w:hAnsi="Times New Roman" w:cs="Times New Roman"/>
        </w:rPr>
        <w:t xml:space="preserve"> operating characteristic — detection delay at a fixed false-alert rate — becomes the calibration input to a differentiable end-to-end simulator that maps budget directly to lead time, then validate the whole chain against events that actually happened.</w:t>
      </w:r>
    </w:p>
    <w:p w:rsidR="002B3814" w:rsidRPr="00017AAA" w:rsidRDefault="005005D2">
      <w:pPr>
        <w:pStyle w:val="Heading2"/>
        <w:rPr>
          <w:rFonts w:ascii="Times New Roman" w:hAnsi="Times New Roman" w:cs="Times New Roman"/>
        </w:rPr>
      </w:pPr>
      <w:bookmarkStart w:id="2" w:name="technical-approach"/>
      <w:r w:rsidRPr="00017AAA">
        <w:rPr>
          <w:rFonts w:ascii="Times New Roman" w:hAnsi="Times New Roman" w:cs="Times New Roman"/>
          <w:color w:val="000000"/>
        </w:rPr>
        <w:t>2. Technical Approach</w:t>
      </w:r>
      <w:bookmarkEnd w:id="2"/>
    </w:p>
    <w:p w:rsidR="002B3814" w:rsidRPr="00017AAA" w:rsidRDefault="005005D2">
      <w:pPr>
        <w:pStyle w:val="Heading3"/>
        <w:rPr>
          <w:rFonts w:ascii="Times New Roman" w:hAnsi="Times New Roman" w:cs="Times New Roman"/>
        </w:rPr>
      </w:pPr>
      <w:bookmarkStart w:id="3" w:name="X91fbe3666a4faf9a99344484be20814583fa5d4"/>
      <w:r w:rsidRPr="00017AAA">
        <w:rPr>
          <w:rFonts w:ascii="Times New Roman" w:hAnsi="Times New Roman" w:cs="Times New Roman"/>
          <w:color w:val="000000"/>
        </w:rPr>
        <w:t>Aim 1 — Anytime-valid sequential detection on MGS time series (Months 1–7)</w:t>
      </w:r>
      <w:bookmarkEnd w:id="3"/>
    </w:p>
    <w:p w:rsidR="002B3814" w:rsidRPr="00017AAA" w:rsidRDefault="005005D2">
      <w:pPr>
        <w:pStyle w:val="FirstParagraph"/>
        <w:spacing w:before="0" w:after="40"/>
        <w:rPr>
          <w:rFonts w:ascii="Times New Roman" w:eastAsia="Arial" w:hAnsi="Times New Roman" w:cs="Times New Roman"/>
        </w:rPr>
      </w:pPr>
      <w:r w:rsidRPr="00017AAA">
        <w:rPr>
          <w:rFonts w:ascii="Times New Roman" w:eastAsia="Arial" w:hAnsi="Times New Roman" w:cs="Times New Roman"/>
        </w:rPr>
        <w:t xml:space="preserve">We will treat detection as a </w:t>
      </w:r>
      <w:r w:rsidRPr="00017AAA">
        <w:rPr>
          <w:rFonts w:ascii="Times New Roman" w:eastAsia="Arial" w:hAnsi="Times New Roman" w:cs="Times New Roman"/>
          <w:b/>
        </w:rPr>
        <w:t>sequential change-point problem over thousands of parallel hypotheses</w:t>
      </w:r>
      <w:r w:rsidRPr="00017AAA">
        <w:rPr>
          <w:rFonts w:ascii="Times New Roman" w:eastAsia="Arial" w:hAnsi="Times New Roman" w:cs="Times New Roman"/>
        </w:rPr>
        <w:t>, not a per-sample classification.</w:t>
      </w:r>
      <w:r w:rsidR="00C85DA3" w:rsidRPr="00017AAA">
        <w:rPr>
          <w:rFonts w:ascii="Times New Roman" w:eastAsia="Arial" w:hAnsi="Times New Roman" w:cs="Times New Roman"/>
        </w:rPr>
        <w:t xml:space="preserve"> </w:t>
      </w:r>
      <w:r w:rsidR="00C85DA3" w:rsidRPr="00017AAA">
        <w:rPr>
          <w:rFonts w:ascii="Times New Roman" w:hAnsi="Times New Roman" w:cs="Times New Roman"/>
        </w:rPr>
        <w:t>As summarized in Figure 1, Aim 1 converts weekly MGS data into stable cluster-level trajectories and applies anytime-valid sequential testing to detect sustained growth while controlling false alerts under continuous monitoring.</w:t>
      </w:r>
    </w:p>
    <w:p w:rsidR="00285486" w:rsidRPr="00017AAA" w:rsidRDefault="00285486" w:rsidP="00285486">
      <w:pPr>
        <w:pStyle w:val="BodyText"/>
        <w:jc w:val="center"/>
        <w:rPr>
          <w:rFonts w:ascii="Times New Roman" w:hAnsi="Times New Roman" w:cs="Times New Roman"/>
        </w:rPr>
      </w:pPr>
      <w:r w:rsidRPr="00017AAA">
        <w:rPr>
          <w:rFonts w:ascii="Times New Roman" w:hAnsi="Times New Roman" w:cs="Times New Roman"/>
          <w:noProof/>
        </w:rPr>
        <w:drawing>
          <wp:inline distT="0" distB="0" distL="0" distR="0">
            <wp:extent cx="5832521" cy="916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m1_Sequential_Detection_Framewor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8725" cy="938159"/>
                    </a:xfrm>
                    <a:prstGeom prst="rect">
                      <a:avLst/>
                    </a:prstGeom>
                  </pic:spPr>
                </pic:pic>
              </a:graphicData>
            </a:graphic>
          </wp:inline>
        </w:drawing>
      </w:r>
    </w:p>
    <w:p w:rsidR="00C85DA3" w:rsidRPr="00017AAA" w:rsidRDefault="00C85DA3">
      <w:pPr>
        <w:pStyle w:val="BodyText"/>
        <w:spacing w:before="0" w:after="40"/>
        <w:rPr>
          <w:rFonts w:ascii="Times New Roman" w:eastAsia="Arial" w:hAnsi="Times New Roman" w:cs="Times New Roman"/>
        </w:rPr>
      </w:pPr>
      <w:r w:rsidRPr="00FC6761">
        <w:rPr>
          <w:rFonts w:ascii="Times New Roman" w:hAnsi="Times New Roman" w:cs="Times New Roman"/>
          <w:b/>
          <w:sz w:val="18"/>
          <w:szCs w:val="18"/>
        </w:rPr>
        <w:t>Figure 1.</w:t>
      </w:r>
      <w:r w:rsidRPr="00017AAA">
        <w:rPr>
          <w:rFonts w:ascii="Times New Roman" w:hAnsi="Times New Roman" w:cs="Times New Roman"/>
          <w:sz w:val="18"/>
          <w:szCs w:val="18"/>
        </w:rPr>
        <w:t xml:space="preserve"> Aim 1 workflow for anytime-valid sequential detection of MGS time series. Stable cluster-level trajectories are modeled and monitored using CUSUM, BOCPD, and e-value–based multiplicity control to generate alerts, growth estimates, and detection-delay distributions at a fixed false-alert rate.</w:t>
      </w:r>
      <w:r w:rsidRPr="00017AAA">
        <w:rPr>
          <w:rFonts w:ascii="Times New Roman" w:eastAsia="Arial" w:hAnsi="Times New Roman" w:cs="Times New Roman"/>
          <w:sz w:val="18"/>
          <w:szCs w:val="18"/>
        </w:rPr>
        <w:t xml:space="preserve"> </w:t>
      </w:r>
    </w:p>
    <w:p w:rsidR="002B3814" w:rsidRPr="00017AAA" w:rsidRDefault="005005D2" w:rsidP="00FC6761">
      <w:pPr>
        <w:pStyle w:val="BodyText"/>
        <w:spacing w:before="200" w:after="40"/>
        <w:rPr>
          <w:rFonts w:ascii="Times New Roman" w:hAnsi="Times New Roman" w:cs="Times New Roman"/>
        </w:rPr>
      </w:pPr>
      <w:r w:rsidRPr="00017AAA">
        <w:rPr>
          <w:rFonts w:ascii="Times New Roman" w:eastAsia="Arial" w:hAnsi="Times New Roman" w:cs="Times New Roman"/>
          <w:i/>
        </w:rPr>
        <w:t>Cluster construction.</w:t>
      </w:r>
      <w:r w:rsidRPr="00017AAA">
        <w:rPr>
          <w:rFonts w:ascii="Times New Roman" w:eastAsia="Arial" w:hAnsi="Times New Roman" w:cs="Times New Roman"/>
        </w:rPr>
        <w:t xml:space="preserve"> Sequence clusters are built by this project, not assumed: reads are assigned by a fixed minimizer/k-mer hashing scheme frozen at project start, so cluster identity is stable across time by construction rather than by post-hoc matching — the precondition without which Yi(t) is not a time series at all. We deliberately avoid assembly-based clustering, which fails at the 10⁻⁷ abundances where early warning lives. The step is streaming and single-pass at roughly 10⁷–10⁸ bp/s/core, so a program already processing billions of read pairs per day adds a couple of core-hours and no GPU; the sequential layer on top is O(1) per cluster per timepoint and costs seconds. A cold-start rule handles clusters first appearing mid-series, and building the count time series for the NWSS and CASPER archives is a one-time cost borne on the GACRC cluster.</w:t>
      </w:r>
    </w:p>
    <w:p w:rsidR="009061E2" w:rsidRPr="00017AAA" w:rsidRDefault="005005D2" w:rsidP="009061E2">
      <w:pPr>
        <w:pStyle w:val="BodyText"/>
        <w:spacing w:before="0" w:after="100"/>
        <w:rPr>
          <w:rFonts w:ascii="Times New Roman" w:eastAsia="Arial" w:hAnsi="Times New Roman" w:cs="Times New Roman"/>
        </w:rPr>
      </w:pPr>
      <w:r w:rsidRPr="00017AAA">
        <w:rPr>
          <w:rFonts w:ascii="Times New Roman" w:eastAsia="Arial" w:hAnsi="Times New Roman" w:cs="Times New Roman"/>
          <w:i/>
        </w:rPr>
        <w:t>Observation model.</w:t>
      </w:r>
      <w:r w:rsidRPr="00017AAA">
        <w:rPr>
          <w:rFonts w:ascii="Times New Roman" w:eastAsia="Arial" w:hAnsi="Times New Roman" w:cs="Times New Roman"/>
        </w:rPr>
        <w:t xml:space="preserve"> Read counts for each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ignoring this manufactures both false alarms and false reassurance. We systematically compare normalization strategies, itself an open question the RFP names.</w:t>
      </w:r>
      <w:r w:rsidR="009061E2" w:rsidRPr="00017AAA">
        <w:rPr>
          <w:rFonts w:ascii="Times New Roman" w:eastAsia="Arial" w:hAnsi="Times New Roman" w:cs="Times New Roman"/>
        </w:rPr>
        <w:t xml:space="preserve"> </w:t>
      </w:r>
      <w:r w:rsidR="009061E2" w:rsidRPr="00017AAA">
        <w:rPr>
          <w:rFonts w:ascii="Times New Roman" w:hAnsi="Times New Roman" w:cs="Times New Roman"/>
        </w:rPr>
        <w:t>As illustrated in Figure 2, exponential growth appears on the log₂-abundance scale as a shift from a stable baseline to an approximately linear upward trajectory.</w:t>
      </w:r>
    </w:p>
    <w:p w:rsidR="009061E2" w:rsidRPr="00017AAA" w:rsidRDefault="009061E2" w:rsidP="009061E2">
      <w:pPr>
        <w:pStyle w:val="BodyText"/>
        <w:spacing w:before="0" w:after="40"/>
        <w:jc w:val="center"/>
        <w:rPr>
          <w:rStyle w:val="Strong"/>
          <w:rFonts w:ascii="Times New Roman" w:hAnsi="Times New Roman" w:cs="Times New Roman"/>
          <w:sz w:val="18"/>
          <w:szCs w:val="18"/>
        </w:rPr>
      </w:pPr>
      <w:bookmarkStart w:id="4" w:name="_GoBack"/>
      <w:r w:rsidRPr="00017AAA">
        <w:rPr>
          <w:rFonts w:ascii="Times New Roman" w:hAnsi="Times New Roman" w:cs="Times New Roman"/>
          <w:noProof/>
        </w:rPr>
        <w:lastRenderedPageBreak/>
        <w:drawing>
          <wp:inline distT="0" distB="0" distL="0" distR="0">
            <wp:extent cx="2960179" cy="149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m1_Sequential_Detection_Framework-figur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0372" cy="1593169"/>
                    </a:xfrm>
                    <a:prstGeom prst="rect">
                      <a:avLst/>
                    </a:prstGeom>
                  </pic:spPr>
                </pic:pic>
              </a:graphicData>
            </a:graphic>
          </wp:inline>
        </w:drawing>
      </w:r>
      <w:bookmarkEnd w:id="4"/>
    </w:p>
    <w:p w:rsidR="009061E2" w:rsidRPr="00017AAA" w:rsidRDefault="009061E2" w:rsidP="009061E2">
      <w:pPr>
        <w:pStyle w:val="BodyText"/>
        <w:spacing w:before="100" w:after="40"/>
        <w:jc w:val="center"/>
        <w:rPr>
          <w:rFonts w:ascii="Times New Roman" w:hAnsi="Times New Roman" w:cs="Times New Roman"/>
        </w:rPr>
      </w:pPr>
      <w:r w:rsidRPr="00017AAA">
        <w:rPr>
          <w:rStyle w:val="Strong"/>
          <w:rFonts w:ascii="Times New Roman" w:hAnsi="Times New Roman" w:cs="Times New Roman"/>
          <w:sz w:val="18"/>
          <w:szCs w:val="18"/>
        </w:rPr>
        <w:t>Figure 2.</w:t>
      </w:r>
      <w:r w:rsidRPr="00017AAA">
        <w:rPr>
          <w:rFonts w:ascii="Times New Roman" w:hAnsi="Times New Roman" w:cs="Times New Roman"/>
          <w:sz w:val="18"/>
          <w:szCs w:val="18"/>
        </w:rPr>
        <w:t xml:space="preserve"> Conceptual change-point pattern targeted by Aim 1. Against stable background trajectories, an emerging cluster shifts from a flat baseline to sustained linear growth on the log₂-abundance scale.</w:t>
      </w:r>
    </w:p>
    <w:p w:rsidR="002B3814" w:rsidRPr="00017AAA" w:rsidRDefault="005005D2" w:rsidP="008D78DA">
      <w:pPr>
        <w:pStyle w:val="BodyText"/>
        <w:spacing w:before="200" w:after="40"/>
        <w:rPr>
          <w:rFonts w:ascii="Times New Roman" w:hAnsi="Times New Roman" w:cs="Times New Roman"/>
        </w:rPr>
      </w:pPr>
      <w:r w:rsidRPr="00017AAA">
        <w:rPr>
          <w:rFonts w:ascii="Times New Roman" w:eastAsia="Arial" w:hAnsi="Times New Roman" w:cs="Times New Roman"/>
          <w:i/>
        </w:rPr>
        <w:t>Sequential test.</w:t>
      </w:r>
      <w:r w:rsidRPr="00017AAA">
        <w:rPr>
          <w:rFonts w:ascii="Times New Roman" w:eastAsia="Arial" w:hAnsi="Times New Roman" w:cs="Times New Roman"/>
        </w:rPr>
        <w:t xml:space="preserve"> Bayesian online change-point detection [1] and CUSUM [2] on log-abundance trajectories, plus e-value / test-martingale sequential tests that are anytime-valid [3,4]. This is methodologically load-bearing: an operational program looks at its data every week, and classical fixed-sample FDR control is invalid under repeated looks. E-processes with e-BH multiplicity control [5] give valid inference at every peek, at a quantified cost in power we report rather than hide. Site-specific empirical nulls are built from historical baselines so that thresholds are calibrated to each catchment rather than imported.</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Primary metric.</w:t>
      </w:r>
      <w:r w:rsidRPr="00017AAA">
        <w:rPr>
          <w:rFonts w:ascii="Times New Roman" w:eastAsia="Arial" w:hAnsi="Times New Roman" w:cs="Times New Roman"/>
        </w:rPr>
        <w:t xml:space="preserve"> Not AUC. We report the </w:t>
      </w:r>
      <w:r w:rsidRPr="00017AAA">
        <w:rPr>
          <w:rFonts w:ascii="Times New Roman" w:eastAsia="Arial" w:hAnsi="Times New Roman" w:cs="Times New Roman"/>
          <w:b/>
        </w:rPr>
        <w:t>detection-delay distribution at a fixed false-alert rate</w:t>
      </w:r>
      <w:r w:rsidRPr="00017AAA">
        <w:rPr>
          <w:rFonts w:ascii="Times New Roman" w:eastAsia="Arial" w:hAnsi="Times New Roman" w:cs="Times New Roman"/>
        </w:rPr>
        <w:t xml:space="preserve"> — the surveillance analogue of average run length — because that is the quantity an operator and a funder can both act on. We also deliver growth-rate and doubling-time estimates with honest uncertainty, directly answering the RFP’s question about a taxon’s trajectory.</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Data.</w:t>
      </w:r>
      <w:r w:rsidRPr="00017AAA">
        <w:rPr>
          <w:rFonts w:ascii="Times New Roman" w:eastAsia="Arial" w:hAnsi="Times New Roman" w:cs="Times New Roman"/>
        </w:rPr>
        <w:t xml:space="preserve"> NWSS (PRJNA747181) and CASPER (PRJNA1247874) time series as the primary substrate, Tisza et al. 2023 (PRJNA966185) and Wolfe et al. 2026 (PRJNA1438722) for capture-based contrast, and Zephyr/Broad nasal swabs (PRJNA1052714) to test transfer across sample types with different shedding and pooling structure.</w:t>
      </w:r>
    </w:p>
    <w:p w:rsidR="002B3814" w:rsidRPr="00017AAA" w:rsidRDefault="005005D2">
      <w:pPr>
        <w:pStyle w:val="Heading3"/>
        <w:rPr>
          <w:rFonts w:ascii="Times New Roman" w:hAnsi="Times New Roman" w:cs="Times New Roman"/>
        </w:rPr>
      </w:pPr>
      <w:bookmarkStart w:id="5" w:name="Xe7468d376ed992b9d1e2944a77c8ff13099f51b"/>
      <w:r w:rsidRPr="00017AAA">
        <w:rPr>
          <w:rFonts w:ascii="Times New Roman" w:hAnsi="Times New Roman" w:cs="Times New Roman"/>
          <w:color w:val="000000"/>
        </w:rPr>
        <w:t xml:space="preserve">Aim 2 — </w:t>
      </w:r>
      <w:r w:rsidRPr="00017AAA">
        <w:rPr>
          <w:rStyle w:val="VerbatimChar"/>
          <w:rFonts w:ascii="Times New Roman" w:hAnsi="Times New Roman" w:cs="Times New Roman"/>
          <w:color w:val="000000"/>
        </w:rPr>
        <w:t>leadtime</w:t>
      </w:r>
      <w:r w:rsidRPr="00017AAA">
        <w:rPr>
          <w:rFonts w:ascii="Times New Roman" w:hAnsi="Times New Roman" w:cs="Times New Roman"/>
          <w:color w:val="000000"/>
        </w:rPr>
        <w:t>: a differentiable end-to-end budget-to-lead-time simulator (Months 3–11)</w:t>
      </w:r>
      <w:bookmarkEnd w:id="5"/>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We will implement the full causal chain as a single differentiable JAX pipeline: pathogen introduction → epidemic growth (branching process with overdispersion </w:t>
      </w:r>
      <w:r w:rsidRPr="00017AAA">
        <w:rPr>
          <w:rFonts w:ascii="Times New Roman" w:eastAsia="Arial" w:hAnsi="Times New Roman" w:cs="Times New Roman"/>
          <w:i/>
        </w:rPr>
        <w:t>k</w:t>
      </w:r>
      <w:r w:rsidRPr="00017AAA">
        <w:rPr>
          <w:rFonts w:ascii="Times New Roman" w:eastAsia="Arial" w:hAnsi="Times New Roman" w:cs="Times New Roman"/>
        </w:rPr>
        <w:t xml:space="preserve">, plus SEIR comparison) → sample-type-specific shedding kinetics → catchment capture and collection cadence → wet-lab efficiency including extraction, library complexity, and duplication → sequencing depth and read allocation → </w:t>
      </w:r>
      <w:r w:rsidRPr="00017AAA">
        <w:rPr>
          <w:rFonts w:ascii="Times New Roman" w:eastAsia="Arial" w:hAnsi="Times New Roman" w:cs="Times New Roman"/>
          <w:b/>
        </w:rPr>
        <w:t>bioinformatic sensitivity curve calibrated by Aim 1’s measured operating characteristic</w:t>
      </w:r>
      <w:r w:rsidRPr="00017AAA">
        <w:rPr>
          <w:rFonts w:ascii="Times New Roman" w:eastAsia="Arial" w:hAnsi="Times New Roman" w:cs="Times New Roman"/>
        </w:rPr>
        <w:t xml:space="preserve"> → alerting rule → </w:t>
      </w:r>
      <w:r w:rsidRPr="00017AAA">
        <w:rPr>
          <w:rFonts w:ascii="Times New Roman" w:eastAsia="Arial" w:hAnsi="Times New Roman" w:cs="Times New Roman"/>
          <w:b/>
        </w:rPr>
        <w:t>lead-time distribution relative to status-quo syndromic detection</w:t>
      </w:r>
      <w:r w:rsidRPr="00017AAA">
        <w:rPr>
          <w:rFonts w:ascii="Times New Roman" w:eastAsia="Arial" w:hAnsi="Times New Roman" w:cs="Times New Roman"/>
        </w:rPr>
        <w: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The coupling to Aim 1 is the point of the project. Existing cost models must </w:t>
      </w:r>
      <w:r w:rsidRPr="00017AAA">
        <w:rPr>
          <w:rFonts w:ascii="Times New Roman" w:eastAsia="Arial" w:hAnsi="Times New Roman" w:cs="Times New Roman"/>
          <w:i/>
        </w:rPr>
        <w:t>assume</w:t>
      </w:r>
      <w:r w:rsidRPr="00017AAA">
        <w:rPr>
          <w:rFonts w:ascii="Times New Roman" w:eastAsia="Arial" w:hAnsi="Times New Roman" w:cs="Times New Roman"/>
        </w:rPr>
        <w:t xml:space="preserve"> a detection threshold; ours </w:t>
      </w:r>
      <w:r w:rsidRPr="00017AAA">
        <w:rPr>
          <w:rFonts w:ascii="Times New Roman" w:eastAsia="Arial" w:hAnsi="Times New Roman" w:cs="Times New Roman"/>
          <w:i/>
        </w:rPr>
        <w:t>measures</w:t>
      </w:r>
      <w:r w:rsidRPr="00017AAA">
        <w:rPr>
          <w:rFonts w:ascii="Times New Roman" w:eastAsia="Arial" w:hAnsi="Times New Roman" w:cs="Times New Roman"/>
        </w:rPr>
        <w:t xml:space="preserve"> one on real wastewater and real pooled swabs, so the resulting dollar-to-days curve rests on an empirical foundation rather than a plausible-sounding constant.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We build on and extend Grimm et al. 2025 (P2RA) [6], generalizing a point relative-abundance factor into a time-resolved, uncertainty-propagating quantity, cross-checked against EpiSewer- [7] and wwinference-style formulations adapted to the compositional MGS setting. Because the pipeline is differentiable, budget allocation becomes gradient-based constrained optimization over site count, cadence, depth, and sample-type mix — rather than the coarse grid search current practice permits.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Parameter uncertainty is treated as a deliverable, not an embarrassment: Sobol global sensitivity analysis [8] identifies which parameters actually move the lead-time answer, telling Blueprint where measurement investment would most reduce decision uncertainty. Outputs are intervals; we decline to publish point estimates the data do not support.</w:t>
      </w:r>
    </w:p>
    <w:p w:rsidR="002B3814" w:rsidRPr="00017AAA" w:rsidRDefault="005005D2">
      <w:pPr>
        <w:pStyle w:val="Heading3"/>
        <w:rPr>
          <w:rFonts w:ascii="Times New Roman" w:hAnsi="Times New Roman" w:cs="Times New Roman"/>
        </w:rPr>
      </w:pPr>
      <w:bookmarkStart w:id="6" w:name="X996bd04722671af6388ace457f513481f096fa3"/>
      <w:r w:rsidRPr="00017AAA">
        <w:rPr>
          <w:rFonts w:ascii="Times New Roman" w:hAnsi="Times New Roman" w:cs="Times New Roman"/>
          <w:color w:val="000000"/>
        </w:rPr>
        <w:t>Aim 3 — Empirical deployment optimization and retrospective validation (Months 5–12)</w:t>
      </w:r>
      <w:bookmarkEnd w:id="6"/>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A national optimizer with no real constraints is a toy. We ground the model in one real region.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Integrating NWSS site metadata, census demographics, LODES commuting flows, Hartsfield–Jackson passenger volumes (the world’s busiest hub and a CDC TGS site), and hospital referral networks, we formulate joint maximum-coverage siting and pooling optimization for Georgia and the Southeast — a framework any state can re-parameterize.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Retrospective validation asks the only question that settles the matter: </w:t>
      </w:r>
      <w:r w:rsidRPr="00017AAA">
        <w:rPr>
          <w:rFonts w:ascii="Times New Roman" w:eastAsia="Arial" w:hAnsi="Times New Roman" w:cs="Times New Roman"/>
          <w:b/>
        </w:rPr>
        <w:t>would this have caught it, and how much earlier?</w:t>
      </w:r>
      <w:r w:rsidRPr="00017AAA">
        <w:rPr>
          <w:rFonts w:ascii="Times New Roman" w:eastAsia="Arial" w:hAnsi="Times New Roman" w:cs="Times New Roman"/>
        </w:rPr>
        <w:t xml:space="preserve"> We test the optimized site set plus Aim 1’s alerting rule against mpox 2022 and H5N1-in-wastewater 2024 in archived data. To prevent hindsight bias, the comparison definition — reference detection dates, alert criteria, success thresholds — is written and timestamped before the analysis is run.</w:t>
      </w:r>
    </w:p>
    <w:p w:rsidR="002B3814" w:rsidRPr="00017AAA" w:rsidRDefault="005005D2">
      <w:pPr>
        <w:pStyle w:val="Heading2"/>
        <w:rPr>
          <w:rFonts w:ascii="Times New Roman" w:hAnsi="Times New Roman" w:cs="Times New Roman"/>
        </w:rPr>
      </w:pPr>
      <w:bookmarkStart w:id="7" w:name="deliverables-and-open-availability"/>
      <w:r w:rsidRPr="00017AAA">
        <w:rPr>
          <w:rFonts w:ascii="Times New Roman" w:hAnsi="Times New Roman" w:cs="Times New Roman"/>
          <w:color w:val="000000"/>
        </w:rPr>
        <w:t>3. Deliverables and Open Availability</w:t>
      </w:r>
      <w:bookmarkEnd w:id="7"/>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Three open-source packages released under MIT/Apache-2.0 on GitHub from month 3, developed in the open rather than dumped at project end: </w:t>
      </w:r>
      <w:r w:rsidRPr="00017AAA">
        <w:rPr>
          <w:rStyle w:val="VerbatimChar"/>
          <w:rFonts w:ascii="Times New Roman" w:eastAsia="Arial" w:hAnsi="Times New Roman" w:cs="Times New Roman"/>
          <w:b/>
          <w:sz w:val="19"/>
        </w:rPr>
        <w:t>mgs-sentry</w:t>
      </w:r>
      <w:r w:rsidRPr="00017AAA">
        <w:rPr>
          <w:rFonts w:ascii="Times New Roman" w:eastAsia="Arial" w:hAnsi="Times New Roman" w:cs="Times New Roman"/>
        </w:rPr>
        <w:t xml:space="preserve"> (Aim 1 sequential detection, R and Python, nf-core-compatible), </w:t>
      </w:r>
      <w:r w:rsidRPr="00017AAA">
        <w:rPr>
          <w:rStyle w:val="VerbatimChar"/>
          <w:rFonts w:ascii="Times New Roman" w:eastAsia="Arial" w:hAnsi="Times New Roman" w:cs="Times New Roman"/>
          <w:b/>
          <w:sz w:val="19"/>
        </w:rPr>
        <w:t>leadtime</w:t>
      </w:r>
      <w:r w:rsidRPr="00017AAA">
        <w:rPr>
          <w:rFonts w:ascii="Times New Roman" w:eastAsia="Arial" w:hAnsi="Times New Roman" w:cs="Times New Roman"/>
        </w:rPr>
        <w:t xml:space="preserve"> (Aim 2 JAX simulator with an interactive dashboard), and </w:t>
      </w:r>
      <w:r w:rsidRPr="00017AAA">
        <w:rPr>
          <w:rStyle w:val="VerbatimChar"/>
          <w:rFonts w:ascii="Times New Roman" w:eastAsia="Arial" w:hAnsi="Times New Roman" w:cs="Times New Roman"/>
          <w:b/>
          <w:sz w:val="19"/>
        </w:rPr>
        <w:t>sitewise</w:t>
      </w:r>
      <w:r w:rsidRPr="00017AAA">
        <w:rPr>
          <w:rFonts w:ascii="Times New Roman" w:eastAsia="Arial" w:hAnsi="Times New Roman" w:cs="Times New Roman"/>
        </w:rPr>
        <w:t xml:space="preserve"> (Aim 3 siting optimizer). Calibrated parameter sets, benchmark time series, and all retrospective analysis code go to Zenodo with a persistent DOI. We anticipate two to three publications, each preprinted at submission, plus a plain-language policy brief for program managers rather than methodologists — the audience that actually sets sampling cadence. All outputs are usable independently of one another and of any tool we build.</w:t>
      </w:r>
    </w:p>
    <w:p w:rsidR="002B3814" w:rsidRPr="00017AAA" w:rsidRDefault="005005D2">
      <w:pPr>
        <w:pStyle w:val="Heading2"/>
        <w:rPr>
          <w:rFonts w:ascii="Times New Roman" w:hAnsi="Times New Roman" w:cs="Times New Roman"/>
        </w:rPr>
      </w:pPr>
      <w:bookmarkStart w:id="8" w:name="speed-of-execution-and-risk-posture"/>
      <w:r w:rsidRPr="00017AAA">
        <w:rPr>
          <w:rFonts w:ascii="Times New Roman" w:hAnsi="Times New Roman" w:cs="Times New Roman"/>
          <w:color w:val="000000"/>
        </w:rPr>
        <w:lastRenderedPageBreak/>
        <w:t>4. Speed of Execution and Risk Posture</w:t>
      </w:r>
      <w:bookmarkEnd w:id="8"/>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The project requires no wet-lab work, no new sample collection, and no new hardware; every primary dataset is public and already downloaded. Analysis begins in week one, and the 12-month timeline carries genuine slack. Aim 1 is method development on data in hand; Aim 2 is simulation; Aim 3’s only external dependency — site metadata beyond what is public — is initiated in month 1 and, if it stalls, degrades gracefully to fully public NWSS data without losing the retrospective validation.</w:t>
      </w:r>
    </w:p>
    <w:p w:rsidR="002B3814" w:rsidRPr="00017AAA" w:rsidRDefault="005005D2">
      <w:pPr>
        <w:pStyle w:val="Heading2"/>
        <w:rPr>
          <w:rFonts w:ascii="Times New Roman" w:hAnsi="Times New Roman" w:cs="Times New Roman"/>
        </w:rPr>
      </w:pPr>
      <w:bookmarkStart w:id="9" w:name="team-and-capability"/>
      <w:r w:rsidRPr="00017AAA">
        <w:rPr>
          <w:rFonts w:ascii="Times New Roman" w:hAnsi="Times New Roman" w:cs="Times New Roman"/>
          <w:color w:val="000000"/>
        </w:rPr>
        <w:t>5. Team and Capability</w:t>
      </w:r>
      <w:bookmarkEnd w:id="9"/>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Justin Bahl, PhD — Principal Investigator.</w:t>
      </w:r>
      <w:r w:rsidRPr="00017AAA">
        <w:rPr>
          <w:rFonts w:ascii="Times New Roman" w:eastAsia="Arial" w:hAnsi="Times New Roman" w:cs="Times New Roman"/>
        </w:rPr>
        <w:t xml:space="preserve"> Professor, [INSERT: department / center], University of Georgia. Prof. Bahl's group works on the phylodynamics and molecular epidemiology of emerging and zoonotic viruses. [INSERT: 1–2 sentences of specific track record — representative publications, and current or prior awards with funder, period, and value, which the RFP asks applicants to supply.] This expertise is load-bearing rather than nominal. Aim 2's epidemic layer — branching-process growth with overdispersion k, shedding kinetics, the SEIR comparison — is an epidemiological model before it is a simulation, and its parameter ranges must be defensible rather than convenient. Aim 3 turns on the same judgment: fixing the true onset of the mpox 2022 and H5N1 2024 signals is what decides whether “we would have caught it X days earlier” means anything at all. Prof. Bahl holds overall scientific and fiscal responsibility for the award.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Sihua Peng, PhD — Project Scientist.</w:t>
      </w:r>
      <w:r w:rsidRPr="00017AAA">
        <w:rPr>
          <w:rFonts w:ascii="Times New Roman" w:eastAsia="Arial" w:hAnsi="Times New Roman" w:cs="Times New Roman"/>
        </w:rPr>
        <w:t xml:space="preserve"> Research Scientist, College of Public Health, UGA; 40+ peer-reviewed publications (h-index 24) spanning computational biology and biostatistics, with formal training and publication record in statistical methodology and experimental design. Dr. Peng leads implementation and day-to-day execution across all three aims, and brings current production metagenomics work across Illumina, PacBio HiFi, and Nanopore platforms, running at scale on the GACRC SLURM cluster via Nextflow and Apptainer with sourmash, geNomad, VirSorter2, and Kraken2/Bracken. The combination that matters here is rarer than either half: sequential-testing and multiplicity-control statistics on one side, hands-on operational MGS pipeline engineering on the other, which is what allows Aim 2's cost model to be calibrated by Aim 1's measurements rather than by literature guesses.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GACRC provides all compute, storage, and container infrastructure; no new hardware is requested.</w:t>
      </w:r>
    </w:p>
    <w:p w:rsidR="002B3814" w:rsidRDefault="005005D2" w:rsidP="00592711">
      <w:pPr>
        <w:pStyle w:val="Heading2"/>
        <w:spacing w:after="100"/>
        <w:rPr>
          <w:rFonts w:ascii="Times New Roman" w:hAnsi="Times New Roman" w:cs="Times New Roman"/>
          <w:color w:val="000000"/>
        </w:rPr>
      </w:pPr>
      <w:bookmarkStart w:id="10" w:name="budget-summary-approximate-12-months"/>
      <w:r w:rsidRPr="00017AAA">
        <w:rPr>
          <w:rFonts w:ascii="Times New Roman" w:hAnsi="Times New Roman" w:cs="Times New Roman"/>
          <w:color w:val="000000"/>
        </w:rPr>
        <w:t>6. Budget Summary (approximate, 12 months)</w:t>
      </w:r>
      <w:bookmarkEnd w:id="10"/>
    </w:p>
    <w:tbl>
      <w:tblPr>
        <w:tblStyle w:val="Table"/>
        <w:tblW w:w="3222" w:type="pct"/>
        <w:jc w:val="center"/>
        <w:tblBorders>
          <w:top w:val="single" w:sz="8" w:space="0" w:color="000000" w:themeColor="text1"/>
          <w:bottom w:val="single" w:sz="8" w:space="0" w:color="000000" w:themeColor="text1"/>
        </w:tblBorders>
        <w:tblLook w:val="07E0" w:firstRow="1" w:lastRow="1" w:firstColumn="1" w:lastColumn="1" w:noHBand="1" w:noVBand="1"/>
      </w:tblPr>
      <w:tblGrid>
        <w:gridCol w:w="5697"/>
        <w:gridCol w:w="891"/>
      </w:tblGrid>
      <w:tr w:rsidR="002B3814" w:rsidRPr="00017AAA" w:rsidTr="00592711">
        <w:trPr>
          <w:jc w:val="center"/>
        </w:trPr>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Category</w:t>
            </w:r>
          </w:p>
        </w:tc>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Amount</w:t>
            </w:r>
          </w:p>
        </w:tc>
      </w:tr>
      <w:tr w:rsidR="002B3814" w:rsidRPr="00017AAA" w:rsidTr="00592711">
        <w:trPr>
          <w:jc w:val="center"/>
        </w:trPr>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PI effort (30% FTE)</w:t>
            </w:r>
          </w:p>
        </w:tc>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$47,000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Project Scientist (Dr. Peng, 50% FTE) + computational scientist (50% FTE)</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$78,000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Graduate research assistant (50% FTE, incl. tuition)</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$46,000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Fringe benefits</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$38,000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Compute, storage, and GPU cloud burst capacity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Data acquisition, publication, dissemination, travel</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$12,000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direct</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$243,000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Indirect costs (10% of direct, per Blueprint policy)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$24,300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requested</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$267,300</w:t>
            </w:r>
          </w:p>
        </w:tc>
      </w:tr>
    </w:tbl>
    <w:p w:rsidR="002B3814" w:rsidRPr="00017AAA" w:rsidRDefault="005005D2" w:rsidP="00592711">
      <w:pPr>
        <w:pStyle w:val="BodyText"/>
        <w:spacing w:before="100" w:after="40"/>
        <w:rPr>
          <w:rFonts w:ascii="Times New Roman" w:hAnsi="Times New Roman" w:cs="Times New Roman"/>
        </w:rPr>
      </w:pPr>
      <w:r w:rsidRPr="00017AAA">
        <w:rPr>
          <w:rFonts w:ascii="Times New Roman" w:eastAsia="Arial" w:hAnsi="Times New Roman" w:cs="Times New Roman"/>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 </w:t>
      </w:r>
      <w:r w:rsidRPr="00017AAA">
        <w:rPr>
          <w:rFonts w:ascii="Times New Roman" w:eastAsia="Arial" w:hAnsi="Times New Roman" w:cs="Times New Roman"/>
          <w:b/>
        </w:rPr>
        <w:t>Aims 1 and 2 constitute a coherent standalone effort at approximately $180,000</w:t>
      </w:r>
      <w:r w:rsidRPr="00017AAA">
        <w:rPr>
          <w:rFonts w:ascii="Times New Roman" w:eastAsia="Arial" w:hAnsi="Times New Roman" w:cs="Times New Roman"/>
        </w:rPr>
        <w:t xml:space="preserve"> should Blueprint prefer a tighter scope, and Aim 1 alone is deliverable at approximately $110,000.</w:t>
      </w:r>
    </w:p>
    <w:p w:rsidR="002B3814" w:rsidRPr="00017AAA" w:rsidRDefault="005005D2">
      <w:pPr>
        <w:pStyle w:val="Heading2"/>
        <w:rPr>
          <w:rFonts w:ascii="Times New Roman" w:hAnsi="Times New Roman" w:cs="Times New Roman"/>
        </w:rPr>
      </w:pPr>
      <w:r w:rsidRPr="00017AAA">
        <w:rPr>
          <w:rFonts w:ascii="Times New Roman" w:hAnsi="Times New Roman" w:cs="Times New Roman"/>
          <w:color w:val="000000"/>
        </w:rPr>
        <w:t>7. Risks and Mitigations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Anytime-valid sequential tests are conservative.</w:t>
      </w:r>
      <w:r w:rsidRPr="00017AAA">
        <w:rPr>
          <w:rFonts w:ascii="Times New Roman" w:eastAsia="Arial" w:hAnsi="Times New Roman" w:cs="Times New Roman"/>
        </w:rPr>
        <w:t xml:space="preserve"> E-processes trade power for validity under continuous monitoring. We will benchmark e-BH [5] against Benjamini–Yekutieli and fixed-sample controls on identical data, report the power cost in explicit terms, and ship both options so programs can choose their own operating point.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Parameter uncertainty in the end-to-end model is large.</w:t>
      </w:r>
      <w:r w:rsidRPr="00017AAA">
        <w:rPr>
          <w:rFonts w:ascii="Times New Roman" w:eastAsia="Arial" w:hAnsi="Times New Roman" w:cs="Times New Roman"/>
        </w:rPr>
        <w:t xml:space="preserve"> 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Retrospective ground truth is imperfect.</w:t>
      </w:r>
      <w:r w:rsidRPr="00017AAA">
        <w:rPr>
          <w:rFonts w:ascii="Times New Roman" w:eastAsia="Arial" w:hAnsi="Times New Roman" w:cs="Times New Roman"/>
        </w:rPr>
        <w:t xml:space="preserve"> 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Cross-sample-type transfer may fail.</w:t>
      </w:r>
      <w:r w:rsidRPr="00017AAA">
        <w:rPr>
          <w:rFonts w:ascii="Times New Roman" w:eastAsia="Arial" w:hAnsi="Times New Roman" w:cs="Times New Roman"/>
        </w:rPr>
        <w:t xml:space="preserve"> Wastewater and pooled nasal swabs differ in shedding, pooling depth, and background. If the Aim 1 framework does not transfer cleanly, that is a reportable scientific result and the wastewater deliverable stands unaffected.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Submitted in response to Blueprint Biosecurity’s Pathogen-Agnostic Biothreat Detection RFP. Contact: [EMAIL], [PHONE].</w:t>
      </w:r>
    </w:p>
    <w:p w:rsidR="002B3814" w:rsidRPr="00017AAA" w:rsidRDefault="005005D2">
      <w:pPr>
        <w:pStyle w:val="Heading2"/>
        <w:rPr>
          <w:rFonts w:ascii="Times New Roman" w:hAnsi="Times New Roman" w:cs="Times New Roman"/>
        </w:rPr>
      </w:pPr>
      <w:bookmarkStart w:id="11" w:name="risks-and-mitigations"/>
      <w:r w:rsidRPr="00017AAA">
        <w:rPr>
          <w:rFonts w:ascii="Times New Roman" w:hAnsi="Times New Roman" w:cs="Times New Roman"/>
          <w:color w:val="000000"/>
        </w:rPr>
        <w:br w:type="page"/>
      </w:r>
      <w:bookmarkEnd w:id="11"/>
      <w:r>
        <w:rPr>
          <w:rFonts w:ascii="Times New Roman" w:hAnsi="Times New Roman"/>
        </w:rPr>
        <w:lastRenderedPageBreak/>
        <w:t>8. References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1. Adams RP, MacKay DJC. Bayesian online changepoint detection. </w:t>
      </w:r>
      <w:r w:rsidRPr="00017AAA">
        <w:rPr>
          <w:rFonts w:ascii="Times New Roman" w:eastAsia="Arial" w:hAnsi="Times New Roman" w:cs="Times New Roman"/>
          <w:i/>
        </w:rPr>
        <w:t>arXiv:0710.3742</w:t>
      </w:r>
      <w:r w:rsidRPr="00017AAA">
        <w:rPr>
          <w:rFonts w:ascii="Times New Roman" w:eastAsia="Arial" w:hAnsi="Times New Roman" w:cs="Times New Roman"/>
        </w:rPr>
        <w:t>, 2007.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2. Page ES. Continuous inspection schemes. </w:t>
      </w:r>
      <w:r w:rsidRPr="00017AAA">
        <w:rPr>
          <w:rFonts w:ascii="Times New Roman" w:eastAsia="Arial" w:hAnsi="Times New Roman" w:cs="Times New Roman"/>
          <w:i/>
        </w:rPr>
        <w:t>Biometrika</w:t>
      </w:r>
      <w:r w:rsidRPr="00017AAA">
        <w:rPr>
          <w:rFonts w:ascii="Times New Roman" w:eastAsia="Arial" w:hAnsi="Times New Roman" w:cs="Times New Roman"/>
        </w:rPr>
        <w:t xml:space="preserve"> 1954;41(1–2):100–115.</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3. Ramdas A, Grünwald P, Vovk V, Shafer G. Game-theoretic statistics and safe anytime-valid inference. </w:t>
      </w:r>
      <w:r w:rsidRPr="00017AAA">
        <w:rPr>
          <w:rFonts w:ascii="Times New Roman" w:eastAsia="Arial" w:hAnsi="Times New Roman" w:cs="Times New Roman"/>
          <w:i/>
        </w:rPr>
        <w:t>Statistical Science</w:t>
      </w:r>
      <w:r w:rsidRPr="00017AAA">
        <w:rPr>
          <w:rFonts w:ascii="Times New Roman" w:eastAsia="Arial" w:hAnsi="Times New Roman" w:cs="Times New Roman"/>
        </w:rPr>
        <w:t xml:space="preserve"> 2023;38(4):576–601.</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4. Howard SR, Ramdas A, McAuliffe J, Sekhon J. Time-uniform, nonparametric, nonasymptotic confidence sequences. </w:t>
      </w:r>
      <w:r w:rsidRPr="00017AAA">
        <w:rPr>
          <w:rFonts w:ascii="Times New Roman" w:eastAsia="Arial" w:hAnsi="Times New Roman" w:cs="Times New Roman"/>
          <w:i/>
        </w:rPr>
        <w:t>Annals of Statistics</w:t>
      </w:r>
      <w:r w:rsidRPr="00017AAA">
        <w:rPr>
          <w:rFonts w:ascii="Times New Roman" w:eastAsia="Arial" w:hAnsi="Times New Roman" w:cs="Times New Roman"/>
        </w:rPr>
        <w:t xml:space="preserve"> 2021;49(2):1055–1080.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5. Wang R, Ramdas A. False discovery rate control with e-values. </w:t>
      </w:r>
      <w:r w:rsidRPr="00017AAA">
        <w:rPr>
          <w:rFonts w:ascii="Times New Roman" w:eastAsia="Arial" w:hAnsi="Times New Roman" w:cs="Times New Roman"/>
          <w:i/>
        </w:rPr>
        <w:t>Journal of the Royal Statistical Society Series B</w:t>
      </w:r>
      <w:r w:rsidRPr="00017AAA">
        <w:rPr>
          <w:rFonts w:ascii="Times New Roman" w:eastAsia="Arial" w:hAnsi="Times New Roman" w:cs="Times New Roman"/>
        </w:rPr>
        <w:t xml:space="preserve"> 2022;84(3):822–852.</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6. Grimm SL, Kaufman JT, Rice DP, Whittaker C, Bradshaw WJ, McLaren MR. Inferring the sensitivity of wastewater metagenomic sequencing for early detection of viruses: a statistical modelling study. </w:t>
      </w:r>
      <w:r w:rsidRPr="00017AAA">
        <w:rPr>
          <w:rFonts w:ascii="Times New Roman" w:eastAsia="Arial" w:hAnsi="Times New Roman" w:cs="Times New Roman"/>
          <w:i/>
        </w:rPr>
        <w:t>Lancet Microbe</w:t>
      </w:r>
      <w:r w:rsidRPr="00017AAA">
        <w:rPr>
          <w:rFonts w:ascii="Times New Roman" w:eastAsia="Arial" w:hAnsi="Times New Roman" w:cs="Times New Roman"/>
        </w:rPr>
        <w:t xml:space="preserve"> 2025;6(11):101187.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7. Lison A, Julian TR, Stadler T. EpiSewer: estimating epidemiological parameters from wastewater measurements. R package; </w:t>
      </w:r>
      <w:r w:rsidRPr="00017AAA">
        <w:rPr>
          <w:rFonts w:ascii="Times New Roman" w:eastAsia="Arial" w:hAnsi="Times New Roman" w:cs="Times New Roman"/>
          <w:i/>
        </w:rPr>
        <w:t>github.com/adrian-lison/EpiSewer</w:t>
      </w:r>
      <w:r w:rsidRPr="00017AAA">
        <w:rPr>
          <w:rFonts w:ascii="Times New Roman" w:eastAsia="Arial" w:hAnsi="Times New Roman" w:cs="Times New Roman"/>
        </w:rPr>
        <w:t>. CDC Center for Forecasting and Outbreak Analytics. wwinference: wastewater-informed epidemiological inference. R package; github.com/CDCgov/ww-inference-model.</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8. Saltelli A, Annoni P, Azzini I, Campolongo F, Ratto M, Tarantola S. Variance based sensitivity analysis of model output. </w:t>
      </w:r>
      <w:r w:rsidRPr="00017AAA">
        <w:rPr>
          <w:rFonts w:ascii="Times New Roman" w:eastAsia="Arial" w:hAnsi="Times New Roman" w:cs="Times New Roman"/>
          <w:i/>
        </w:rPr>
        <w:t>Computer Physics Communications</w:t>
      </w:r>
      <w:r w:rsidRPr="00017AAA">
        <w:rPr>
          <w:rFonts w:ascii="Times New Roman" w:eastAsia="Arial" w:hAnsi="Times New Roman" w:cs="Times New Roman"/>
        </w:rPr>
        <w:t xml:space="preserve"> 2010;181(2):259–270.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Per the RFP, references do not contribute to the page limit.</w:t>
      </w:r>
    </w:p>
    <w:sectPr w:rsidR="002B3814" w:rsidRPr="00017AAA">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4E2E" w:rsidRDefault="00F74E2E">
      <w:pPr>
        <w:spacing w:after="0"/>
      </w:pPr>
      <w:r>
        <w:separator/>
      </w:r>
    </w:p>
  </w:endnote>
  <w:endnote w:type="continuationSeparator" w:id="0">
    <w:p w:rsidR="00F74E2E" w:rsidRDefault="00F74E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4E2E" w:rsidRDefault="00F74E2E">
      <w:r>
        <w:separator/>
      </w:r>
    </w:p>
  </w:footnote>
  <w:footnote w:type="continuationSeparator" w:id="0">
    <w:p w:rsidR="00F74E2E" w:rsidRDefault="00F74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E401"/>
    <w:multiLevelType w:val="multilevel"/>
    <w:tmpl w:val="0FC435A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7AAA"/>
    <w:rsid w:val="00047211"/>
    <w:rsid w:val="00285486"/>
    <w:rsid w:val="002B3814"/>
    <w:rsid w:val="003227E1"/>
    <w:rsid w:val="004E29B3"/>
    <w:rsid w:val="005005D2"/>
    <w:rsid w:val="00590D07"/>
    <w:rsid w:val="00592711"/>
    <w:rsid w:val="005F2349"/>
    <w:rsid w:val="0061689A"/>
    <w:rsid w:val="00643D5D"/>
    <w:rsid w:val="00645B9B"/>
    <w:rsid w:val="00784D58"/>
    <w:rsid w:val="008D6863"/>
    <w:rsid w:val="008D78DA"/>
    <w:rsid w:val="009061E2"/>
    <w:rsid w:val="00AC70B6"/>
    <w:rsid w:val="00B86B75"/>
    <w:rsid w:val="00BC48D5"/>
    <w:rsid w:val="00C36279"/>
    <w:rsid w:val="00C85DA3"/>
    <w:rsid w:val="00D67F4D"/>
    <w:rsid w:val="00E315A3"/>
    <w:rsid w:val="00E87218"/>
    <w:rsid w:val="00F74E2E"/>
    <w:rsid w:val="00FC676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5A1B7A-340D-45E7-B23A-03D6C595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9061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2404</Words>
  <Characters>13705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12</cp:revision>
  <dcterms:created xsi:type="dcterms:W3CDTF">2026-07-31T19:44:00Z</dcterms:created>
  <dcterms:modified xsi:type="dcterms:W3CDTF">2026-07-31T22:22:00Z</dcterms:modified>
</cp:coreProperties>
</file>