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青岳末站关于统一日报时间口径的通知</w:t>
      </w:r>
    </w:p>
    <w:p>
      <w:r>
        <w:t>QH-NOT-2025-006  版本 1.0  编制 顾远  审核 林致远</w:t>
      </w:r>
    </w:p>
    <w:p>
      <w:r>
        <w:t>生效日期 2025-01-01</w:t>
      </w:r>
    </w:p>
    <w:p>
      <w:pPr>
        <w:pStyle w:val="Heading1"/>
      </w:pPr>
      <w:r>
        <w:t>一 文件适用范围与管理边界</w:t>
      </w:r>
    </w:p>
    <w:p>
      <w:r>
        <w:t>本文件适用于青岳末站的关于统一日报时间口径的通知，由运行管理部归口管理，顾远负责解释和修订。执行对象包括当班运行人员、设备工程师、资料管理员及承担相关任务的承包商。使用前应核对文件编号QH-NOT-2025-006、版本1.0及适用站场，其他站场引用本文件时应先完成差异评审。</w:t>
      </w:r>
    </w:p>
    <w:p>
      <w:r>
        <w:t>管理对象包括原始观察、设备台账、处置记录、复验意见和归档文件。现场状态、系统计算值和人工判断应分别表述；事实必须能追溯到原始记录，分析意见必须说明依据及仍未解决的问题。时间统一采用北京时间，日期与班次同时记录，跨午夜事项按实际发生时间归属。</w:t>
      </w:r>
    </w:p>
    <w:p>
      <w:r>
        <w:t>本版一般事项初审时限为3个工作日，完整证据保存期限为5年，月度分层抽查比例为10%。工作日不包含周末；收到材料当日不计入办理时限。材料补正期间保留原接收时间并单独记录补正耗时，不允许通过撤回重提清除逾期记录。</w:t>
      </w:r>
    </w:p>
    <w:p>
      <w:r>
        <w:t>本文件的管理时限不得解释为现场异常可以等待处理的时限。涉及人身安全或设备保护的现场行动执行本站批准的专项文件；本文件用于明确记录、报告和证据复核关系。不同文件适用范围重叠时，先核对专业对象和生效日期，再由归口负责人确认引用顺序。</w:t>
      </w:r>
    </w:p>
    <w:p>
      <w:pPr>
        <w:pStyle w:val="Heading1"/>
      </w:pPr>
      <w:r>
        <w:t>二 术语与判断口径</w:t>
      </w:r>
    </w:p>
    <w:p>
      <w:r>
        <w:t>原始记录是设备采集或人员首次形成且保留时间信息的记录；整理记录是对原始记录进行筛选、汇总或解释后形成的材料。整理记录必须列出原始记录编号，不能因为排版更清楚就取得高于原始记录的证据地位。原始文件损坏时应说明损坏范围、备份来源和恢复过程。</w:t>
      </w:r>
    </w:p>
    <w:p>
      <w:r>
        <w:t>已完成指执行动作已结束；已复验指独立人员确认验收条件满足；已关闭指复验合格且所有关联记录已归档。三者不得混用。待调查表示证据不足以确定原因，不表示无异常；不适用表示对象确实不在条款范围内，须写明排除依据，不能用不适用掩盖未检查。</w:t>
      </w:r>
    </w:p>
    <w:p>
      <w:r>
        <w:t>重复事项以设备位号、现象类别和关联时间窗口共同判断，仅标题相似不得合并。暂时恢复表示状态已恢复但原因或观察期尚未确认。缺失值表示尚未取得数据，不得填零；零值只有在量测或统计确认为零时使用。比例指标同时保存分子、分母及排除项。</w:t>
      </w:r>
    </w:p>
    <w:p>
      <w:pPr>
        <w:pStyle w:val="Heading1"/>
      </w:pPr>
      <w:r>
        <w:t>三 专项规则与适用条件</w:t>
      </w:r>
    </w:p>
    <w:p>
      <w:r>
        <w:t>3.1 日报以采集时间归属日期，接收时间仅用于延迟统计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3.2 涉及更正的历史日报按更正流程重发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3.3 月汇总应引用更正后的有效版本。责任人应在记录中逐项说明适用对象、当前证据和处理结果。发现条件不满足时，状态保持待复核，并列出缺少的材料及补齐责任人；审核意见不得只写‘同意’或‘已处理’，应能让下一班人员独立理解判断过程。</w:t>
      </w:r>
    </w:p>
    <w:p>
      <w:r>
        <w:t>3.4 青岳末站接收事项后由顾远指定主责岗位，协作岗位收到分工后确认其承担范围。涉及两个专业的事项保留一名牵头人，分别列出各专业验收条件。转派只有在接收方确认后生效，确认前由原负责人继续跟踪，避免责任空档。</w:t>
      </w:r>
    </w:p>
    <w:p>
      <w:r>
        <w:t>3.5 一般材料应在3个工作日内初审。因来源单位补正而延长时，记录补正通知、缺项清单和约定反馈时间；同一缺项二次出现应升级给专业主管。超期事项按首次接收日期计龄，不以最后编辑时间重新计算。</w:t>
      </w:r>
    </w:p>
    <w:p>
      <w:r>
        <w:t>3.6 现场照片至少能辨识位置、对象和观察现象。标识无法同时拍入时，用一张全景图和一张细节图建立对应关系。照片压缩、旋转和标注不得覆盖原始图，编辑稿与原图分别保存，引用时说明使用哪一份。</w:t>
      </w:r>
    </w:p>
    <w:p>
      <w:r>
        <w:t>3.7 时间不一致的资料先核对时区、设备时钟和采集延迟。可以确定时钟偏差时，保留原始时间并在整理表中增加校正时间；不能确定偏差时，明确事件顺序的不确定性，不用人工调整凑成预期时间线。</w:t>
      </w:r>
    </w:p>
    <w:p>
      <w:r>
        <w:t>3.8 同一问题有相互冲突的证据时，两份证据均进入复核包。审核人说明各自适用时间与对象，必要时补充现场复查。不得只保留支持既定结论的材料；旧版规定与新版规定不同时，按事项发生时适用版本判断。</w:t>
      </w:r>
    </w:p>
    <w:p>
      <w:r>
        <w:t>3.9 关闭申请包含原始问题、执行过程、复验结果和遗留事项四部分。遗留事项须有单独责任人与期限。复验未通过时保留失败记录并返回执行环节；观察期间复发重新打开原单，同时保留前次关闭时间。</w:t>
      </w:r>
    </w:p>
    <w:p>
      <w:r>
        <w:t>3.10 关联记录编号应指向可访问的实际文件。发现引用缺失时，记录清单差异并补齐来源。只写‘见附件’而未列附件名称和页码的材料退回补正；同名附件须同时注明版本或形成日期。</w:t>
      </w:r>
    </w:p>
    <w:p>
      <w:r>
        <w:t>3.11 每月按文档类型抽取不少于10%的记录复核，小样本不足一份时至少抽取一份。对重复问题、跨班移交和修订文件分别检查，抽查结论只覆盖实际检查范围，不写成全部合格。</w:t>
      </w:r>
    </w:p>
    <w:p>
      <w:r>
        <w:t>3.12 归档期限为5年，自关闭后的次年一月一日起计算。存在未决争议或持续调查的资料继续保留，待归口部门书面确认后处理。权限变更不得破坏历史审计记录，离岗人员的记录由岗位继任人接续管理。</w:t>
      </w:r>
    </w:p>
    <w:p>
      <w:pPr>
        <w:pStyle w:val="Heading1"/>
      </w:pPr>
      <w:r>
        <w:t>四 执行步骤与过程记录</w:t>
      </w:r>
    </w:p>
    <w:p>
      <w:r>
        <w:t>4.1 收文登记。由当班人员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4.2 影响范围确认。由值班工程师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4.3 任务分解。由专业负责人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4.4 阶段反馈。由运行主管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4.5 完成情况汇总。由独立复验人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r>
        <w:t>4.6 归档及后续跟踪。由资料管理员负责，使用本文件附表记录输入资料、检查结果和处理意见。上一步存在未确认事项时，应在本步明确承接边界，不能默认前序材料完整。涉及外部反馈的任务保留发送时间和回执，未收到确认时继续保持跟踪状态。</w:t>
      </w:r>
    </w:p>
    <w:p>
      <w:pPr>
        <w:pStyle w:val="Heading1"/>
      </w:pPr>
      <w:r>
        <w:t>五 例外情况与冲突处理</w:t>
      </w:r>
    </w:p>
    <w:p>
      <w:r>
        <w:t>5.1 网络中断时允许先使用编号连续的纸质记录，恢复后补入系统。补录同时保留纸质记录图像和补录人，业务发生时间与补录时间分列。若自动记录随后补传，应先对照去重，不能把纸质记录和补传记录累计计算为两次事件。</w:t>
      </w:r>
    </w:p>
    <w:p>
      <w:r>
        <w:t>5.2 原责任人请假或岗位调整时，主管指定临时接续人并完成逐条移交。事项原期限保持不变；确需调整期限的，应说明依据并保留原期限。临时接续结束后，再次移交应确认期间新增证据和状态变化。</w:t>
      </w:r>
    </w:p>
    <w:p>
      <w:r>
        <w:t>5.3 已发出的报告发现错误时，保留原报告并发布更正版本。更正说明列出影响的章节、表格、指标和接收范围。仅修正文案也保留版本；涉及统计指标变化的，通知下游汇总人员重新计算受影响期间。</w:t>
      </w:r>
    </w:p>
    <w:p>
      <w:r>
        <w:t>5.4 设备型号相似但不在本文件适用范围内时，不直接沿用本文件结论。专业负责人应形成差异清单，确认需要补充的证据和适用条件。目录或文件名相似只可用于查找，不能作为技术适用性的证明。</w:t>
      </w:r>
    </w:p>
    <w:p>
      <w:r>
        <w:t>5.5 附表数据与正文结论不一致时，先核对统计窗口和过滤条件。确认存在错误后按更正流程办理；尚未确认前两者均标记待复核。不得以正文已经签字为理由跳过原始数据核查，也不得以表格行数较多自动判定表格优先。</w:t>
      </w:r>
    </w:p>
    <w:p>
      <w:pPr>
        <w:pStyle w:val="Heading1"/>
      </w:pPr>
      <w:r>
        <w:t>六 复核与验收条件</w:t>
      </w:r>
    </w:p>
    <w:p>
      <w:r>
        <w:t>验收首先确认对象和范围一致，再检查资料完整性、记录之间的一致性以及执行结果。每项条件填写通过、不通过或不适用，并写明依据。附件中的复核表只记录实际检查到的内容，未查阅的来源不能预填通过。</w:t>
      </w:r>
    </w:p>
    <w:p>
      <w:r>
        <w:t>专业负责人顾远完成初审后，由独立复验人复核关键证据。出现两次退回补正、同类问题重复发生或跨部门意见冲突时，提交运行主管组织专题评审。评审结论应明确继续执行、补充资料或修改方案，不能只形成没有责任分工的会议纪要。</w:t>
      </w:r>
    </w:p>
    <w:p>
      <w:r>
        <w:t>通过验收的资料形成归档包，包含原始文件、整理记录、批准意见、修订说明和附件目录。归档包生成后核对文件数量与摘要清单。缺少任何一项关键证据时保持未关闭状态，并记录下一次检查日期。</w:t>
      </w:r>
    </w:p>
    <w:p>
      <w:pPr>
        <w:pStyle w:val="Heading1"/>
      </w:pPr>
      <w:r>
        <w:t>七 版本衔接与关联文件</w:t>
      </w:r>
    </w:p>
    <w:p>
      <w:r>
        <w:t>版本1.0自2025-01-01起生效。本版为首次发布，归口部门在发布后三十日内完成受控分发确认。</w:t>
      </w:r>
    </w:p>
    <w:p>
      <w:r>
        <w:t>关联文件包括QH-STD-2025-002运行记录与电子证据管理、QH-STD-2025-007生产文件版本与受控分发，以及QH-OPS-2025-002缺陷工单转派与复验流程。引用关联文件时须同时确认其有效版本，不把当前版本自动用于历史事件评价。</w:t>
      </w:r>
    </w:p>
    <w:p>
      <w:r>
        <w:t>附件A为复核台账，附件B包含资料流转图与月度趋势图。台账编号应与正文引用一致，复核结果以实际检查范围为准。</w:t>
      </w:r>
    </w:p>
    <w:p>
      <w:r>
        <w:br w:type="page"/>
      </w:r>
    </w:p>
    <w:p>
      <w:pPr>
        <w:pStyle w:val="Heading1"/>
      </w:pPr>
      <w:r>
        <w:t>附件A 复核台账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"/>
        <w:gridCol w:w="1474"/>
        <w:gridCol w:w="1814"/>
        <w:gridCol w:w="1020"/>
        <w:gridCol w:w="794"/>
        <w:gridCol w:w="794"/>
        <w:gridCol w:w="3061"/>
      </w:tblGrid>
      <w:tr>
        <w:trPr>
          <w:tblHeader/>
        </w:trPr>
        <w:tc>
          <w:tcPr>
            <w:tcW w:type="dxa" w:w="1345"/>
            <w:shd w:fill="DCE6ED"/>
          </w:tcPr>
          <w:p>
            <w:r>
              <w:rPr>
                <w:sz w:val="16"/>
              </w:rPr>
              <w:t>序号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记录编号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观察事项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证据来源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责任人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结果</w:t>
            </w:r>
          </w:p>
        </w:tc>
        <w:tc>
          <w:tcPr>
            <w:tcW w:type="dxa" w:w="1345"/>
            <w:shd w:fill="DCE6ED"/>
          </w:tcPr>
          <w:p>
            <w:r>
              <w:rPr>
                <w:sz w:val="16"/>
              </w:rPr>
              <w:t>跟踪要求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QY-06-001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关于统一日报时间口径的通知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QY-06-002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QY-06-003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QY-06-004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QY-06-005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QY-06-006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QY-06-007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关于统一日报时间口径的通知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QY-06-008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QY-06-009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QY-06-010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QY-06-011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QY-06-012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QY-06-013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关于统一日报时间口径的通知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QY-06-014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QY-06-015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QY-06-016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QY-06-017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QY-06-018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QY-06-019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关于统一日报时间口径的通知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QY-06-020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QY-06-021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QY-06-022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QY-06-023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QY-06-024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QY-06-025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关于统一日报时间口径的通知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QY-06-026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QY-06-027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QY-06-028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QY-06-029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QY-06-030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QY-06-031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关于统一日报时间口径的通知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QY-06-032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位号与记录匹配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QY-06-033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日期与班次归属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原始台账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待补正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补齐原始时间后复审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QY-06-034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附件编号核对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现场记录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通过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纳入归档包</w:t>
            </w:r>
          </w:p>
        </w:tc>
      </w:tr>
      <w:tr>
        <w:tc>
          <w:tcPr>
            <w:tcW w:type="dxa" w:w="454"/>
            <w:shd w:fill="FFFFFF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474"/>
            <w:shd w:fill="FFFFFF"/>
          </w:tcPr>
          <w:p>
            <w:r>
              <w:rPr>
                <w:sz w:val="16"/>
              </w:rPr>
              <w:t>QY-06-035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16"/>
              </w:rPr>
              <w:t>复验意见完整性</w:t>
            </w:r>
          </w:p>
        </w:tc>
        <w:tc>
          <w:tcPr>
            <w:tcW w:type="dxa" w:w="1020"/>
            <w:shd w:fill="FFFFFF"/>
          </w:tcPr>
          <w:p>
            <w:r>
              <w:rPr>
                <w:sz w:val="16"/>
              </w:rPr>
              <w:t>系统导出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顾远</w:t>
            </w:r>
          </w:p>
        </w:tc>
        <w:tc>
          <w:tcPr>
            <w:tcW w:type="dxa" w:w="794"/>
            <w:shd w:fill="FFFFFF"/>
          </w:tcPr>
          <w:p>
            <w:r>
              <w:rPr>
                <w:sz w:val="16"/>
              </w:rPr>
              <w:t>待复核</w:t>
            </w:r>
          </w:p>
        </w:tc>
        <w:tc>
          <w:tcPr>
            <w:tcW w:type="dxa" w:w="3061"/>
            <w:shd w:fill="FFFFFF"/>
          </w:tcPr>
          <w:p>
            <w:r>
              <w:rPr>
                <w:sz w:val="16"/>
              </w:rPr>
              <w:t>独立人员核对来源</w:t>
            </w:r>
          </w:p>
        </w:tc>
      </w:tr>
      <w:tr>
        <w:tc>
          <w:tcPr>
            <w:tcW w:type="dxa" w:w="454"/>
            <w:shd w:fill="F5F7F9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474"/>
            <w:shd w:fill="F5F7F9"/>
          </w:tcPr>
          <w:p>
            <w:r>
              <w:rPr>
                <w:sz w:val="16"/>
              </w:rPr>
              <w:t>QY-06-036</w:t>
            </w:r>
          </w:p>
        </w:tc>
        <w:tc>
          <w:tcPr>
            <w:tcW w:type="dxa" w:w="1814"/>
            <w:shd w:fill="F5F7F9"/>
          </w:tcPr>
          <w:p>
            <w:r>
              <w:rPr>
                <w:sz w:val="16"/>
              </w:rPr>
              <w:t>版本有效性核对</w:t>
            </w:r>
          </w:p>
        </w:tc>
        <w:tc>
          <w:tcPr>
            <w:tcW w:type="dxa" w:w="1020"/>
            <w:shd w:fill="F5F7F9"/>
          </w:tcPr>
          <w:p>
            <w:r>
              <w:rPr>
                <w:sz w:val="16"/>
              </w:rPr>
              <w:t>照片附件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林致远</w:t>
            </w:r>
          </w:p>
        </w:tc>
        <w:tc>
          <w:tcPr>
            <w:tcW w:type="dxa" w:w="794"/>
            <w:shd w:fill="F5F7F9"/>
          </w:tcPr>
          <w:p>
            <w:r>
              <w:rPr>
                <w:sz w:val="16"/>
              </w:rPr>
              <w:t>不适用</w:t>
            </w:r>
          </w:p>
        </w:tc>
        <w:tc>
          <w:tcPr>
            <w:tcW w:type="dxa" w:w="3061"/>
            <w:shd w:fill="F5F7F9"/>
          </w:tcPr>
          <w:p>
            <w:r>
              <w:rPr>
                <w:sz w:val="16"/>
              </w:rPr>
              <w:t>本站无对应对象，已说明</w:t>
            </w:r>
          </w:p>
        </w:tc>
      </w:tr>
    </w:tbl>
    <w:p>
      <w:r>
        <w:br w:type="page"/>
      </w:r>
    </w:p>
    <w:p>
      <w:pPr>
        <w:pStyle w:val="Heading1"/>
      </w:pPr>
      <w:r>
        <w:t>附件B 图像与资料流转</w:t>
      </w:r>
    </w:p>
    <w:p>
      <w:r>
        <w:drawing>
          <wp:inline xmlns:a="http://schemas.openxmlformats.org/drawingml/2006/main" xmlns:pic="http://schemas.openxmlformats.org/drawingml/2006/picture">
            <wp:extent cx="57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-NOT-2025-006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资料流转与补证关系</w:t>
      </w:r>
    </w:p>
    <w:p>
      <w:r>
        <w:drawing>
          <wp:inline xmlns:a="http://schemas.openxmlformats.org/drawingml/2006/main" xmlns:pic="http://schemas.openxmlformats.org/drawingml/2006/picture">
            <wp:extent cx="576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-NOT-2025-006-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记录质量月度趋势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受控文件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青衡管网运营有限公司  运行管理部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