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河源压气站计量差异联合复核流程</w:t>
      </w:r>
    </w:p>
    <w:p>
      <w:r>
        <w:t>QH-OPS-2025-003  版本 2.0  编制 蒋宁  审核 林致远</w:t>
      </w:r>
    </w:p>
    <w:p>
      <w:r>
        <w:t>生效日期 2026-07-01</w:t>
      </w:r>
    </w:p>
    <w:p>
      <w:pPr>
        <w:pStyle w:val="Heading1"/>
      </w:pPr>
      <w:r>
        <w:t>一 文件适用范围与管理边界</w:t>
      </w:r>
    </w:p>
    <w:p>
      <w:r>
        <w:t>本文件适用于河源压气站的计量差异联合复核流程，由运行管理部归口管理，蒋宁负责解释和修订。执行对象包括当班运行人员、设备工程师、资料管理员及承担相关任务的承包商。使用前应核对文件编号QH-OPS-2025-003、版本2.0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2个工作日，完整证据保存期限为8年，月度分层抽查比例为15%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先统一时间边界、计量基准和单位，再计算差异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双方原始数据冻结后启动复核，修改数据必须重新签认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无法重建的缺失窗口单列争议项，不分摊至其他完整时段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河源压气站接收事项后由蒋宁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一般材料应在2个工作日内初审。因来源单位补正而延长时，记录补正通知、缺项清单和约定反馈时间；同一缺项二次出现应升级给专业主管。超期事项按首次接收日期计龄，不以最后编辑时间重新计算。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每月按文档类型抽取不少于15%的记录复核，小样本不足一份时至少抽取一份。对重复问题、跨班移交和修订文件分别检查，抽查结论只覆盖实际检查范围，不写成全部合格。</w:t>
      </w:r>
    </w:p>
    <w:p>
      <w:r>
        <w:t>3.12 归档期限为8年，自关闭后的次年一月一日起计算。存在未决争议或持续调查的资料继续保留，待归口部门书面确认后处理。权限变更不得破坏历史审计记录，离岗人员的记录由岗位继任人接续管理。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任务接收登记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前提条件检查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资料交叉核对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分支条件判断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独立复验确认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完成移交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蒋宁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2.0自2026-07-01起生效。本次将一般事项初审从三个工作日缩短为两个工作日，将保存期限从五年调整为八年，将月度抽查比例从百分之十提高为百分之十五。存量事项已批准的办理计划仍有效，重新评审时适用新版要求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计量差异联合复核流程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HY-03-035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HY-03-036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3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3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