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255EF">
      <w:pPr>
        <w:spacing w:before="480" w:after="480" w:line="288" w:lineRule="auto"/>
        <w:ind w:left="0" w:leftChars="0" w:firstLine="0" w:firstLineChars="0"/>
        <w:jc w:val="center"/>
        <w:rPr>
          <w:rFonts w:hint="eastAsia" w:ascii="苹方" w:hAnsi="苹方" w:eastAsia="苹方" w:cs="苹方"/>
          <w:b/>
          <w:sz w:val="52"/>
        </w:rPr>
      </w:pPr>
      <w:r>
        <w:rPr>
          <w:rFonts w:hint="eastAsia" w:ascii="苹方" w:hAnsi="苹方" w:eastAsia="苹方" w:cs="苹方"/>
          <w:b/>
          <w:sz w:val="52"/>
        </w:rPr>
        <w:t>企业级 RAG 整套流程方案</w:t>
      </w:r>
    </w:p>
    <w:p w14:paraId="01B7DEFC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（多Excel/销售财务表/2G大文件/多表合并/前端展示）</w:t>
      </w:r>
    </w:p>
    <w:p w14:paraId="32623916">
      <w:pPr>
        <w:spacing w:before="380" w:after="140" w:line="288" w:lineRule="auto"/>
        <w:ind w:left="0"/>
        <w:jc w:val="left"/>
        <w:outlineLvl w:val="0"/>
        <w:rPr>
          <w:rFonts w:hint="eastAsia" w:ascii="苹方" w:hAnsi="苹方" w:eastAsia="苹方" w:cs="苹方"/>
        </w:rPr>
      </w:pPr>
      <w:bookmarkStart w:id="0" w:name="heading_0"/>
      <w:r>
        <w:rPr>
          <w:rFonts w:hint="eastAsia" w:ascii="苹方" w:hAnsi="苹方" w:eastAsia="苹方" w:cs="苹方"/>
          <w:b/>
          <w:sz w:val="36"/>
        </w:rPr>
        <w:t>一、项目背景</w:t>
      </w:r>
      <w:bookmarkEnd w:id="0"/>
    </w:p>
    <w:p w14:paraId="5D281F2B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核心需求</w:t>
      </w:r>
      <w:r>
        <w:rPr>
          <w:rFonts w:hint="eastAsia" w:ascii="苹方" w:hAnsi="苹方" w:eastAsia="苹方" w:cs="苹方"/>
          <w:sz w:val="22"/>
        </w:rPr>
        <w:t>：构建RAG向量知识库，整合企业内部多模态数据（以Excel结构化报表、数据清单为主，搭配PDF制度规范、Word流程文档、PPT汇报材料），解决国企内部数据检索效率低、跨文档关联难、业务问答不精准的问题，支撑内部业务查询、数据核对等日常办公场景。</w:t>
      </w:r>
    </w:p>
    <w:p w14:paraId="27DC7CAE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核心痛点</w:t>
      </w:r>
      <w:r>
        <w:rPr>
          <w:rFonts w:hint="eastAsia" w:ascii="苹方" w:hAnsi="苹方" w:eastAsia="苹方" w:cs="苹方"/>
          <w:sz w:val="22"/>
        </w:rPr>
        <w:t>：Excel报表分散存储于各部门、多维度，传统使用需逐表打开人工核对，耗时耗力；非结构化文档与结构化数据相互割裂，无法实现关联查询，数据价值难以发挥；传统关键词检索漏检、误检率偏高，严重影响国企日常办公与数据协作效率，无法满足高精度、强合规的业务需求。</w:t>
      </w:r>
    </w:p>
    <w:p w14:paraId="6659111C">
      <w:pPr>
        <w:spacing w:before="380" w:after="140" w:line="288" w:lineRule="auto"/>
        <w:ind w:left="0"/>
        <w:jc w:val="left"/>
        <w:outlineLvl w:val="0"/>
        <w:rPr>
          <w:rFonts w:hint="eastAsia" w:ascii="苹方" w:hAnsi="苹方" w:eastAsia="苹方" w:cs="苹方"/>
        </w:rPr>
      </w:pPr>
      <w:bookmarkStart w:id="1" w:name="heading_1"/>
      <w:r>
        <w:rPr>
          <w:rFonts w:hint="eastAsia" w:ascii="苹方" w:hAnsi="苹方" w:eastAsia="苹方" w:cs="苹方"/>
          <w:b/>
          <w:sz w:val="36"/>
        </w:rPr>
        <w:t>二、核心建设重点</w:t>
      </w:r>
      <w:bookmarkEnd w:id="1"/>
    </w:p>
    <w:p w14:paraId="0C870EB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Embedding 模型</w:t>
      </w:r>
      <w:r>
        <w:rPr>
          <w:rFonts w:hint="eastAsia" w:ascii="苹方" w:hAnsi="苹方" w:eastAsia="苹方" w:cs="苹方"/>
          <w:sz w:val="22"/>
        </w:rPr>
        <w:t>：选用bge-small-zh为主模型，具备轻量化部署、落地成本低的优势，针对国企Excel结构化数据进行针对性优化，强化字段、数值类内容的向量化精准度，适配财务、销售等核心业务数据的检索需求。</w:t>
      </w:r>
    </w:p>
    <w:p w14:paraId="063695D5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切片与边界规则</w:t>
      </w:r>
      <w:r>
        <w:rPr>
          <w:rFonts w:hint="eastAsia" w:ascii="苹方" w:hAnsi="苹方" w:eastAsia="苹方" w:cs="苹方"/>
          <w:sz w:val="22"/>
        </w:rPr>
        <w:t>：Excel按「Sheet→表名→字段→行数据」进行结构化分级切片，确保数据维度清晰、关联可追溯；PDF/Word文档遵循语义边界切片，杜绝语义断裂、内容碎片化问题，保障检索结果的完整性。</w:t>
      </w:r>
      <w:bookmarkStart w:id="17" w:name="_GoBack"/>
      <w:bookmarkEnd w:id="17"/>
    </w:p>
    <w:p w14:paraId="33A55289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多模态数据优先级</w:t>
      </w:r>
      <w:r>
        <w:rPr>
          <w:rFonts w:hint="eastAsia" w:ascii="苹方" w:hAnsi="苹方" w:eastAsia="苹方" w:cs="苹方"/>
          <w:sz w:val="22"/>
        </w:rPr>
        <w:t>：以Excel结构化数据为核心优先处理，优先保障业务数据的检索效率与精准度；非结构化文档按需提取关键信息，平衡检索效率与项目落地成本，避免资源浪费。</w:t>
      </w:r>
    </w:p>
    <w:p w14:paraId="43BD0335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检索策略设计</w:t>
      </w:r>
      <w:r>
        <w:rPr>
          <w:rFonts w:hint="eastAsia" w:ascii="苹方" w:hAnsi="苹方" w:eastAsia="苹方" w:cs="苹方"/>
          <w:sz w:val="22"/>
        </w:rPr>
        <w:t>：采用向量+关键词混合检索模式，支持检索参数灵活调配，可根据业务场景调整检索权重，充分适配国企高精度、强合规的检索使用需求，降低漏检、误检率。</w:t>
      </w:r>
    </w:p>
    <w:p w14:paraId="71546998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部署架构</w:t>
      </w:r>
      <w:r>
        <w:rPr>
          <w:rFonts w:hint="eastAsia" w:ascii="苹方" w:hAnsi="苹方" w:eastAsia="苹方" w:cs="苹方"/>
          <w:sz w:val="22"/>
        </w:rPr>
        <w:t>：全链路私有化内网部署，严格保障国企核心财务、经营数据安全；支持文档增量入库、知识库动态更新，适配企业数据持续增长的业务场景，无需频繁重启系统。</w:t>
      </w:r>
    </w:p>
    <w:p w14:paraId="31C819DF">
      <w:pPr>
        <w:spacing w:before="380" w:after="140" w:line="288" w:lineRule="auto"/>
        <w:ind w:left="0"/>
        <w:jc w:val="left"/>
        <w:outlineLvl w:val="0"/>
        <w:rPr>
          <w:rFonts w:hint="eastAsia" w:ascii="苹方" w:hAnsi="苹方" w:eastAsia="苹方" w:cs="苹方"/>
        </w:rPr>
      </w:pPr>
      <w:bookmarkStart w:id="2" w:name="heading_2"/>
      <w:r>
        <w:rPr>
          <w:rFonts w:hint="eastAsia" w:ascii="苹方" w:hAnsi="苹方" w:eastAsia="苹方" w:cs="苹方"/>
          <w:b/>
          <w:sz w:val="36"/>
        </w:rPr>
        <w:t>三、数据脱敏（双机制并行，保障合规安全）</w:t>
      </w:r>
      <w:bookmarkEnd w:id="2"/>
    </w:p>
    <w:p w14:paraId="753C84DD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数据脱敏分为两大核心环节：入库阶段静态脱敏、查询返回阶段动态脱敏，双机制并行防护，为企业数据合规提供双重保障，既满足安全要求，又不影响业务正常开展。</w:t>
      </w:r>
    </w:p>
    <w:p w14:paraId="4BA6F733">
      <w:pPr>
        <w:spacing w:before="320" w:after="120" w:line="288" w:lineRule="auto"/>
        <w:ind w:left="0"/>
        <w:jc w:val="left"/>
        <w:outlineLvl w:val="1"/>
        <w:rPr>
          <w:rFonts w:hint="eastAsia" w:ascii="苹方" w:hAnsi="苹方" w:eastAsia="苹方" w:cs="苹方"/>
        </w:rPr>
      </w:pPr>
      <w:bookmarkStart w:id="3" w:name="heading_3"/>
      <w:r>
        <w:rPr>
          <w:rFonts w:hint="eastAsia" w:ascii="苹方" w:hAnsi="苹方" w:eastAsia="苹方" w:cs="苹方"/>
          <w:b/>
          <w:sz w:val="32"/>
        </w:rPr>
        <w:t>3.1 风险评估</w:t>
      </w:r>
      <w:bookmarkEnd w:id="3"/>
    </w:p>
    <w:p w14:paraId="6F7F4C9F">
      <w:pPr>
        <w:spacing w:before="300" w:after="120" w:line="288" w:lineRule="auto"/>
        <w:ind w:left="0"/>
        <w:jc w:val="left"/>
        <w:outlineLvl w:val="2"/>
        <w:rPr>
          <w:rFonts w:hint="eastAsia" w:ascii="苹方" w:hAnsi="苹方" w:eastAsia="苹方" w:cs="苹方"/>
        </w:rPr>
      </w:pPr>
      <w:bookmarkStart w:id="4" w:name="heading_4"/>
      <w:r>
        <w:rPr>
          <w:rFonts w:hint="eastAsia" w:ascii="苹方" w:hAnsi="苹方" w:eastAsia="苹方" w:cs="苹方"/>
          <w:b/>
          <w:sz w:val="30"/>
        </w:rPr>
        <w:t>1. 公有云向量库存储明文数据，存在重大安全风险</w:t>
      </w:r>
      <w:bookmarkEnd w:id="4"/>
    </w:p>
    <w:p w14:paraId="39B071D5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集团财务真实明文信息和核心业务数据若存入公有云向量库，将存在巨大安全隐患：</w:t>
      </w:r>
    </w:p>
    <w:p w14:paraId="69384976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核心数据泄露风险：销售额、利润、亏损比例、成本等核心经营数据明文存入三方云向量库，易被黑客窃取、滥用，导致集团财务信息、经营机密泄露，造成不可挽回的损失；</w:t>
      </w:r>
    </w:p>
    <w:p w14:paraId="54369BCA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合规性不达标：行业强制要求核心数据不出企业内网、不上公有云，公有云存储模式无法通过国企安全审计、内部保密检查。</w:t>
      </w:r>
    </w:p>
    <w:p w14:paraId="6A6AE8BB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因此，合规安全的核心解法为：</w:t>
      </w:r>
      <w:r>
        <w:rPr>
          <w:rFonts w:hint="eastAsia" w:ascii="苹方" w:hAnsi="苹方" w:eastAsia="苹方" w:cs="苹方"/>
          <w:b/>
          <w:sz w:val="22"/>
        </w:rPr>
        <w:t>客户本地私有化部署向量库</w:t>
      </w:r>
    </w:p>
    <w:p w14:paraId="2C4528CB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所有Excel、PPT、PDF、Word等办公文档及业务明文数据，全生命周期不出企业机房，实现数据闭环管理；</w:t>
      </w:r>
    </w:p>
    <w:p w14:paraId="395CF7A6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外网无任何访问入口，从物理层面隔绝数据外泄风险，杜绝外部攻击导致的数据泄露；</w:t>
      </w:r>
    </w:p>
    <w:p w14:paraId="374F3898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完全满足企业保密管理、内部审计、行业合规等硬性要求，适配国企严格的安全管理规范。</w:t>
      </w:r>
    </w:p>
    <w:p w14:paraId="66EB7FC7">
      <w:pPr>
        <w:spacing w:before="300" w:after="120" w:line="288" w:lineRule="auto"/>
        <w:ind w:left="0"/>
        <w:jc w:val="left"/>
        <w:outlineLvl w:val="2"/>
        <w:rPr>
          <w:rFonts w:hint="eastAsia" w:ascii="苹方" w:hAnsi="苹方" w:eastAsia="苹方" w:cs="苹方"/>
        </w:rPr>
      </w:pPr>
      <w:bookmarkStart w:id="5" w:name="heading_5"/>
      <w:r>
        <w:rPr>
          <w:rFonts w:hint="eastAsia" w:ascii="苹方" w:hAnsi="苹方" w:eastAsia="苹方" w:cs="苹方"/>
          <w:b/>
          <w:sz w:val="30"/>
        </w:rPr>
        <w:t>2. 大模型调用链路（上下文）留存，引发明文泄露隐患</w:t>
      </w:r>
      <w:bookmarkEnd w:id="5"/>
    </w:p>
    <w:p w14:paraId="78E7F7B3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公有云RAG调用链路、大模型交互日志、系统缓存、数据快照等环节，极易留存完整的财务明文数据，无法通过国企安全审计要求，存在违规风险。</w:t>
      </w:r>
    </w:p>
    <w:p w14:paraId="33EC7D0D">
      <w:pPr>
        <w:spacing w:before="320" w:after="120" w:line="288" w:lineRule="auto"/>
        <w:ind w:left="0"/>
        <w:jc w:val="left"/>
        <w:outlineLvl w:val="1"/>
        <w:rPr>
          <w:rFonts w:hint="eastAsia" w:ascii="苹方" w:hAnsi="苹方" w:eastAsia="苹方" w:cs="苹方"/>
        </w:rPr>
      </w:pPr>
      <w:bookmarkStart w:id="6" w:name="heading_6"/>
      <w:r>
        <w:rPr>
          <w:rFonts w:hint="eastAsia" w:ascii="苹方" w:hAnsi="苹方" w:eastAsia="苹方" w:cs="苹方"/>
          <w:b/>
          <w:sz w:val="32"/>
        </w:rPr>
        <w:t>3.2 全套合规 + 安全解法</w:t>
      </w:r>
      <w:bookmarkEnd w:id="6"/>
    </w:p>
    <w:p w14:paraId="3D86DA8E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采用「本地文件解析 + 内网私有化向量库 + 本地LLM全域部署」模式，结合隐私字段入库静态脱敏、财务核心数据内网明文存储，搭配角色级动态输出体系，实现安全与效率的双重兼顾。</w:t>
      </w:r>
    </w:p>
    <w:p w14:paraId="2C5E14E1">
      <w:pPr>
        <w:spacing w:before="320" w:after="120" w:line="288" w:lineRule="auto"/>
        <w:ind w:left="0"/>
        <w:jc w:val="left"/>
        <w:outlineLvl w:val="1"/>
        <w:rPr>
          <w:rFonts w:hint="eastAsia" w:ascii="苹方" w:hAnsi="苹方" w:eastAsia="苹方" w:cs="苹方"/>
        </w:rPr>
      </w:pPr>
      <w:bookmarkStart w:id="7" w:name="heading_7"/>
      <w:r>
        <w:rPr>
          <w:rFonts w:hint="eastAsia" w:ascii="苹方" w:hAnsi="苹方" w:eastAsia="苹方" w:cs="苹方"/>
          <w:b/>
          <w:sz w:val="32"/>
        </w:rPr>
        <w:t>3.3 「双脱敏 + 权限体系」架构</w:t>
      </w:r>
      <w:bookmarkEnd w:id="7"/>
    </w:p>
    <w:p w14:paraId="3DB27859">
      <w:pPr>
        <w:spacing w:before="300" w:after="120" w:line="288" w:lineRule="auto"/>
        <w:ind w:left="0"/>
        <w:jc w:val="left"/>
        <w:outlineLvl w:val="2"/>
        <w:rPr>
          <w:rFonts w:hint="eastAsia" w:ascii="苹方" w:hAnsi="苹方" w:eastAsia="苹方" w:cs="苹方"/>
        </w:rPr>
      </w:pPr>
      <w:bookmarkStart w:id="8" w:name="heading_8"/>
      <w:r>
        <w:rPr>
          <w:rFonts w:hint="eastAsia" w:ascii="苹方" w:hAnsi="苹方" w:eastAsia="苹方" w:cs="苹方"/>
          <w:b/>
          <w:sz w:val="30"/>
        </w:rPr>
        <w:t>1. 静态脱敏（入库永久脱敏）</w:t>
      </w:r>
      <w:bookmarkEnd w:id="8"/>
    </w:p>
    <w:p w14:paraId="5A8E552D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在内网本地完成数据入库处理，针对无业务计算需求的隐私类数据统一实施静态脱敏（如需特殊溯源查看，需走独立内控审批台账，不纳入RAG常规查询链路开放明文）：</w:t>
      </w:r>
    </w:p>
    <w:p w14:paraId="55C21DC1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适用范围：手机号、联系人信息、私人社交账号、合同绝密编号、员工隐私信息等无业务分析价值的隐私数据；</w:t>
      </w:r>
    </w:p>
    <w:p w14:paraId="7629FFEC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核心特点：脱敏规则永久生效，不受账号权限限制，此类数据全程不存储明文，从源头杜绝隐私泄露风险。</w:t>
      </w:r>
    </w:p>
    <w:p w14:paraId="6D7B30CA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重点说明：财务、经营类核心指标（金额、比例、营收、成本、利润、亏损等）</w:t>
      </w:r>
      <w:r>
        <w:rPr>
          <w:rFonts w:hint="eastAsia" w:ascii="苹方" w:hAnsi="苹方" w:eastAsia="苹方" w:cs="苹方"/>
          <w:b/>
          <w:sz w:val="22"/>
        </w:rPr>
        <w:t>禁止入库静态脱敏</w:t>
      </w:r>
      <w:r>
        <w:rPr>
          <w:rFonts w:hint="eastAsia" w:ascii="苹方" w:hAnsi="苹方" w:eastAsia="苹方" w:cs="苹方"/>
          <w:sz w:val="22"/>
        </w:rPr>
        <w:t>，全程以明文入库存储，仅启用后置动态权限脱敏，原因如下：</w:t>
      </w:r>
    </w:p>
    <w:p w14:paraId="6D5F74D9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向量库、文本Chunk切片、原始数据片段均留存真实明文，保障RAG检索、多表统计、数据对比、数值计算结果的精确无误；</w:t>
      </w:r>
    </w:p>
    <w:p w14:paraId="11DFD269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脱敏规则仅发生在最终输出前端展示环节，不影响后端数据处理与分析的准确性。</w:t>
      </w:r>
    </w:p>
    <w:p w14:paraId="60596416">
      <w:pPr>
        <w:spacing w:before="300" w:after="120" w:line="288" w:lineRule="auto"/>
        <w:ind w:left="0"/>
        <w:jc w:val="left"/>
        <w:outlineLvl w:val="2"/>
        <w:rPr>
          <w:rFonts w:hint="eastAsia" w:ascii="苹方" w:hAnsi="苹方" w:eastAsia="苹方" w:cs="苹方"/>
        </w:rPr>
      </w:pPr>
      <w:bookmarkStart w:id="9" w:name="heading_9"/>
      <w:r>
        <w:rPr>
          <w:rFonts w:hint="eastAsia" w:ascii="苹方" w:hAnsi="苹方" w:eastAsia="苹方" w:cs="苹方"/>
          <w:b/>
          <w:sz w:val="30"/>
        </w:rPr>
        <w:t>2. 检索阶段</w:t>
      </w:r>
      <w:bookmarkEnd w:id="9"/>
    </w:p>
    <w:p w14:paraId="60BEE97A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用户提问 → 内网服务调用本地私有化向量库 → RAG召回完整明文业务数据（如：明文表格碎片），全程内网闭环运行，不经过任何公网链路，无三方存储环节，核心数据全程不出企业机房，确保数据安全。</w:t>
      </w:r>
    </w:p>
    <w:p w14:paraId="762983CD">
      <w:pPr>
        <w:spacing w:before="300" w:after="120" w:line="288" w:lineRule="auto"/>
        <w:ind w:left="0"/>
        <w:jc w:val="left"/>
        <w:outlineLvl w:val="2"/>
        <w:rPr>
          <w:rFonts w:hint="eastAsia" w:ascii="苹方" w:hAnsi="苹方" w:eastAsia="苹方" w:cs="苹方"/>
        </w:rPr>
      </w:pPr>
      <w:bookmarkStart w:id="10" w:name="heading_10"/>
      <w:r>
        <w:rPr>
          <w:rFonts w:hint="eastAsia" w:ascii="苹方" w:hAnsi="苹方" w:eastAsia="苹方" w:cs="苹方"/>
          <w:b/>
          <w:sz w:val="30"/>
        </w:rPr>
        <w:t>3. 数据处理（Pandas 对齐 / 合并）</w:t>
      </w:r>
      <w:bookmarkEnd w:id="10"/>
    </w:p>
    <w:p w14:paraId="5FFACCA3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在内网服务中完成自动化数据处理：基于Pandas实现多表合并、字段统一对齐、列名标准化梳理，有效解决多部门报表格式不统一、字段不一致的问题，提升跨部门数据协同效率。</w:t>
      </w:r>
    </w:p>
    <w:p w14:paraId="7BC5BD6C">
      <w:pPr>
        <w:spacing w:before="300" w:after="120" w:line="288" w:lineRule="auto"/>
        <w:ind w:left="0"/>
        <w:jc w:val="left"/>
        <w:outlineLvl w:val="2"/>
        <w:rPr>
          <w:rFonts w:hint="eastAsia" w:ascii="苹方" w:hAnsi="苹方" w:eastAsia="苹方" w:cs="苹方"/>
        </w:rPr>
      </w:pPr>
      <w:bookmarkStart w:id="11" w:name="heading_11"/>
      <w:r>
        <w:rPr>
          <w:rFonts w:hint="eastAsia" w:ascii="苹方" w:hAnsi="苹方" w:eastAsia="苹方" w:cs="苹方"/>
          <w:b/>
          <w:sz w:val="30"/>
        </w:rPr>
        <w:t>4. 动态脱敏（权限拦截，核心关键）</w:t>
      </w:r>
      <w:bookmarkEnd w:id="11"/>
    </w:p>
    <w:p w14:paraId="16105CAF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严格执行时序规则：RAG数据召回 → 多表合并对齐 → 动态脱敏处理，动态脱敏仅做前端展示拦截，不修改、不污染原始明文数据，确保后端数据的完整性与准确性：</w:t>
      </w:r>
    </w:p>
    <w:p w14:paraId="4DFD1634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普通员工账号：自动脱敏隐藏成本、利润、亏损、核心毛利等机密字段，仅展示非敏感业务数据，满足日常办公查询需求；</w:t>
      </w:r>
    </w:p>
    <w:p w14:paraId="2D58E729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高管及高权限账号：关闭动态脱敏策略，支持全量明文查看、LLM智能分析、数据汇总、跨维度计算对比等高级功能，保障管理层决策分析的准确性。</w:t>
      </w:r>
    </w:p>
    <w:p w14:paraId="62EAE0AC">
      <w:pPr>
        <w:spacing w:before="300" w:after="120" w:line="288" w:lineRule="auto"/>
        <w:ind w:left="0"/>
        <w:jc w:val="left"/>
        <w:outlineLvl w:val="2"/>
        <w:rPr>
          <w:rFonts w:hint="eastAsia" w:ascii="苹方" w:hAnsi="苹方" w:eastAsia="苹方" w:cs="苹方"/>
        </w:rPr>
      </w:pPr>
      <w:bookmarkStart w:id="12" w:name="heading_12"/>
      <w:r>
        <w:rPr>
          <w:rFonts w:hint="eastAsia" w:ascii="苹方" w:hAnsi="苹方" w:eastAsia="苹方" w:cs="苹方"/>
          <w:b/>
          <w:sz w:val="30"/>
        </w:rPr>
        <w:t>5. 大模型部署建议（配套安全）</w:t>
      </w:r>
      <w:bookmarkEnd w:id="12"/>
    </w:p>
    <w:p w14:paraId="3A8FDCF5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内网本地部署LLM开源大模型（如：DeepSeek），将脱敏/明文干净的业务数据（如：表格碎片）输入喂给LLM，实现安全可控的智能问答与数据分析，杜绝大模型调用链路中的数据泄露风险。</w:t>
      </w:r>
    </w:p>
    <w:p w14:paraId="4ED4F389">
      <w:pPr>
        <w:spacing w:before="300" w:after="120" w:line="288" w:lineRule="auto"/>
        <w:ind w:left="0"/>
        <w:jc w:val="left"/>
        <w:outlineLvl w:val="2"/>
        <w:rPr>
          <w:rFonts w:hint="eastAsia" w:ascii="苹方" w:hAnsi="苹方" w:eastAsia="苹方" w:cs="苹方"/>
        </w:rPr>
      </w:pPr>
      <w:bookmarkStart w:id="13" w:name="heading_13"/>
      <w:r>
        <w:rPr>
          <w:rFonts w:hint="eastAsia" w:ascii="苹方" w:hAnsi="苹方" w:eastAsia="苹方" w:cs="苹方"/>
          <w:b/>
          <w:sz w:val="30"/>
        </w:rPr>
        <w:t>6. 前端渲染输出</w:t>
      </w:r>
      <w:bookmarkEnd w:id="13"/>
    </w:p>
    <w:p w14:paraId="5E3B1AC3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结合用户账号权限，通过AntV/ECharts实现差异化渲染，展示表格、报表、图表等内容，实现敏感数据分级可见，既保障数据安全，又满足不同角色的业务使用需求。</w:t>
      </w:r>
    </w:p>
    <w:p w14:paraId="1D6F415E">
      <w:pPr>
        <w:spacing w:before="320" w:after="120" w:line="288" w:lineRule="auto"/>
        <w:ind w:left="0"/>
        <w:jc w:val="left"/>
        <w:outlineLvl w:val="1"/>
        <w:rPr>
          <w:rFonts w:hint="eastAsia" w:ascii="苹方" w:hAnsi="苹方" w:eastAsia="苹方" w:cs="苹方"/>
        </w:rPr>
      </w:pPr>
      <w:bookmarkStart w:id="14" w:name="heading_14"/>
      <w:r>
        <w:rPr>
          <w:rFonts w:hint="eastAsia" w:ascii="苹方" w:hAnsi="苹方" w:eastAsia="苹方" w:cs="苹方"/>
          <w:b/>
          <w:sz w:val="32"/>
        </w:rPr>
        <w:t>3.4 常见问题解答</w:t>
      </w:r>
      <w:bookmarkEnd w:id="14"/>
    </w:p>
    <w:p w14:paraId="39625075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如何保障高管数据分析无失真？</w:t>
      </w:r>
      <w:r>
        <w:rPr>
          <w:rFonts w:hint="eastAsia" w:ascii="苹方" w:hAnsi="苹方" w:eastAsia="苹方" w:cs="苹方"/>
          <w:sz w:val="22"/>
        </w:rPr>
        <w:t xml:space="preserve"> → 财务核心数据内网明文存储，不做入库静态脱敏，确保后端数据处理、计算与分析的精度，满足管理层决策需求。</w:t>
      </w:r>
    </w:p>
    <w:p w14:paraId="68F0866D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如何限制普通员工查看机密经营数据？</w:t>
      </w:r>
      <w:r>
        <w:rPr>
          <w:rFonts w:hint="eastAsia" w:ascii="苹方" w:hAnsi="苹方" w:eastAsia="苹方" w:cs="苹方"/>
          <w:sz w:val="22"/>
        </w:rPr>
        <w:t xml:space="preserve"> → 后端搭载动态脱敏引擎 + 分级权限体系，在数据输出层自动拦截、隐藏敏感字段，仅开放非敏感数据查看权限。</w:t>
      </w:r>
    </w:p>
    <w:p w14:paraId="407452FA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如何杜绝核心数据泄露至第三方平台？</w:t>
      </w:r>
      <w:r>
        <w:rPr>
          <w:rFonts w:hint="eastAsia" w:ascii="苹方" w:hAnsi="苹方" w:eastAsia="苹方" w:cs="苹方"/>
          <w:sz w:val="22"/>
        </w:rPr>
        <w:t xml:space="preserve"> → 向量库、知识库全量私有化部署，彻底摒弃公有云存储，数据全程在内网闭环管理，无任何外网流转环节。</w:t>
      </w:r>
    </w:p>
    <w:p w14:paraId="12835D8B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如何避免大模型日志、上下文造成数据泄露？</w:t>
      </w:r>
      <w:r>
        <w:rPr>
          <w:rFonts w:hint="eastAsia" w:ascii="苹方" w:hAnsi="苹方" w:eastAsia="苹方" w:cs="苹方"/>
          <w:sz w:val="22"/>
        </w:rPr>
        <w:t xml:space="preserve"> → 全链路本地部署LLM、向量库与文件解析服务，不依赖任何三方服务，杜绝外网数据流转，无日志泄露隐患。</w:t>
      </w:r>
    </w:p>
    <w:p w14:paraId="06541E53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特殊场景需查看静态脱敏隐私数据如何处理？</w:t>
      </w:r>
      <w:r>
        <w:rPr>
          <w:rFonts w:hint="eastAsia" w:ascii="苹方" w:hAnsi="苹方" w:eastAsia="苹方" w:cs="苹方"/>
          <w:sz w:val="22"/>
        </w:rPr>
        <w:t xml:space="preserve"> → 隐私类脱敏数据无常规业务使用需求，特殊溯源场景可通过内控审批流程单独调取，不纳入RAG常规查询链路，保障数据安全与合规。</w:t>
      </w:r>
    </w:p>
    <w:p w14:paraId="2A4CE0D6">
      <w:pPr>
        <w:spacing w:before="380" w:after="140" w:line="288" w:lineRule="auto"/>
        <w:ind w:left="0"/>
        <w:jc w:val="left"/>
        <w:outlineLvl w:val="0"/>
        <w:rPr>
          <w:rFonts w:hint="eastAsia" w:ascii="苹方" w:hAnsi="苹方" w:eastAsia="苹方" w:cs="苹方"/>
        </w:rPr>
      </w:pPr>
      <w:bookmarkStart w:id="15" w:name="heading_15"/>
      <w:r>
        <w:rPr>
          <w:rFonts w:hint="eastAsia" w:ascii="苹方" w:hAnsi="苹方" w:eastAsia="苹方" w:cs="苹方"/>
          <w:b/>
          <w:sz w:val="36"/>
        </w:rPr>
        <w:t>四、落地效果</w:t>
      </w:r>
      <w:bookmarkEnd w:id="15"/>
    </w:p>
    <w:p w14:paraId="7655F80C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检索精度</w:t>
      </w:r>
      <w:r>
        <w:rPr>
          <w:rFonts w:hint="eastAsia" w:ascii="苹方" w:hAnsi="苹方" w:eastAsia="苹方" w:cs="苹方"/>
          <w:sz w:val="22"/>
        </w:rPr>
        <w:t>：核心业务数据检索精度≥90%，全品类文档检索相关性≥90%；累计检索量超10万次，整体误检率≤5%，漏检率≤3%，大幅提升检索准确性。</w:t>
      </w:r>
    </w:p>
    <w:p w14:paraId="1F36690D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效率提升</w:t>
      </w:r>
      <w:r>
        <w:rPr>
          <w:rFonts w:hint="eastAsia" w:ascii="苹方" w:hAnsi="苹方" w:eastAsia="苹方" w:cs="苹方"/>
          <w:sz w:val="22"/>
        </w:rPr>
        <w:t>：传统人工多表核对时长由30分钟压缩至1分钟以内，日均节约各部门办公时长约80小时，跨部门数据协同整体效率提升60%，显著降低人工成本。</w:t>
      </w:r>
    </w:p>
    <w:p w14:paraId="74F8341B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数据规模适配</w:t>
      </w:r>
      <w:r>
        <w:rPr>
          <w:rFonts w:hint="eastAsia" w:ascii="苹方" w:hAnsi="苹方" w:eastAsia="苹方" w:cs="苹方"/>
          <w:sz w:val="22"/>
        </w:rPr>
        <w:t>：已稳定适配Excel报表2000+份（含多Sheet复杂报表）、PDF/Word文档800+份、PPT汇报材料300+份，结构化数据条目10万+条，支持日均增量入库Excel报表50+份，适配企业数据持续增长需求。</w:t>
      </w:r>
    </w:p>
    <w:p w14:paraId="2DC154A4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sz w:val="22"/>
        </w:rPr>
        <w:t>安全与稳定性</w:t>
      </w:r>
      <w:r>
        <w:rPr>
          <w:rFonts w:hint="eastAsia" w:ascii="苹方" w:hAnsi="苹方" w:eastAsia="苹方" w:cs="苹方"/>
          <w:sz w:val="22"/>
        </w:rPr>
        <w:t>：深度适配国企多部门复杂业务场景，完全符合内网数据安全合规要求，系统整体稳定运行率≥99.9%，保障业务连续开展。</w:t>
      </w:r>
    </w:p>
    <w:p w14:paraId="552ADD44">
      <w:pPr>
        <w:spacing w:before="380" w:after="140" w:line="288" w:lineRule="auto"/>
        <w:ind w:left="0"/>
        <w:jc w:val="left"/>
        <w:outlineLvl w:val="0"/>
        <w:rPr>
          <w:rFonts w:hint="eastAsia" w:ascii="苹方" w:hAnsi="苹方" w:eastAsia="苹方" w:cs="苹方"/>
        </w:rPr>
      </w:pPr>
      <w:bookmarkStart w:id="16" w:name="heading_16"/>
      <w:r>
        <w:rPr>
          <w:rFonts w:hint="eastAsia" w:ascii="苹方" w:hAnsi="苹方" w:eastAsia="苹方" w:cs="苹方"/>
          <w:b/>
          <w:sz w:val="36"/>
        </w:rPr>
        <w:t>五、后续沟通指引</w:t>
      </w:r>
      <w:bookmarkEnd w:id="16"/>
    </w:p>
    <w:p w14:paraId="60B36E71">
      <w:pPr>
        <w:spacing w:before="120" w:after="120" w:line="288" w:lineRule="auto"/>
        <w:ind w:left="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sz w:val="22"/>
        </w:rPr>
        <w:t>若贵方对本方案感兴趣，可随时发起线上沟通会议，我方将结合贵方实际数据规模、专属业务场景、核心安全诉求，定制个性化RAG向量库建设细化方案，并提供精准项目报价，全程提供落地实施、运维保障全流程服务，助力方案快速落地见效。</w:t>
      </w:r>
    </w:p>
    <w:sectPr>
      <w:headerReference r:id="rId3" w:type="default"/>
      <w:footerReference r:id="rId4" w:type="default"/>
      <w:pgSz w:w="11905" w:h="16840"/>
      <w:pgMar w:top="1440" w:right="865" w:bottom="1440" w:left="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1614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5FBD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7DA25"/>
    <w:multiLevelType w:val="singleLevel"/>
    <w:tmpl w:val="9E57DA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FB488B8"/>
    <w:multiLevelType w:val="singleLevel"/>
    <w:tmpl w:val="9FB488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FBEBF64"/>
    <w:multiLevelType w:val="singleLevel"/>
    <w:tmpl w:val="9FBEBF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FFD38B3"/>
    <w:multiLevelType w:val="singleLevel"/>
    <w:tmpl w:val="9FFD38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AEF76C0B"/>
    <w:multiLevelType w:val="singleLevel"/>
    <w:tmpl w:val="AEF76C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F6FFB7A"/>
    <w:multiLevelType w:val="singleLevel"/>
    <w:tmpl w:val="BF6FFB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BF443E"/>
    <w:multiLevelType w:val="singleLevel"/>
    <w:tmpl w:val="BFBF44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F7E5FDD"/>
    <w:multiLevelType w:val="singleLevel"/>
    <w:tmpl w:val="CF7E5F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996695"/>
    <w:multiLevelType w:val="singleLevel"/>
    <w:tmpl w:val="D79966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BB89C3F"/>
    <w:multiLevelType w:val="singleLevel"/>
    <w:tmpl w:val="DBB89C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F7C4125"/>
    <w:multiLevelType w:val="singleLevel"/>
    <w:tmpl w:val="DF7C4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FFAEE2C"/>
    <w:multiLevelType w:val="singleLevel"/>
    <w:tmpl w:val="DFFAEE2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63B88C7"/>
    <w:multiLevelType w:val="singleLevel"/>
    <w:tmpl w:val="F63B88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6BE57A5"/>
    <w:multiLevelType w:val="singleLevel"/>
    <w:tmpl w:val="F6BE57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73B6E4B"/>
    <w:multiLevelType w:val="singleLevel"/>
    <w:tmpl w:val="F73B6E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D6B2A20"/>
    <w:multiLevelType w:val="singleLevel"/>
    <w:tmpl w:val="FD6B2A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E3F4139"/>
    <w:multiLevelType w:val="singleLevel"/>
    <w:tmpl w:val="FE3F41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ED59DFA"/>
    <w:multiLevelType w:val="singleLevel"/>
    <w:tmpl w:val="FED59D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FF876B6"/>
    <w:multiLevelType w:val="singleLevel"/>
    <w:tmpl w:val="FFF876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FF781FA"/>
    <w:multiLevelType w:val="singleLevel"/>
    <w:tmpl w:val="2FF781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65DE5D1B"/>
    <w:multiLevelType w:val="singleLevel"/>
    <w:tmpl w:val="65DE5D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729C879A"/>
    <w:multiLevelType w:val="singleLevel"/>
    <w:tmpl w:val="729C87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72C74184"/>
    <w:multiLevelType w:val="singleLevel"/>
    <w:tmpl w:val="72C741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6EFDA5E"/>
    <w:multiLevelType w:val="singleLevel"/>
    <w:tmpl w:val="76EFDA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DB06FDD"/>
    <w:multiLevelType w:val="singleLevel"/>
    <w:tmpl w:val="7DB06FDD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24"/>
  </w:num>
  <w:num w:numId="3">
    <w:abstractNumId w:val="23"/>
  </w:num>
  <w:num w:numId="4">
    <w:abstractNumId w:val="21"/>
  </w:num>
  <w:num w:numId="5">
    <w:abstractNumId w:val="14"/>
  </w:num>
  <w:num w:numId="6">
    <w:abstractNumId w:val="4"/>
  </w:num>
  <w:num w:numId="7">
    <w:abstractNumId w:val="10"/>
  </w:num>
  <w:num w:numId="8">
    <w:abstractNumId w:val="6"/>
  </w:num>
  <w:num w:numId="9">
    <w:abstractNumId w:val="17"/>
  </w:num>
  <w:num w:numId="10">
    <w:abstractNumId w:val="16"/>
  </w:num>
  <w:num w:numId="11">
    <w:abstractNumId w:val="7"/>
  </w:num>
  <w:num w:numId="12">
    <w:abstractNumId w:val="5"/>
  </w:num>
  <w:num w:numId="13">
    <w:abstractNumId w:val="8"/>
  </w:num>
  <w:num w:numId="14">
    <w:abstractNumId w:val="18"/>
  </w:num>
  <w:num w:numId="15">
    <w:abstractNumId w:val="12"/>
  </w:num>
  <w:num w:numId="16">
    <w:abstractNumId w:val="15"/>
  </w:num>
  <w:num w:numId="17">
    <w:abstractNumId w:val="0"/>
  </w:num>
  <w:num w:numId="18">
    <w:abstractNumId w:val="20"/>
  </w:num>
  <w:num w:numId="19">
    <w:abstractNumId w:val="19"/>
  </w:num>
  <w:num w:numId="20">
    <w:abstractNumId w:val="22"/>
  </w:num>
  <w:num w:numId="21">
    <w:abstractNumId w:val="9"/>
  </w:num>
  <w:num w:numId="22">
    <w:abstractNumId w:val="13"/>
  </w:num>
  <w:num w:numId="23">
    <w:abstractNumId w:val="3"/>
  </w:num>
  <w:num w:numId="24">
    <w:abstractNumId w:val="1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FFACEEA"/>
    <w:rsid w:val="9FF98B61"/>
    <w:rsid w:val="D6E760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2026-04-24T09:15:00Z</dcterms:created>
  <dc:creator>Apache POI</dc:creator>
  <cp:lastModifiedBy>天意</cp:lastModifiedBy>
  <dcterms:modified xsi:type="dcterms:W3CDTF">2026-04-24T09:20:44Z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4800351CCE1F7A9D75C4EA697E62BF35_42</vt:lpwstr>
  </property>
</Properties>
</file>