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5425">
      <w:pPr>
        <w:spacing w:line="300" w:lineRule="atLeast"/>
        <w:rPr>
          <w:rFonts w:ascii="Arial" w:hAnsi="Arial" w:cs="Arial"/>
          <w:color w:val="4472C4" w:themeColor="accent1"/>
          <w:sz w:val="23"/>
          <w:szCs w:val="23"/>
          <w14:textFill>
            <w14:solidFill>
              <w14:schemeClr w14:val="accent1"/>
            </w14:solidFill>
          </w14:textFill>
        </w:rPr>
      </w:pPr>
      <w:r>
        <w:rPr>
          <w:rFonts w:ascii="Arial" w:hAnsi="Arial" w:cs="Arial"/>
          <w:b/>
          <w:bCs/>
          <w:i/>
          <w:iCs/>
          <w:color w:val="4472C4" w:themeColor="accent1"/>
          <w:sz w:val="23"/>
          <w:szCs w:val="23"/>
          <w14:textFill>
            <w14:solidFill>
              <w14:schemeClr w14:val="accent1"/>
            </w14:solidFill>
          </w14:textFill>
        </w:rPr>
        <w:t>Reviewer 1 Comments to the Author</w:t>
      </w:r>
    </w:p>
    <w:p w14:paraId="4960CFA8">
      <w:pPr>
        <w:spacing w:line="300" w:lineRule="atLeast"/>
        <w:rPr>
          <w:rFonts w:ascii="Arial" w:hAnsi="Arial" w:cs="Arial"/>
          <w:color w:val="4472C4" w:themeColor="accent1"/>
          <w:sz w:val="21"/>
          <w:szCs w:val="21"/>
          <w14:textFill>
            <w14:solidFill>
              <w14:schemeClr w14:val="accent1"/>
            </w14:solidFill>
          </w14:textFill>
        </w:rPr>
      </w:pPr>
      <w:r>
        <w:rPr>
          <w:rFonts w:ascii="Arial" w:hAnsi="Arial" w:cs="Arial"/>
          <w:i/>
          <w:iCs/>
          <w:color w:val="4472C4" w:themeColor="accent1"/>
          <w:sz w:val="21"/>
          <w:szCs w:val="21"/>
          <w14:textFill>
            <w14:solidFill>
              <w14:schemeClr w14:val="accent1"/>
            </w14:solidFill>
          </w14:textFill>
        </w:rPr>
        <w:t> </w:t>
      </w:r>
    </w:p>
    <w:p w14:paraId="5E9AC01E">
      <w:pPr>
        <w:spacing w:line="300" w:lineRule="atLeast"/>
        <w:rPr>
          <w:rFonts w:hint="eastAsia" w:ascii="Arial" w:hAnsi="Arial" w:eastAsia="宋体" w:cs="Arial"/>
          <w:i/>
          <w:iCs/>
          <w:color w:val="4472C4" w:themeColor="accent1"/>
          <w:sz w:val="20"/>
          <w:szCs w:val="20"/>
          <w:lang w:eastAsia="zh-CN"/>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t>The manuscript aims to show a new way to make predictions in unmeasured locations named Feature-Free Regression Kriging (FFRK), having as competitors OK, RK, ML models, SML.</w:t>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Despite of subject being interesting, I have found some issues:</w:t>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1) The authors are using 9 covariates to help predict in the competitor's model. Have they checked if all of them are improving the explanation? Did they check significance?</w:t>
      </w:r>
      <w:r>
        <w:rPr>
          <w:rFonts w:hint="eastAsia" w:ascii="Arial" w:hAnsi="Arial" w:eastAsia="宋体" w:cs="Arial"/>
          <w:i/>
          <w:iCs/>
          <w:color w:val="000000" w:themeColor="text1"/>
          <w:sz w:val="20"/>
          <w:szCs w:val="20"/>
          <w:highlight w:val="yellow"/>
          <w:lang w:val="en-US" w:eastAsia="zh-CN"/>
          <w14:textFill>
            <w14:solidFill>
              <w14:schemeClr w14:val="tx1"/>
            </w14:solidFill>
          </w14:textFill>
        </w:rPr>
        <w:t>【准确】</w:t>
      </w:r>
    </w:p>
    <w:p w14:paraId="6B4E4ACB">
      <w:pPr>
        <w:spacing w:line="300" w:lineRule="atLeast"/>
        <w:rPr>
          <w:rFonts w:ascii="Arial" w:hAnsi="Arial" w:cs="Arial"/>
          <w:i/>
          <w:iCs/>
          <w:color w:val="4472C4" w:themeColor="accent1"/>
          <w:sz w:val="20"/>
          <w:szCs w:val="20"/>
          <w14:textFill>
            <w14:solidFill>
              <w14:schemeClr w14:val="accent1"/>
            </w14:solidFill>
          </w14:textFill>
        </w:rPr>
      </w:pPr>
    </w:p>
    <w:p w14:paraId="2F64CB75">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29BF8822">
      <w:pPr>
        <w:spacing w:line="300" w:lineRule="atLeast"/>
        <w:rPr>
          <w:rFonts w:ascii="Arial" w:hAnsi="Arial" w:cs="Arial"/>
          <w:i/>
          <w:iCs/>
          <w:color w:val="000000" w:themeColor="text1"/>
          <w:sz w:val="20"/>
          <w:szCs w:val="20"/>
          <w14:textFill>
            <w14:solidFill>
              <w14:schemeClr w14:val="tx1"/>
            </w14:solidFill>
          </w14:textFill>
        </w:rPr>
      </w:pPr>
    </w:p>
    <w:p w14:paraId="2EAF8278">
      <w:p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We sincerely appreciate the reviewer's insightful suggestion. Validating the effectiveness of the selected environmental covariates is indeed crucial for ensuring a fair and rigorous comparison between the benchmark models (RK and ML) and our proposed FFRK.</w:t>
      </w:r>
    </w:p>
    <w:p w14:paraId="42204236">
      <w:pPr>
        <w:spacing w:line="300" w:lineRule="atLeast"/>
        <w:rPr>
          <w:rFonts w:ascii="Arial" w:hAnsi="Arial" w:eastAsia="宋体" w:cs="Arial"/>
          <w:color w:val="000000" w:themeColor="text1"/>
          <w:sz w:val="20"/>
          <w:szCs w:val="20"/>
          <w14:textFill>
            <w14:solidFill>
              <w14:schemeClr w14:val="tx1"/>
            </w14:solidFill>
          </w14:textFill>
        </w:rPr>
      </w:pPr>
    </w:p>
    <w:p w14:paraId="4CB4BD0F">
      <w:p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To address this, we have implemented a multi-dimensional statistical framework to systematically analyze the 9 covariates across three heavy metal elements (Cu, Pb, and Zn). Specifically:</w:t>
      </w:r>
    </w:p>
    <w:p w14:paraId="26B1365E">
      <w:pPr>
        <w:spacing w:line="300" w:lineRule="atLeast"/>
        <w:rPr>
          <w:rFonts w:hint="eastAsia" w:ascii="Arial" w:hAnsi="Arial" w:eastAsia="宋体" w:cs="Arial"/>
          <w:color w:val="000000" w:themeColor="text1"/>
          <w:sz w:val="20"/>
          <w:szCs w:val="20"/>
          <w14:textFill>
            <w14:solidFill>
              <w14:schemeClr w14:val="tx1"/>
            </w14:solidFill>
          </w14:textFill>
        </w:rPr>
      </w:pPr>
    </w:p>
    <w:p w14:paraId="75335E66">
      <w:pPr>
        <w:pStyle w:val="13"/>
        <w:numPr>
          <w:ilvl w:val="0"/>
          <w:numId w:val="1"/>
        </w:num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Multicollinearity Check: We calculated the Variance Inflation Factor (VIF) to ensure that the input features are independent and do not contain redundant information.</w:t>
      </w:r>
    </w:p>
    <w:p w14:paraId="387884F9">
      <w:pPr>
        <w:pStyle w:val="13"/>
        <w:numPr>
          <w:ilvl w:val="0"/>
          <w:numId w:val="1"/>
        </w:num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Linear Significance Testing: We employed Linear Models (LM) to assess the statistical significance (P-value) and weight coefficients of each covariate.</w:t>
      </w:r>
    </w:p>
    <w:p w14:paraId="37D55B7C">
      <w:pPr>
        <w:pStyle w:val="13"/>
        <w:numPr>
          <w:ilvl w:val="0"/>
          <w:numId w:val="1"/>
        </w:num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Non-linear Importance Evaluation: Using Random Forest (RF), we calculated the Increase in Mean Squared Error (IncMSE) to identify covariates that might exhibit complex non-linear explanatory power even when linear significance is low.</w:t>
      </w:r>
    </w:p>
    <w:p w14:paraId="5E1D4799">
      <w:pPr>
        <w:spacing w:line="300" w:lineRule="atLeast"/>
        <w:rPr>
          <w:rFonts w:ascii="Arial" w:hAnsi="Arial" w:eastAsia="宋体" w:cs="Arial"/>
          <w:color w:val="000000" w:themeColor="text1"/>
          <w:sz w:val="20"/>
          <w:szCs w:val="20"/>
          <w14:textFill>
            <w14:solidFill>
              <w14:schemeClr w14:val="tx1"/>
            </w14:solidFill>
          </w14:textFill>
        </w:rPr>
      </w:pPr>
    </w:p>
    <w:p w14:paraId="3DA8483D">
      <w:p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As shown in the newly added Table S1 and the corresponding analysis in Section Appendix 3, all VIF values are below the threshold of 4, and the majority of variables show significant linear or non-linear contributions. This evidence ensures that our benchmark models are optimized with high-quality features, further strengthening our conclusion that FFRK achieves superior performance without relying on these external variables.</w:t>
      </w:r>
    </w:p>
    <w:p w14:paraId="4A705A9C">
      <w:pPr>
        <w:spacing w:line="300" w:lineRule="atLeast"/>
        <w:rPr>
          <w:rFonts w:ascii="Arial" w:hAnsi="Arial" w:eastAsia="宋体" w:cs="Arial"/>
          <w:color w:val="000000" w:themeColor="text1"/>
          <w:sz w:val="20"/>
          <w:szCs w:val="20"/>
          <w14:textFill>
            <w14:solidFill>
              <w14:schemeClr w14:val="tx1"/>
            </w14:solidFill>
          </w14:textFill>
        </w:rPr>
      </w:pPr>
    </w:p>
    <w:p w14:paraId="649397FB">
      <w:pPr>
        <w:spacing w:line="300" w:lineRule="atLeast"/>
        <w:rPr>
          <w:rFonts w:ascii="Arial" w:hAnsi="Arial" w:eastAsia="宋体" w:cs="Arial"/>
          <w:color w:val="000000" w:themeColor="text1"/>
          <w:sz w:val="20"/>
          <w:szCs w:val="20"/>
          <w14:textFill>
            <w14:solidFill>
              <w14:schemeClr w14:val="tx1"/>
            </w14:solidFill>
          </w14:textFill>
        </w:rPr>
      </w:pPr>
      <w:r>
        <w:rPr>
          <w:rFonts w:ascii="Arial" w:hAnsi="Arial" w:eastAsia="宋体" w:cs="Arial"/>
          <w:color w:val="000000" w:themeColor="text1"/>
          <w:sz w:val="20"/>
          <w:szCs w:val="20"/>
          <w14:textFill>
            <w14:solidFill>
              <w14:schemeClr w14:val="tx1"/>
            </w14:solidFill>
          </w14:textFill>
        </w:rPr>
        <w:t>Please refer to our new added Appendix 3:</w:t>
      </w:r>
    </w:p>
    <w:p w14:paraId="4E1B93C7">
      <w:pPr>
        <w:spacing w:line="300" w:lineRule="atLeast"/>
        <w:rPr>
          <w:rFonts w:ascii="Arial" w:hAnsi="Arial" w:eastAsia="宋体" w:cs="Arial"/>
          <w:color w:val="000000" w:themeColor="text1"/>
          <w:sz w:val="20"/>
          <w:szCs w:val="20"/>
          <w14:textFill>
            <w14:solidFill>
              <w14:schemeClr w14:val="tx1"/>
            </w14:solidFill>
          </w14:textFill>
        </w:rPr>
      </w:pPr>
    </w:p>
    <w:p w14:paraId="33457C33">
      <w:pPr>
        <w:spacing w:line="300" w:lineRule="atLeast"/>
        <w:ind w:left="720"/>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14:textFill>
            <w14:solidFill>
              <w14:schemeClr w14:val="tx1"/>
            </w14:solidFill>
          </w14:textFill>
        </w:rPr>
        <w:t>To ensure the fairness and rigor of the comparative experiments, a systematic validity analysis was conducted on the nine selected external covariates. This analysis aims to verify whether these environmental factors provide substantial explanatory power for the benchmark models—such as Regression Kriging and Machine Learning—rather than introducing redundant information.</w:t>
      </w:r>
    </w:p>
    <w:p w14:paraId="0325C8C1">
      <w:pPr>
        <w:spacing w:line="300" w:lineRule="atLeast"/>
        <w:ind w:left="720"/>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14:textFill>
            <w14:solidFill>
              <w14:schemeClr w14:val="tx1"/>
            </w14:solidFill>
          </w14:textFill>
        </w:rPr>
        <w:t>A multi-dimensional statistical testing framework was employed for this evaluation. First, the Variance Inflation Factor (VIF) was utilized to assess multicollinearity, ensuring the independence of the input features. Second, the contribution of each feature was quantified using both Linear Model and Random Forest: the LM estimates weight coefficients via ordinary least squares and tests statistical significance through P-values; meanwhile, the RF employs an ensemble learning mechanism to measure feature importance by calculating the Increase in Mean Squared Error (IncMSE) after permuting specific features, thereby capturing their roles in complex non-linear relationships.</w:t>
      </w:r>
    </w:p>
    <w:p w14:paraId="2AE6156C">
      <w:pPr>
        <w:spacing w:line="300" w:lineRule="atLeast"/>
        <w:ind w:left="720"/>
        <w:rPr>
          <w:rFonts w:ascii="Arial" w:hAnsi="Arial" w:eastAsia="宋体" w:cs="Arial"/>
          <w:color w:val="000000" w:themeColor="text1"/>
          <w:sz w:val="20"/>
          <w:szCs w:val="20"/>
          <w14:textFill>
            <w14:solidFill>
              <w14:schemeClr w14:val="tx1"/>
            </w14:solidFill>
          </w14:textFill>
        </w:rPr>
      </w:pPr>
      <w:r>
        <w:rPr>
          <w:rFonts w:ascii="Arial" w:hAnsi="Arial" w:eastAsia="宋体" w:cs="Arial"/>
          <w:i/>
          <w:iCs/>
          <w:color w:val="000000" w:themeColor="text1"/>
          <w:sz w:val="20"/>
          <w:szCs w:val="20"/>
          <w14:textFill>
            <w14:solidFill>
              <w14:schemeClr w14:val="tx1"/>
            </w14:solidFill>
          </w14:textFill>
        </w:rPr>
        <w:t>The results, as summarized in Table S3, demonstrate that all selected external covariates performed robustly across the prediction tasks for the three elements. First, the VIF values for all variables ranged from 1.07 to 3.78, remaining well below the conservative threshold of 4. This indicates the absence of severe multicollinearity and confirms the independence and non-redundancy of the selected environmental features. Regarding statistical significance, the majority of variables exhibited high explanatory power within the linear framework ($P &lt; 0.05$). For instance, in Cu prediction, Dlith ($P &lt; 0.001$) and NDVI ($P &lt; 0.001$) showed highly significant linear correlations. Similarly, for Pb and Zn, factors such as SOC and pH maintained consistently high significance across all tests. Notably, for the few variables that did not reach statistical significance in the linear models—such as Road density in Cu prediction ($P = 0.1679$) or Dfault in Zn prediction ($P = 0.2348$)—they nonetheless displayed substantial contributions in the Random Forest model, with IncMSE values of 15.27 and 30.86, respectively. This disparity suggests that these factors may influence heavy metal distribution through complex non-linear mechanisms that LM fails to capture, yet RF effectively utilizes.In conclusion, this multi-dimensional analysis confirms that the benchmark models (RK and ML) are operating under high-quality, high-relevance feature inputs. This evidence provides a rigorous baseline for comparison, further highlighting the architectural advantage of the proposed FFRK, which achieves superior accuracy without relying on these external environmental covariates.</w:t>
      </w:r>
    </w:p>
    <w:p w14:paraId="73B53B6B">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p>
    <w:p w14:paraId="71B59D9E">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2) Why is Universal Kriging (UK) not a competitor?</w:t>
      </w:r>
    </w:p>
    <w:p w14:paraId="00ED7216">
      <w:pPr>
        <w:spacing w:line="300" w:lineRule="atLeast"/>
        <w:rPr>
          <w:rFonts w:hint="eastAsia" w:ascii="Arial" w:hAnsi="Arial" w:eastAsia="宋体" w:cs="Arial"/>
          <w:i/>
          <w:iCs/>
          <w:color w:val="4472C4" w:themeColor="accent1"/>
          <w:sz w:val="13"/>
          <w:szCs w:val="13"/>
          <w:lang w:val="en-US" w:eastAsia="zh-CN"/>
          <w14:textFill>
            <w14:solidFill>
              <w14:schemeClr w14:val="accent1"/>
            </w14:solidFill>
          </w14:textFill>
        </w:rPr>
        <w:sectPr>
          <w:pgSz w:w="12240" w:h="15840"/>
          <w:pgMar w:top="1440" w:right="1440" w:bottom="1440" w:left="1440" w:header="708" w:footer="708" w:gutter="0"/>
          <w:cols w:space="708" w:num="1"/>
          <w:docGrid w:linePitch="360" w:charSpace="0"/>
        </w:sectPr>
      </w:pPr>
      <w:r>
        <w:rPr>
          <w:rFonts w:hint="eastAsia" w:ascii="Arial" w:hAnsi="Arial" w:cs="Arial"/>
          <w:i/>
          <w:iCs/>
          <w:color w:val="4472C4" w:themeColor="accent1"/>
          <w:sz w:val="13"/>
          <w:szCs w:val="13"/>
          <w14:textFill>
            <w14:solidFill>
              <w14:schemeClr w14:val="accent1"/>
            </w14:solidFill>
          </w14:textFill>
        </w:rPr>
        <w:t xml:space="preserve">   </w:t>
      </w:r>
      <w:r>
        <w:rPr>
          <w:rFonts w:hint="eastAsia" w:ascii="Arial" w:hAnsi="Arial" w:eastAsia="宋体" w:cs="Arial"/>
          <w:i/>
          <w:iCs/>
          <w:color w:val="000000" w:themeColor="text1"/>
          <w:sz w:val="20"/>
          <w:szCs w:val="20"/>
          <w:highlight w:val="yellow"/>
          <w:lang w:val="en-US" w:eastAsia="zh-CN"/>
          <w14:textFill>
            <w14:solidFill>
              <w14:schemeClr w14:val="tx1"/>
            </w14:solidFill>
          </w14:textFill>
        </w:rPr>
        <w:t>感觉这个也没有什么细节，也就是：构建二次多项式公式→拟合变差函数→克里格插值</w:t>
      </w:r>
    </w:p>
    <w:p w14:paraId="270F6B66">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3"/>
          <w:szCs w:val="13"/>
          <w14:textFill>
            <w14:solidFill>
              <w14:schemeClr w14:val="accent1"/>
            </w14:solidFill>
          </w14:textFill>
        </w:rPr>
        <w:t xml:space="preserve"> </w:t>
      </w:r>
      <w:r>
        <w:rPr>
          <w:rFonts w:hint="eastAsia" w:ascii="Arial" w:hAnsi="Arial" w:cs="Arial"/>
          <w:i/>
          <w:iCs/>
          <w:color w:val="4472C4" w:themeColor="accent1"/>
          <w:sz w:val="13"/>
          <w:szCs w:val="13"/>
          <w:highlight w:val="yellow"/>
          <w14:textFill>
            <w14:solidFill>
              <w14:schemeClr w14:val="accent1"/>
            </w14:solidFill>
          </w14:textFill>
        </w:rPr>
        <w:t xml:space="preserve"> </w:t>
      </w:r>
      <w:r>
        <w:rPr>
          <w:rFonts w:hint="eastAsia" w:ascii="Arial" w:hAnsi="Arial" w:cs="Arial"/>
          <w:i/>
          <w:iCs/>
          <w:color w:val="4472C4" w:themeColor="accent1"/>
          <w:sz w:val="16"/>
          <w:szCs w:val="16"/>
          <w:highlight w:val="yellow"/>
          <w14:textFill>
            <w14:solidFill>
              <w14:schemeClr w14:val="accent1"/>
            </w14:solidFill>
          </w14:textFill>
        </w:rPr>
        <w:t xml:space="preserve"> # Formula: Target ~ x + y + x^2 + y^2 + x*y</w:t>
      </w:r>
    </w:p>
    <w:p w14:paraId="14F2C5EC">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 构建二次多项式公式</w:t>
      </w:r>
    </w:p>
    <w:p w14:paraId="11C9F3CF">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uk_formula_str &lt;- paste(target_var, "~",</w:t>
      </w:r>
    </w:p>
    <w:p w14:paraId="5F8379B1">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x_field, "+", y_field, "+",</w:t>
      </w:r>
      <w:bookmarkStart w:id="0" w:name="_GoBack"/>
      <w:bookmarkEnd w:id="0"/>
    </w:p>
    <w:p w14:paraId="05CC1B1E">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"I(", x_field, "^2) +",</w:t>
      </w:r>
    </w:p>
    <w:p w14:paraId="0D7EFD13">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"I(", y_field, "^2) +",</w:t>
      </w:r>
    </w:p>
    <w:p w14:paraId="4FFC4CDA">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"I(", x_field, "*", y_field, ")")</w:t>
      </w:r>
    </w:p>
    <w:p w14:paraId="78A9E8E6">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var_formula &lt;- stats::as.formula(uk_formula_str)</w:t>
      </w:r>
    </w:p>
    <w:p w14:paraId="68ED2049">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p>
    <w:p w14:paraId="4A59DCDC">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 拟合变差函数</w:t>
      </w:r>
    </w:p>
    <w:p w14:paraId="5B5EFE3E">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res_auto &lt;- fit_variogram_robust(train_sp, var_formula)</w:t>
      </w:r>
    </w:p>
    <w:p w14:paraId="7F86B364">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p>
    <w:p w14:paraId="740CA824">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if(!is.null(res_auto)) {</w:t>
      </w:r>
    </w:p>
    <w:p w14:paraId="74299623">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 记录变差函数参数</w:t>
      </w:r>
    </w:p>
    <w:p w14:paraId="5C11ECDF">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vario_model_str &lt;- paste(res_auto$model, collapse=";")</w:t>
      </w:r>
    </w:p>
    <w:p w14:paraId="3564ED12">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vario_psill_str &lt;- paste(round(res_auto$psill,4), collapse=";")</w:t>
      </w:r>
    </w:p>
    <w:p w14:paraId="3C6E89D1">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vario_range_str &lt;- paste(round(res_auto$range,4), collapse=";")</w:t>
      </w:r>
    </w:p>
    <w:p w14:paraId="0B75CF69">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vario_kappa_str &lt;- paste(round(res_auto$kappa,4), collapse=";")</w:t>
      </w:r>
    </w:p>
    <w:p w14:paraId="76D039DB">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p>
    <w:p w14:paraId="0ABB9402">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 克里格插值</w:t>
      </w:r>
    </w:p>
    <w:p w14:paraId="410831E6">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pred.krig &lt;- krige(var_formula, train_sp, test_sp, model=res_auto)</w:t>
      </w:r>
    </w:p>
    <w:p w14:paraId="3B53AE20">
      <w:pPr>
        <w:spacing w:line="300" w:lineRule="atLeast"/>
        <w:rPr>
          <w:rFonts w:hint="eastAsia" w:ascii="Arial" w:hAnsi="Arial" w:cs="Arial"/>
          <w:i/>
          <w:iCs/>
          <w:color w:val="4472C4" w:themeColor="accent1"/>
          <w:sz w:val="16"/>
          <w:szCs w:val="16"/>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p &lt;- pred.krig$var1.pred</w:t>
      </w:r>
    </w:p>
    <w:p w14:paraId="1F5C8C1F">
      <w:pPr>
        <w:spacing w:line="300" w:lineRule="atLeast"/>
        <w:rPr>
          <w:rFonts w:ascii="Arial" w:hAnsi="Arial" w:cs="Arial"/>
          <w:i/>
          <w:iCs/>
          <w:color w:val="4472C4" w:themeColor="accent1"/>
          <w:sz w:val="13"/>
          <w:szCs w:val="13"/>
          <w:highlight w:val="yellow"/>
          <w14:textFill>
            <w14:solidFill>
              <w14:schemeClr w14:val="accent1"/>
            </w14:solidFill>
          </w14:textFill>
        </w:rPr>
      </w:pPr>
      <w:r>
        <w:rPr>
          <w:rFonts w:hint="eastAsia" w:ascii="Arial" w:hAnsi="Arial" w:cs="Arial"/>
          <w:i/>
          <w:iCs/>
          <w:color w:val="4472C4" w:themeColor="accent1"/>
          <w:sz w:val="16"/>
          <w:szCs w:val="16"/>
          <w:highlight w:val="yellow"/>
          <w14:textFill>
            <w14:solidFill>
              <w14:schemeClr w14:val="accent1"/>
            </w14:solidFill>
          </w14:textFill>
        </w:rPr>
        <w:t xml:space="preserve">      p_var &lt;- pred.krig$var1.var</w:t>
      </w:r>
    </w:p>
    <w:p w14:paraId="37DFE791">
      <w:pPr>
        <w:spacing w:line="300" w:lineRule="atLeast"/>
        <w:rPr>
          <w:rFonts w:ascii="Arial" w:hAnsi="Arial" w:cs="Arial"/>
          <w:i/>
          <w:iCs/>
          <w:color w:val="000000" w:themeColor="text1"/>
          <w:sz w:val="20"/>
          <w:szCs w:val="20"/>
          <w:highlight w:val="yellow"/>
          <w14:textFill>
            <w14:solidFill>
              <w14:schemeClr w14:val="tx1"/>
            </w14:solidFill>
          </w14:textFill>
        </w:rPr>
        <w:sectPr>
          <w:type w:val="continuous"/>
          <w:pgSz w:w="12240" w:h="15840"/>
          <w:pgMar w:top="1440" w:right="1440" w:bottom="1440" w:left="1440" w:header="708" w:footer="708" w:gutter="0"/>
          <w:cols w:equalWidth="0" w:num="2">
            <w:col w:w="4467" w:space="425"/>
            <w:col w:w="4467"/>
          </w:cols>
          <w:docGrid w:linePitch="360" w:charSpace="0"/>
        </w:sectPr>
      </w:pPr>
    </w:p>
    <w:p w14:paraId="2F741CE4">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1E107E82">
      <w:pPr>
        <w:spacing w:line="300" w:lineRule="atLeast"/>
        <w:rPr>
          <w:rFonts w:ascii="Arial" w:hAnsi="Arial" w:cs="Arial"/>
          <w:i/>
          <w:iCs/>
          <w:color w:val="000000" w:themeColor="text1"/>
          <w:sz w:val="20"/>
          <w:szCs w:val="20"/>
          <w14:textFill>
            <w14:solidFill>
              <w14:schemeClr w14:val="tx1"/>
            </w14:solidFill>
          </w14:textFill>
        </w:rPr>
      </w:pPr>
    </w:p>
    <w:p w14:paraId="51B0974A">
      <w:pPr>
        <w:spacing w:before="100" w:beforeAutospacing="1" w:after="100" w:afterAutospacing="1"/>
        <w:rPr>
          <w:rFonts w:ascii="Arial" w:hAnsi="Arial" w:cs="Arial"/>
          <w:sz w:val="21"/>
          <w:szCs w:val="21"/>
        </w:rPr>
      </w:pPr>
      <w:r>
        <w:rPr>
          <w:rFonts w:ascii="Arial" w:hAnsi="Arial" w:cs="Arial"/>
          <w:sz w:val="21"/>
          <w:szCs w:val="21"/>
        </w:rPr>
        <w:t>We thank the reviewer for this constructive suggestion. UK is indeed a classic geostatistical method for addressing spatial non-stationarity by assuming that the mean of the process follows a deterministic trend. To ensure a more comprehensive model comparison, we have added UK as a baseline competitor in the revised manuscript.</w:t>
      </w:r>
    </w:p>
    <w:p w14:paraId="7EA8DD40">
      <w:pPr>
        <w:spacing w:before="100" w:beforeAutospacing="1" w:after="100" w:afterAutospacing="1"/>
        <w:rPr>
          <w:rFonts w:ascii="Arial" w:hAnsi="Arial" w:cs="Arial"/>
          <w:sz w:val="21"/>
          <w:szCs w:val="21"/>
        </w:rPr>
      </w:pPr>
      <w:r>
        <w:rPr>
          <w:rFonts w:ascii="Arial" w:hAnsi="Arial" w:cs="Arial"/>
          <w:sz w:val="21"/>
          <w:szCs w:val="21"/>
        </w:rPr>
        <w:t xml:space="preserve">Following standard practice, we implemented a UK model utilizing a </w:t>
      </w:r>
      <w:r>
        <w:rPr>
          <w:rFonts w:ascii="Arial" w:hAnsi="Arial" w:cs="Arial"/>
          <w:b/>
          <w:bCs/>
          <w:sz w:val="21"/>
          <w:szCs w:val="21"/>
        </w:rPr>
        <w:t>quadratic polynomial trend surface</w:t>
      </w:r>
      <w:r>
        <w:rPr>
          <w:rFonts w:ascii="Arial" w:hAnsi="Arial" w:cs="Arial"/>
          <w:sz w:val="21"/>
          <w:szCs w:val="21"/>
        </w:rPr>
        <w:t xml:space="preserve"> defined by the coordinates (Formula: Target~ x + y + x^2 + y^2 + x*y). The experimental results across the three heavy metals (Cu, Zn, and Pb) consistently demonstrate that </w:t>
      </w:r>
      <w:r>
        <w:rPr>
          <w:rFonts w:ascii="Arial" w:hAnsi="Arial" w:cs="Arial"/>
          <w:b/>
          <w:bCs/>
          <w:sz w:val="21"/>
          <w:szCs w:val="21"/>
        </w:rPr>
        <w:t>FFRK (LM) significantly outperforms the supplemental UK model</w:t>
      </w:r>
      <w:r>
        <w:rPr>
          <w:rFonts w:ascii="Arial" w:hAnsi="Arial" w:cs="Arial"/>
          <w:sz w:val="21"/>
          <w:szCs w:val="21"/>
        </w:rPr>
        <w:t>.</w:t>
      </w:r>
    </w:p>
    <w:p w14:paraId="2F3CEB9E">
      <w:pPr>
        <w:spacing w:before="100" w:beforeAutospacing="1" w:after="100" w:afterAutospacing="1"/>
        <w:rPr>
          <w:rFonts w:ascii="Arial" w:hAnsi="Arial" w:cs="Arial"/>
          <w:sz w:val="21"/>
          <w:szCs w:val="21"/>
        </w:rPr>
      </w:pPr>
      <w:r>
        <w:rPr>
          <w:rFonts w:ascii="Arial" w:hAnsi="Arial" w:cs="Arial"/>
          <w:sz w:val="21"/>
          <w:szCs w:val="21"/>
        </w:rPr>
        <w:t xml:space="preserve">Taking the </w:t>
      </w:r>
      <w:r>
        <w:rPr>
          <w:rFonts w:ascii="Arial" w:hAnsi="Arial" w:cs="Arial"/>
          <w:b/>
          <w:bCs/>
          <w:sz w:val="21"/>
          <w:szCs w:val="21"/>
        </w:rPr>
        <w:t>FFRK (LM)</w:t>
      </w:r>
      <w:r>
        <w:rPr>
          <w:rFonts w:ascii="Arial" w:hAnsi="Arial" w:cs="Arial"/>
          <w:sz w:val="21"/>
          <w:szCs w:val="21"/>
        </w:rPr>
        <w:t xml:space="preserve"> results as a representative example, the performance comparison is as follows:</w:t>
      </w:r>
    </w:p>
    <w:p w14:paraId="4F27E08B">
      <w:pPr>
        <w:numPr>
          <w:ilvl w:val="0"/>
          <w:numId w:val="2"/>
        </w:numPr>
        <w:spacing w:before="100" w:beforeAutospacing="1" w:after="100" w:afterAutospacing="1"/>
        <w:rPr>
          <w:rFonts w:ascii="Arial" w:hAnsi="Arial" w:cs="Arial"/>
          <w:sz w:val="21"/>
          <w:szCs w:val="21"/>
        </w:rPr>
      </w:pPr>
      <w:r>
        <w:rPr>
          <w:rFonts w:ascii="Arial" w:hAnsi="Arial" w:cs="Arial"/>
          <w:b/>
          <w:bCs/>
          <w:sz w:val="21"/>
          <w:szCs w:val="21"/>
        </w:rPr>
        <w:t>Cu Prediction:</w:t>
      </w:r>
      <w:r>
        <w:rPr>
          <w:rFonts w:ascii="Arial" w:hAnsi="Arial" w:cs="Arial"/>
          <w:sz w:val="21"/>
          <w:szCs w:val="21"/>
        </w:rPr>
        <w:t xml:space="preserve"> UK achieved an $R^2$ of </w:t>
      </w:r>
      <w:r>
        <w:rPr>
          <w:rFonts w:ascii="Arial" w:hAnsi="Arial" w:cs="Arial"/>
          <w:b/>
          <w:bCs/>
          <w:sz w:val="21"/>
          <w:szCs w:val="21"/>
        </w:rPr>
        <w:t>0.2646</w:t>
      </w:r>
      <w:r>
        <w:rPr>
          <w:rFonts w:ascii="Arial" w:hAnsi="Arial" w:cs="Arial"/>
          <w:sz w:val="21"/>
          <w:szCs w:val="21"/>
        </w:rPr>
        <w:t xml:space="preserve">, while FFRK (LM) reached </w:t>
      </w:r>
      <w:r>
        <w:rPr>
          <w:rFonts w:ascii="Arial" w:hAnsi="Arial" w:cs="Arial"/>
          <w:b/>
          <w:bCs/>
          <w:sz w:val="21"/>
          <w:szCs w:val="21"/>
        </w:rPr>
        <w:t>0.443</w:t>
      </w:r>
      <w:r>
        <w:rPr>
          <w:rFonts w:ascii="Arial" w:hAnsi="Arial" w:cs="Arial"/>
          <w:sz w:val="21"/>
          <w:szCs w:val="21"/>
        </w:rPr>
        <w:t xml:space="preserve">, representing a performance improvement of approximately </w:t>
      </w:r>
      <w:r>
        <w:rPr>
          <w:rFonts w:ascii="Arial" w:hAnsi="Arial" w:cs="Arial"/>
          <w:b/>
          <w:bCs/>
          <w:sz w:val="21"/>
          <w:szCs w:val="21"/>
        </w:rPr>
        <w:t>67.4%</w:t>
      </w:r>
      <w:r>
        <w:rPr>
          <w:rFonts w:ascii="Arial" w:hAnsi="Arial" w:cs="Arial"/>
          <w:sz w:val="21"/>
          <w:szCs w:val="21"/>
        </w:rPr>
        <w:t>.</w:t>
      </w:r>
    </w:p>
    <w:p w14:paraId="47DE0DA9">
      <w:pPr>
        <w:numPr>
          <w:ilvl w:val="0"/>
          <w:numId w:val="2"/>
        </w:numPr>
        <w:spacing w:before="100" w:beforeAutospacing="1" w:after="100" w:afterAutospacing="1"/>
        <w:rPr>
          <w:rFonts w:ascii="Arial" w:hAnsi="Arial" w:cs="Arial"/>
          <w:sz w:val="21"/>
          <w:szCs w:val="21"/>
        </w:rPr>
      </w:pPr>
      <w:r>
        <w:rPr>
          <w:rFonts w:ascii="Arial" w:hAnsi="Arial" w:cs="Arial"/>
          <w:b/>
          <w:bCs/>
          <w:sz w:val="21"/>
          <w:szCs w:val="21"/>
        </w:rPr>
        <w:t>Pb Prediction:</w:t>
      </w:r>
      <w:r>
        <w:rPr>
          <w:rFonts w:ascii="Arial" w:hAnsi="Arial" w:cs="Arial"/>
          <w:sz w:val="21"/>
          <w:szCs w:val="21"/>
        </w:rPr>
        <w:t xml:space="preserve"> The $R^2$ for UK was </w:t>
      </w:r>
      <w:r>
        <w:rPr>
          <w:rFonts w:ascii="Arial" w:hAnsi="Arial" w:cs="Arial"/>
          <w:b/>
          <w:bCs/>
          <w:sz w:val="21"/>
          <w:szCs w:val="21"/>
        </w:rPr>
        <w:t>0.1786</w:t>
      </w:r>
      <w:r>
        <w:rPr>
          <w:rFonts w:ascii="Arial" w:hAnsi="Arial" w:cs="Arial"/>
          <w:sz w:val="21"/>
          <w:szCs w:val="21"/>
        </w:rPr>
        <w:t xml:space="preserve">, whereas FFRK (LM) achieved </w:t>
      </w:r>
      <w:r>
        <w:rPr>
          <w:rFonts w:ascii="Arial" w:hAnsi="Arial" w:cs="Arial"/>
          <w:b/>
          <w:bCs/>
          <w:sz w:val="21"/>
          <w:szCs w:val="21"/>
        </w:rPr>
        <w:t>0.397</w:t>
      </w:r>
      <w:r>
        <w:rPr>
          <w:rFonts w:ascii="Arial" w:hAnsi="Arial" w:cs="Arial"/>
          <w:sz w:val="21"/>
          <w:szCs w:val="21"/>
        </w:rPr>
        <w:t xml:space="preserve">. This indicates that FFRK (LM) provides more than </w:t>
      </w:r>
      <w:r>
        <w:rPr>
          <w:rFonts w:ascii="Arial" w:hAnsi="Arial" w:cs="Arial"/>
          <w:b/>
          <w:bCs/>
          <w:sz w:val="21"/>
          <w:szCs w:val="21"/>
        </w:rPr>
        <w:t>double</w:t>
      </w:r>
      <w:r>
        <w:rPr>
          <w:rFonts w:ascii="Arial" w:hAnsi="Arial" w:cs="Arial"/>
          <w:sz w:val="21"/>
          <w:szCs w:val="21"/>
        </w:rPr>
        <w:t xml:space="preserve"> the predictive explanatory power of the UK model.</w:t>
      </w:r>
    </w:p>
    <w:p w14:paraId="2CBEEC14">
      <w:pPr>
        <w:numPr>
          <w:ilvl w:val="0"/>
          <w:numId w:val="2"/>
        </w:numPr>
        <w:spacing w:before="100" w:beforeAutospacing="1" w:after="100" w:afterAutospacing="1"/>
        <w:rPr>
          <w:rFonts w:ascii="Arial" w:hAnsi="Arial" w:cs="Arial"/>
          <w:sz w:val="21"/>
          <w:szCs w:val="21"/>
        </w:rPr>
      </w:pPr>
      <w:r>
        <w:rPr>
          <w:rFonts w:ascii="Arial" w:hAnsi="Arial" w:cs="Arial"/>
          <w:b/>
          <w:bCs/>
          <w:sz w:val="21"/>
          <w:szCs w:val="21"/>
        </w:rPr>
        <w:t>Zn Prediction:</w:t>
      </w:r>
      <w:r>
        <w:rPr>
          <w:rFonts w:ascii="Arial" w:hAnsi="Arial" w:cs="Arial"/>
          <w:sz w:val="21"/>
          <w:szCs w:val="21"/>
        </w:rPr>
        <w:t xml:space="preserve"> UK performed relatively poorly with an $R^2$ of only </w:t>
      </w:r>
      <w:r>
        <w:rPr>
          <w:rFonts w:ascii="Arial" w:hAnsi="Arial" w:cs="Arial"/>
          <w:b/>
          <w:bCs/>
          <w:sz w:val="21"/>
          <w:szCs w:val="21"/>
        </w:rPr>
        <w:t>0.0794</w:t>
      </w:r>
      <w:r>
        <w:rPr>
          <w:rFonts w:ascii="Arial" w:hAnsi="Arial" w:cs="Arial"/>
          <w:sz w:val="21"/>
          <w:szCs w:val="21"/>
        </w:rPr>
        <w:t xml:space="preserve">. In contrast, FFRK (LM) showed high robustness with an $R^2$ of </w:t>
      </w:r>
      <w:r>
        <w:rPr>
          <w:rFonts w:ascii="Arial" w:hAnsi="Arial" w:cs="Arial"/>
          <w:b/>
          <w:bCs/>
          <w:sz w:val="21"/>
          <w:szCs w:val="21"/>
        </w:rPr>
        <w:t>0.375</w:t>
      </w:r>
      <w:r>
        <w:rPr>
          <w:rFonts w:ascii="Arial" w:hAnsi="Arial" w:cs="Arial"/>
          <w:sz w:val="21"/>
          <w:szCs w:val="21"/>
        </w:rPr>
        <w:t xml:space="preserve">, which is nearly a </w:t>
      </w:r>
      <w:r>
        <w:rPr>
          <w:rFonts w:ascii="Arial" w:hAnsi="Arial" w:cs="Arial"/>
          <w:b/>
          <w:bCs/>
          <w:sz w:val="21"/>
          <w:szCs w:val="21"/>
        </w:rPr>
        <w:t>fivefold increase</w:t>
      </w:r>
      <w:r>
        <w:rPr>
          <w:rFonts w:ascii="Arial" w:hAnsi="Arial" w:cs="Arial"/>
          <w:sz w:val="21"/>
          <w:szCs w:val="21"/>
        </w:rPr>
        <w:t xml:space="preserve"> compared to UK.</w:t>
      </w:r>
    </w:p>
    <w:p w14:paraId="33739362">
      <w:pPr>
        <w:spacing w:before="100" w:beforeAutospacing="1" w:after="100" w:afterAutospacing="1"/>
        <w:rPr>
          <w:rFonts w:ascii="Arial" w:hAnsi="Arial" w:cs="Arial"/>
          <w:sz w:val="21"/>
          <w:szCs w:val="21"/>
        </w:rPr>
      </w:pPr>
      <w:r>
        <w:rPr>
          <w:rFonts w:ascii="Arial" w:hAnsi="Arial" w:cs="Arial"/>
          <w:sz w:val="21"/>
          <w:szCs w:val="21"/>
        </w:rPr>
        <w:t xml:space="preserve">The traditional UK approach relies on absolute coordinates to fit a global, smooth polynomial trend. However, such deterministic functions often struggle to capture complex, small-scale </w:t>
      </w:r>
      <w:r>
        <w:rPr>
          <w:rFonts w:ascii="Arial" w:hAnsi="Arial" w:cs="Arial"/>
          <w:b/>
          <w:bCs/>
          <w:sz w:val="21"/>
          <w:szCs w:val="21"/>
        </w:rPr>
        <w:t>spatial non-stationarity</w:t>
      </w:r>
      <w:r>
        <w:rPr>
          <w:rFonts w:ascii="Arial" w:hAnsi="Arial" w:cs="Arial"/>
          <w:sz w:val="21"/>
          <w:szCs w:val="21"/>
        </w:rPr>
        <w:t xml:space="preserve"> and local variations inherent in geographic data.</w:t>
      </w:r>
    </w:p>
    <w:p w14:paraId="4C36FE08">
      <w:pPr>
        <w:spacing w:line="300" w:lineRule="atLeast"/>
        <w:rPr>
          <w:rFonts w:ascii="Arial" w:hAnsi="Arial" w:cs="Arial"/>
          <w:i/>
          <w:iCs/>
          <w:color w:val="000000" w:themeColor="text1"/>
          <w:sz w:val="20"/>
          <w:szCs w:val="20"/>
          <w14:textFill>
            <w14:solidFill>
              <w14:schemeClr w14:val="tx1"/>
            </w14:solidFill>
          </w14:textFill>
        </w:rPr>
      </w:pPr>
    </w:p>
    <w:p w14:paraId="402AA485">
      <w:pPr>
        <w:tabs>
          <w:tab w:val="left" w:pos="3227"/>
        </w:tabs>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ab/>
      </w:r>
      <w:r>
        <w:rPr>
          <w:rFonts w:hint="eastAsia" w:ascii="Arial" w:hAnsi="Arial" w:cs="Arial"/>
          <w:i/>
          <w:iCs/>
          <w:color w:val="000000" w:themeColor="text1"/>
          <w:sz w:val="20"/>
          <w:szCs w:val="20"/>
          <w14:textFill>
            <w14:solidFill>
              <w14:schemeClr w14:val="tx1"/>
            </w14:solidFill>
          </w14:textFill>
        </w:rPr>
        <w:t>Table. Results of UK</w:t>
      </w:r>
    </w:p>
    <w:tbl>
      <w:tblPr>
        <w:tblStyle w:val="6"/>
        <w:tblW w:w="9168" w:type="dxa"/>
        <w:tblInd w:w="0" w:type="dxa"/>
        <w:shd w:val="clear" w:color="auto" w:fill="FFFFFF"/>
        <w:tblLayout w:type="autofit"/>
        <w:tblCellMar>
          <w:top w:w="15" w:type="dxa"/>
          <w:left w:w="15" w:type="dxa"/>
          <w:bottom w:w="15" w:type="dxa"/>
          <w:right w:w="15" w:type="dxa"/>
        </w:tblCellMar>
      </w:tblPr>
      <w:tblGrid>
        <w:gridCol w:w="2604"/>
        <w:gridCol w:w="2188"/>
        <w:gridCol w:w="2188"/>
        <w:gridCol w:w="2188"/>
      </w:tblGrid>
      <w:tr w14:paraId="6004A718">
        <w:tblPrEx>
          <w:shd w:val="clear" w:color="auto" w:fill="FFFFFF"/>
          <w:tblCellMar>
            <w:top w:w="15" w:type="dxa"/>
            <w:left w:w="15" w:type="dxa"/>
            <w:bottom w:w="15" w:type="dxa"/>
            <w:right w:w="15" w:type="dxa"/>
          </w:tblCellMar>
        </w:tblPrEx>
        <w:trPr>
          <w:trHeight w:val="316" w:hRule="atLeast"/>
        </w:trPr>
        <w:tc>
          <w:tcPr>
            <w:tcW w:w="0" w:type="auto"/>
            <w:shd w:val="clear" w:color="auto" w:fill="FFFFFF"/>
            <w:vAlign w:val="center"/>
          </w:tcPr>
          <w:p w14:paraId="3EF65603">
            <w:pPr>
              <w:rPr>
                <w:rFonts w:ascii="Arial" w:hAnsi="Arial" w:cs="Arial"/>
                <w:color w:val="000000" w:themeColor="text1"/>
                <w:sz w:val="21"/>
                <w:szCs w:val="21"/>
                <w14:textFill>
                  <w14:solidFill>
                    <w14:schemeClr w14:val="tx1"/>
                  </w14:solidFill>
                </w14:textFill>
              </w:rPr>
            </w:pPr>
            <w:r>
              <w:rPr>
                <w:rStyle w:val="15"/>
                <w:rFonts w:ascii="Arial" w:hAnsi="Arial" w:cs="Arial"/>
                <w:color w:val="000000" w:themeColor="text1"/>
                <w:sz w:val="21"/>
                <w:szCs w:val="21"/>
                <w14:textFill>
                  <w14:solidFill>
                    <w14:schemeClr w14:val="tx1"/>
                  </w14:solidFill>
                </w14:textFill>
              </w:rPr>
              <w:t>Element</w:t>
            </w:r>
          </w:p>
        </w:tc>
        <w:tc>
          <w:tcPr>
            <w:tcW w:w="0" w:type="auto"/>
            <w:shd w:val="clear" w:color="auto" w:fill="FFFFFF"/>
            <w:vAlign w:val="center"/>
          </w:tcPr>
          <w:p w14:paraId="0B4E86D0">
            <w:pPr>
              <w:rPr>
                <w:rFonts w:ascii="Arial" w:hAnsi="Arial" w:cs="Arial"/>
                <w:color w:val="000000" w:themeColor="text1"/>
                <w:sz w:val="21"/>
                <w:szCs w:val="21"/>
                <w14:textFill>
                  <w14:solidFill>
                    <w14:schemeClr w14:val="tx1"/>
                  </w14:solidFill>
                </w14:textFill>
              </w:rPr>
            </w:pPr>
            <w:r>
              <w:rPr>
                <w:rStyle w:val="16"/>
                <w:rFonts w:ascii="KaTeX_Math" w:hAnsi="KaTeX_Math"/>
                <w:i/>
                <w:iCs/>
                <w:color w:val="000000" w:themeColor="text1"/>
                <w:sz w:val="25"/>
                <w:szCs w:val="25"/>
                <w14:textFill>
                  <w14:solidFill>
                    <w14:schemeClr w14:val="tx1"/>
                  </w14:solidFill>
                </w14:textFill>
              </w:rPr>
              <w:t>R</w:t>
            </w:r>
            <w:r>
              <w:rPr>
                <w:rStyle w:val="16"/>
                <w:color w:val="000000" w:themeColor="text1"/>
                <w:sz w:val="18"/>
                <w:szCs w:val="18"/>
                <w14:textFill>
                  <w14:solidFill>
                    <w14:schemeClr w14:val="tx1"/>
                  </w14:solidFill>
                </w14:textFill>
              </w:rPr>
              <w:t>2</w:t>
            </w:r>
          </w:p>
        </w:tc>
        <w:tc>
          <w:tcPr>
            <w:tcW w:w="0" w:type="auto"/>
            <w:shd w:val="clear" w:color="auto" w:fill="FFFFFF"/>
            <w:vAlign w:val="center"/>
          </w:tcPr>
          <w:p w14:paraId="5E96853F">
            <w:pPr>
              <w:rPr>
                <w:rFonts w:ascii="Arial" w:hAnsi="Arial" w:cs="Arial"/>
                <w:color w:val="000000" w:themeColor="text1"/>
                <w:sz w:val="21"/>
                <w:szCs w:val="21"/>
                <w14:textFill>
                  <w14:solidFill>
                    <w14:schemeClr w14:val="tx1"/>
                  </w14:solidFill>
                </w14:textFill>
              </w:rPr>
            </w:pPr>
            <w:r>
              <w:rPr>
                <w:rStyle w:val="15"/>
                <w:rFonts w:ascii="Arial" w:hAnsi="Arial" w:cs="Arial"/>
                <w:color w:val="000000" w:themeColor="text1"/>
                <w:sz w:val="21"/>
                <w:szCs w:val="21"/>
                <w14:textFill>
                  <w14:solidFill>
                    <w14:schemeClr w14:val="tx1"/>
                  </w14:solidFill>
                </w14:textFill>
              </w:rPr>
              <w:t>MAE</w:t>
            </w:r>
          </w:p>
        </w:tc>
        <w:tc>
          <w:tcPr>
            <w:tcW w:w="0" w:type="auto"/>
            <w:shd w:val="clear" w:color="auto" w:fill="FFFFFF"/>
            <w:vAlign w:val="center"/>
          </w:tcPr>
          <w:p w14:paraId="4F8297C1">
            <w:pPr>
              <w:rPr>
                <w:rFonts w:ascii="Arial" w:hAnsi="Arial" w:cs="Arial"/>
                <w:color w:val="000000" w:themeColor="text1"/>
                <w:sz w:val="21"/>
                <w:szCs w:val="21"/>
                <w14:textFill>
                  <w14:solidFill>
                    <w14:schemeClr w14:val="tx1"/>
                  </w14:solidFill>
                </w14:textFill>
              </w:rPr>
            </w:pPr>
            <w:r>
              <w:rPr>
                <w:rStyle w:val="15"/>
                <w:rFonts w:ascii="Arial" w:hAnsi="Arial" w:cs="Arial"/>
                <w:color w:val="000000" w:themeColor="text1"/>
                <w:sz w:val="21"/>
                <w:szCs w:val="21"/>
                <w14:textFill>
                  <w14:solidFill>
                    <w14:schemeClr w14:val="tx1"/>
                  </w14:solidFill>
                </w14:textFill>
              </w:rPr>
              <w:t>RMSE</w:t>
            </w:r>
          </w:p>
        </w:tc>
      </w:tr>
      <w:tr w14:paraId="3271954D">
        <w:tblPrEx>
          <w:shd w:val="clear" w:color="auto" w:fill="FFFFFF"/>
          <w:tblCellMar>
            <w:top w:w="15" w:type="dxa"/>
            <w:left w:w="15" w:type="dxa"/>
            <w:bottom w:w="15" w:type="dxa"/>
            <w:right w:w="15" w:type="dxa"/>
          </w:tblCellMar>
        </w:tblPrEx>
        <w:trPr>
          <w:trHeight w:val="261" w:hRule="atLeast"/>
        </w:trPr>
        <w:tc>
          <w:tcPr>
            <w:tcW w:w="0" w:type="auto"/>
            <w:shd w:val="clear" w:color="auto" w:fill="FFFFFF"/>
            <w:vAlign w:val="center"/>
          </w:tcPr>
          <w:p w14:paraId="2D8B37B6">
            <w:pPr>
              <w:rPr>
                <w:rFonts w:ascii="Arial" w:hAnsi="Arial" w:cs="Arial"/>
                <w:color w:val="303030"/>
                <w:sz w:val="21"/>
                <w:szCs w:val="21"/>
              </w:rPr>
            </w:pPr>
            <w:r>
              <w:rPr>
                <w:rFonts w:ascii="Arial" w:hAnsi="Arial" w:cs="Arial"/>
                <w:b/>
                <w:bCs/>
                <w:color w:val="303030"/>
                <w:sz w:val="21"/>
                <w:szCs w:val="21"/>
              </w:rPr>
              <w:t>Cu</w:t>
            </w:r>
          </w:p>
        </w:tc>
        <w:tc>
          <w:tcPr>
            <w:tcW w:w="0" w:type="auto"/>
            <w:shd w:val="clear" w:color="auto" w:fill="FFFFFF"/>
            <w:vAlign w:val="center"/>
          </w:tcPr>
          <w:p w14:paraId="50E4FB7C">
            <w:pPr>
              <w:rPr>
                <w:rFonts w:ascii="Arial" w:hAnsi="Arial" w:cs="Arial"/>
                <w:color w:val="303030"/>
                <w:sz w:val="21"/>
                <w:szCs w:val="21"/>
              </w:rPr>
            </w:pPr>
            <w:r>
              <w:rPr>
                <w:rStyle w:val="15"/>
                <w:rFonts w:ascii="Arial" w:hAnsi="Arial" w:cs="Arial"/>
                <w:color w:val="303030"/>
                <w:sz w:val="21"/>
                <w:szCs w:val="21"/>
              </w:rPr>
              <w:t>0.2646</w:t>
            </w:r>
          </w:p>
        </w:tc>
        <w:tc>
          <w:tcPr>
            <w:tcW w:w="0" w:type="auto"/>
            <w:shd w:val="clear" w:color="auto" w:fill="FFFFFF"/>
            <w:vAlign w:val="center"/>
          </w:tcPr>
          <w:p w14:paraId="7B90B0FD">
            <w:pPr>
              <w:rPr>
                <w:rFonts w:ascii="Arial" w:hAnsi="Arial" w:cs="Arial"/>
                <w:color w:val="303030"/>
                <w:sz w:val="21"/>
                <w:szCs w:val="21"/>
              </w:rPr>
            </w:pPr>
            <w:r>
              <w:rPr>
                <w:rStyle w:val="15"/>
                <w:rFonts w:ascii="Arial" w:hAnsi="Arial" w:cs="Arial"/>
                <w:color w:val="303030"/>
                <w:sz w:val="21"/>
                <w:szCs w:val="21"/>
              </w:rPr>
              <w:t>0.7526</w:t>
            </w:r>
          </w:p>
        </w:tc>
        <w:tc>
          <w:tcPr>
            <w:tcW w:w="0" w:type="auto"/>
            <w:shd w:val="clear" w:color="auto" w:fill="FFFFFF"/>
            <w:vAlign w:val="center"/>
          </w:tcPr>
          <w:p w14:paraId="78E2DE28">
            <w:pPr>
              <w:rPr>
                <w:rFonts w:ascii="Arial" w:hAnsi="Arial" w:cs="Arial"/>
                <w:color w:val="303030"/>
                <w:sz w:val="21"/>
                <w:szCs w:val="21"/>
              </w:rPr>
            </w:pPr>
            <w:r>
              <w:rPr>
                <w:rStyle w:val="15"/>
                <w:rFonts w:ascii="Arial" w:hAnsi="Arial" w:cs="Arial"/>
                <w:color w:val="303030"/>
                <w:sz w:val="21"/>
                <w:szCs w:val="21"/>
              </w:rPr>
              <w:t>0.9810</w:t>
            </w:r>
          </w:p>
        </w:tc>
      </w:tr>
      <w:tr w14:paraId="7DAA87B1">
        <w:tblPrEx>
          <w:shd w:val="clear" w:color="auto" w:fill="FFFFFF"/>
          <w:tblCellMar>
            <w:top w:w="15" w:type="dxa"/>
            <w:left w:w="15" w:type="dxa"/>
            <w:bottom w:w="15" w:type="dxa"/>
            <w:right w:w="15" w:type="dxa"/>
          </w:tblCellMar>
        </w:tblPrEx>
        <w:trPr>
          <w:trHeight w:val="261" w:hRule="atLeast"/>
        </w:trPr>
        <w:tc>
          <w:tcPr>
            <w:tcW w:w="0" w:type="auto"/>
            <w:shd w:val="clear" w:color="auto" w:fill="FFFFFF"/>
            <w:vAlign w:val="center"/>
          </w:tcPr>
          <w:p w14:paraId="4A796CAF">
            <w:pPr>
              <w:rPr>
                <w:rFonts w:ascii="Arial" w:hAnsi="Arial" w:cs="Arial"/>
                <w:color w:val="303030"/>
                <w:sz w:val="21"/>
                <w:szCs w:val="21"/>
              </w:rPr>
            </w:pPr>
            <w:r>
              <w:rPr>
                <w:rFonts w:ascii="Arial" w:hAnsi="Arial" w:cs="Arial"/>
                <w:b/>
                <w:bCs/>
                <w:color w:val="303030"/>
                <w:sz w:val="21"/>
                <w:szCs w:val="21"/>
              </w:rPr>
              <w:t xml:space="preserve">Zn </w:t>
            </w:r>
          </w:p>
        </w:tc>
        <w:tc>
          <w:tcPr>
            <w:tcW w:w="0" w:type="auto"/>
            <w:shd w:val="clear" w:color="auto" w:fill="FFFFFF"/>
            <w:vAlign w:val="center"/>
          </w:tcPr>
          <w:p w14:paraId="2F4B5AE1">
            <w:pPr>
              <w:rPr>
                <w:rFonts w:ascii="Arial" w:hAnsi="Arial" w:cs="Arial"/>
                <w:color w:val="303030"/>
                <w:sz w:val="21"/>
                <w:szCs w:val="21"/>
              </w:rPr>
            </w:pPr>
            <w:r>
              <w:rPr>
                <w:rStyle w:val="15"/>
                <w:rFonts w:ascii="Arial" w:hAnsi="Arial" w:cs="Arial"/>
                <w:color w:val="303030"/>
                <w:sz w:val="21"/>
                <w:szCs w:val="21"/>
              </w:rPr>
              <w:t>0.0794</w:t>
            </w:r>
          </w:p>
        </w:tc>
        <w:tc>
          <w:tcPr>
            <w:tcW w:w="0" w:type="auto"/>
            <w:shd w:val="clear" w:color="auto" w:fill="FFFFFF"/>
            <w:vAlign w:val="center"/>
          </w:tcPr>
          <w:p w14:paraId="78EA3364">
            <w:pPr>
              <w:rPr>
                <w:rFonts w:ascii="Arial" w:hAnsi="Arial" w:cs="Arial"/>
                <w:color w:val="303030"/>
                <w:sz w:val="21"/>
                <w:szCs w:val="21"/>
              </w:rPr>
            </w:pPr>
            <w:r>
              <w:rPr>
                <w:rStyle w:val="15"/>
                <w:rFonts w:ascii="Arial" w:hAnsi="Arial" w:cs="Arial"/>
                <w:color w:val="303030"/>
                <w:sz w:val="21"/>
                <w:szCs w:val="21"/>
              </w:rPr>
              <w:t>0.6115</w:t>
            </w:r>
          </w:p>
        </w:tc>
        <w:tc>
          <w:tcPr>
            <w:tcW w:w="0" w:type="auto"/>
            <w:shd w:val="clear" w:color="auto" w:fill="FFFFFF"/>
            <w:vAlign w:val="center"/>
          </w:tcPr>
          <w:p w14:paraId="4BC2725F">
            <w:pPr>
              <w:rPr>
                <w:rFonts w:ascii="Arial" w:hAnsi="Arial" w:cs="Arial"/>
                <w:color w:val="303030"/>
                <w:sz w:val="21"/>
                <w:szCs w:val="21"/>
              </w:rPr>
            </w:pPr>
            <w:r>
              <w:rPr>
                <w:rStyle w:val="15"/>
                <w:rFonts w:ascii="Arial" w:hAnsi="Arial" w:cs="Arial"/>
                <w:color w:val="303030"/>
                <w:sz w:val="21"/>
                <w:szCs w:val="21"/>
              </w:rPr>
              <w:t>0.7716</w:t>
            </w:r>
          </w:p>
        </w:tc>
      </w:tr>
      <w:tr w14:paraId="38C87D28">
        <w:tblPrEx>
          <w:shd w:val="clear" w:color="auto" w:fill="FFFFFF"/>
          <w:tblCellMar>
            <w:top w:w="15" w:type="dxa"/>
            <w:left w:w="15" w:type="dxa"/>
            <w:bottom w:w="15" w:type="dxa"/>
            <w:right w:w="15" w:type="dxa"/>
          </w:tblCellMar>
        </w:tblPrEx>
        <w:trPr>
          <w:trHeight w:val="261" w:hRule="atLeast"/>
        </w:trPr>
        <w:tc>
          <w:tcPr>
            <w:tcW w:w="0" w:type="auto"/>
            <w:shd w:val="clear" w:color="auto" w:fill="FFFFFF"/>
            <w:vAlign w:val="center"/>
          </w:tcPr>
          <w:p w14:paraId="122481B2">
            <w:pPr>
              <w:rPr>
                <w:rFonts w:ascii="Arial" w:hAnsi="Arial" w:cs="Arial"/>
                <w:color w:val="303030"/>
                <w:sz w:val="21"/>
                <w:szCs w:val="21"/>
              </w:rPr>
            </w:pPr>
            <w:r>
              <w:rPr>
                <w:rFonts w:ascii="Arial" w:hAnsi="Arial" w:cs="Arial"/>
                <w:b/>
                <w:bCs/>
                <w:color w:val="303030"/>
                <w:sz w:val="21"/>
                <w:szCs w:val="21"/>
              </w:rPr>
              <w:t>Pb</w:t>
            </w:r>
          </w:p>
        </w:tc>
        <w:tc>
          <w:tcPr>
            <w:tcW w:w="0" w:type="auto"/>
            <w:shd w:val="clear" w:color="auto" w:fill="FFFFFF"/>
            <w:vAlign w:val="center"/>
          </w:tcPr>
          <w:p w14:paraId="1D904ED3">
            <w:pPr>
              <w:rPr>
                <w:rFonts w:ascii="Arial" w:hAnsi="Arial" w:cs="Arial"/>
                <w:color w:val="303030"/>
                <w:sz w:val="21"/>
                <w:szCs w:val="21"/>
              </w:rPr>
            </w:pPr>
            <w:r>
              <w:rPr>
                <w:rStyle w:val="15"/>
                <w:rFonts w:ascii="Arial" w:hAnsi="Arial" w:cs="Arial"/>
                <w:color w:val="303030"/>
                <w:sz w:val="21"/>
                <w:szCs w:val="21"/>
              </w:rPr>
              <w:t>0.1786</w:t>
            </w:r>
          </w:p>
        </w:tc>
        <w:tc>
          <w:tcPr>
            <w:tcW w:w="0" w:type="auto"/>
            <w:shd w:val="clear" w:color="auto" w:fill="FFFFFF"/>
            <w:vAlign w:val="center"/>
          </w:tcPr>
          <w:p w14:paraId="442CC13B">
            <w:pPr>
              <w:rPr>
                <w:rFonts w:ascii="Arial" w:hAnsi="Arial" w:cs="Arial"/>
                <w:color w:val="303030"/>
                <w:sz w:val="21"/>
                <w:szCs w:val="21"/>
              </w:rPr>
            </w:pPr>
            <w:r>
              <w:rPr>
                <w:rStyle w:val="15"/>
                <w:rFonts w:ascii="Arial" w:hAnsi="Arial" w:cs="Arial"/>
                <w:color w:val="303030"/>
                <w:sz w:val="21"/>
                <w:szCs w:val="21"/>
              </w:rPr>
              <w:t>0.5445</w:t>
            </w:r>
          </w:p>
        </w:tc>
        <w:tc>
          <w:tcPr>
            <w:tcW w:w="0" w:type="auto"/>
            <w:shd w:val="clear" w:color="auto" w:fill="FFFFFF"/>
            <w:vAlign w:val="center"/>
          </w:tcPr>
          <w:p w14:paraId="03FDC057">
            <w:pPr>
              <w:rPr>
                <w:rFonts w:ascii="Arial" w:hAnsi="Arial" w:cs="Arial"/>
                <w:color w:val="303030"/>
                <w:sz w:val="21"/>
                <w:szCs w:val="21"/>
              </w:rPr>
            </w:pPr>
            <w:r>
              <w:rPr>
                <w:rStyle w:val="15"/>
                <w:rFonts w:ascii="Arial" w:hAnsi="Arial" w:cs="Arial"/>
                <w:color w:val="303030"/>
                <w:sz w:val="21"/>
                <w:szCs w:val="21"/>
              </w:rPr>
              <w:t>0.6738</w:t>
            </w:r>
          </w:p>
        </w:tc>
      </w:tr>
    </w:tbl>
    <w:p w14:paraId="7305BC8A">
      <w:pPr>
        <w:tabs>
          <w:tab w:val="left" w:pos="3227"/>
        </w:tabs>
        <w:spacing w:line="300" w:lineRule="atLeast"/>
        <w:rPr>
          <w:rFonts w:ascii="Arial" w:hAnsi="Arial" w:cs="Arial"/>
          <w:i/>
          <w:iCs/>
          <w:color w:val="4472C4" w:themeColor="accent1"/>
          <w:sz w:val="20"/>
          <w:szCs w:val="20"/>
          <w14:textFill>
            <w14:solidFill>
              <w14:schemeClr w14:val="accent1"/>
            </w14:solidFill>
          </w14:textFill>
        </w:rPr>
      </w:pPr>
    </w:p>
    <w:p w14:paraId="46149FCD">
      <w:pPr>
        <w:spacing w:line="300" w:lineRule="atLeast"/>
        <w:rPr>
          <w:rFonts w:ascii="Arial" w:hAnsi="Arial" w:cs="Arial"/>
          <w:i/>
          <w:iCs/>
          <w:color w:val="4472C4" w:themeColor="accent1"/>
          <w:sz w:val="20"/>
          <w:szCs w:val="20"/>
          <w14:textFill>
            <w14:solidFill>
              <w14:schemeClr w14:val="accent1"/>
            </w14:solidFill>
          </w14:textFill>
        </w:rPr>
      </w:pPr>
    </w:p>
    <w:p w14:paraId="265E87CA">
      <w:pPr>
        <w:spacing w:line="300" w:lineRule="atLeast"/>
        <w:rPr>
          <w:rFonts w:ascii="Arial" w:hAnsi="Arial" w:cs="Arial"/>
          <w:i/>
          <w:iCs/>
          <w:color w:val="4472C4" w:themeColor="accent1"/>
          <w:sz w:val="20"/>
          <w:szCs w:val="20"/>
          <w14:textFill>
            <w14:solidFill>
              <w14:schemeClr w14:val="accent1"/>
            </w14:solidFill>
          </w14:textFill>
        </w:rPr>
      </w:pPr>
    </w:p>
    <w:p w14:paraId="48B71EA0">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3) What kind of models have been used in semivariogram models? Gaussian, exponential, Mattern etc? And how about the parameters? Is it possible to show the semivariogram curves? Or has the author used the ML method to estimate the parameters?</w:t>
      </w:r>
    </w:p>
    <w:p w14:paraId="38C43496">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52A2E724">
      <w:pPr>
        <w:spacing w:line="300" w:lineRule="atLeast"/>
        <w:rPr>
          <w:rFonts w:hint="eastAsia" w:ascii="Arial" w:hAnsi="Arial" w:eastAsia="宋体" w:cs="Arial"/>
          <w:i/>
          <w:iCs/>
          <w:color w:val="000000" w:themeColor="text1"/>
          <w:sz w:val="20"/>
          <w:szCs w:val="20"/>
          <w:highlight w:val="yellow"/>
          <w:lang w:val="en-US" w:eastAsia="zh-CN"/>
          <w14:textFill>
            <w14:solidFill>
              <w14:schemeClr w14:val="tx1"/>
            </w14:solidFill>
          </w14:textFill>
        </w:rPr>
      </w:pPr>
      <w:r>
        <w:rPr>
          <w:rFonts w:hint="eastAsia" w:ascii="Arial" w:hAnsi="Arial" w:eastAsia="宋体" w:cs="Arial"/>
          <w:i/>
          <w:iCs/>
          <w:color w:val="000000" w:themeColor="text1"/>
          <w:sz w:val="20"/>
          <w:szCs w:val="20"/>
          <w:highlight w:val="yellow"/>
          <w:lang w:val="en-US" w:eastAsia="zh-CN"/>
          <w14:textFill>
            <w14:solidFill>
              <w14:schemeClr w14:val="tx1"/>
            </w14:solidFill>
          </w14:textFill>
        </w:rPr>
        <w:t>我们使用 automap 包中的 autofitVariogram() 函数对经验半变异函数进行拟合，并选择相应的理论模型。候选模型限定为球状模型（Spherical, Sph）和指数模型（Exponential, Exp）。最优拟合模型的参数（Variogram model、Nugget、Partial sill、Sill、Range、Nugget-to-sill ratio）从返回的 vgm 对象中直接提取。预测值及克里金方差通过 gstat包的krige()函数计算得到。</w:t>
      </w:r>
    </w:p>
    <w:p w14:paraId="3D87DE4B">
      <w:pPr>
        <w:spacing w:line="300" w:lineRule="atLeast"/>
        <w:rPr>
          <w:rFonts w:ascii="Arial" w:hAnsi="Arial" w:cs="Arial"/>
          <w:i/>
          <w:iCs/>
          <w:color w:val="000000" w:themeColor="text1"/>
          <w:sz w:val="20"/>
          <w:szCs w:val="20"/>
          <w14:textFill>
            <w14:solidFill>
              <w14:schemeClr w14:val="tx1"/>
            </w14:solidFill>
          </w14:textFill>
        </w:rPr>
      </w:pPr>
    </w:p>
    <w:p w14:paraId="5DE778F2">
      <w:pPr>
        <w:tabs>
          <w:tab w:val="left" w:pos="3227"/>
        </w:tabs>
        <w:spacing w:line="300" w:lineRule="atLeast"/>
        <w:jc w:val="center"/>
        <w:rPr>
          <w:rFonts w:hint="eastAsia" w:ascii="Arial" w:hAnsi="Arial" w:cs="Arial"/>
          <w:i/>
          <w:iCs/>
          <w:color w:val="000000" w:themeColor="text1"/>
          <w:sz w:val="20"/>
          <w:szCs w:val="20"/>
          <w14:textFill>
            <w14:solidFill>
              <w14:schemeClr w14:val="tx1"/>
            </w14:solidFill>
          </w14:textFill>
        </w:rPr>
      </w:pPr>
      <w:r>
        <w:rPr>
          <w:rFonts w:hint="eastAsia" w:ascii="Arial" w:hAnsi="Arial" w:cs="Arial"/>
          <w:i/>
          <w:iCs/>
          <w:color w:val="000000" w:themeColor="text1"/>
          <w:sz w:val="20"/>
          <w:szCs w:val="20"/>
          <w14:textFill>
            <w14:solidFill>
              <w14:schemeClr w14:val="tx1"/>
            </w14:solidFill>
          </w14:textFill>
        </w:rPr>
        <w:t>Table. Results of UK</w:t>
      </w:r>
    </w:p>
    <w:tbl>
      <w:tblPr>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7"/>
        <w:gridCol w:w="986"/>
        <w:gridCol w:w="1687"/>
        <w:gridCol w:w="867"/>
        <w:gridCol w:w="1067"/>
        <w:gridCol w:w="867"/>
        <w:gridCol w:w="767"/>
        <w:gridCol w:w="1816"/>
      </w:tblGrid>
      <w:tr w14:paraId="11EC4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tcBorders>
              <w:top w:val="single" w:color="000000" w:sz="12" w:space="0"/>
              <w:left w:val="nil"/>
              <w:bottom w:val="single" w:color="000000" w:sz="4" w:space="0"/>
              <w:right w:val="nil"/>
              <w:tl2br w:val="nil"/>
            </w:tcBorders>
            <w:shd w:val="clear" w:color="auto" w:fill="FFFFFF"/>
            <w:noWrap/>
            <w:vAlign w:val="center"/>
          </w:tcPr>
          <w:p w14:paraId="6EB8FF1A">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Element</w:t>
            </w:r>
          </w:p>
        </w:tc>
        <w:tc>
          <w:tcPr>
            <w:tcW w:w="0" w:type="auto"/>
            <w:tcBorders>
              <w:top w:val="single" w:color="000000" w:sz="12" w:space="0"/>
              <w:left w:val="nil"/>
              <w:bottom w:val="single" w:color="000000" w:sz="4" w:space="0"/>
              <w:right w:val="nil"/>
            </w:tcBorders>
            <w:shd w:val="clear" w:color="auto" w:fill="FFFFFF"/>
            <w:noWrap/>
            <w:vAlign w:val="center"/>
          </w:tcPr>
          <w:p w14:paraId="54DF1582">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Method</w:t>
            </w:r>
          </w:p>
        </w:tc>
        <w:tc>
          <w:tcPr>
            <w:tcW w:w="0" w:type="auto"/>
            <w:tcBorders>
              <w:top w:val="single" w:color="000000" w:sz="12" w:space="0"/>
              <w:left w:val="nil"/>
              <w:bottom w:val="single" w:color="000000" w:sz="4" w:space="0"/>
              <w:right w:val="nil"/>
            </w:tcBorders>
            <w:shd w:val="clear" w:color="auto" w:fill="FFFFFF"/>
            <w:noWrap/>
            <w:vAlign w:val="center"/>
          </w:tcPr>
          <w:p w14:paraId="34BA7A0A">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Variogram model</w:t>
            </w:r>
          </w:p>
        </w:tc>
        <w:tc>
          <w:tcPr>
            <w:tcW w:w="0" w:type="auto"/>
            <w:tcBorders>
              <w:top w:val="single" w:color="000000" w:sz="12" w:space="0"/>
              <w:left w:val="nil"/>
              <w:bottom w:val="single" w:color="000000" w:sz="4" w:space="0"/>
              <w:right w:val="nil"/>
            </w:tcBorders>
            <w:shd w:val="clear" w:color="auto" w:fill="FFFFFF"/>
            <w:noWrap/>
            <w:vAlign w:val="center"/>
          </w:tcPr>
          <w:p w14:paraId="63EE25C4">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Nugget</w:t>
            </w:r>
          </w:p>
        </w:tc>
        <w:tc>
          <w:tcPr>
            <w:tcW w:w="0" w:type="auto"/>
            <w:tcBorders>
              <w:top w:val="single" w:color="000000" w:sz="12" w:space="0"/>
              <w:left w:val="nil"/>
              <w:bottom w:val="single" w:color="000000" w:sz="4" w:space="0"/>
              <w:right w:val="nil"/>
            </w:tcBorders>
            <w:shd w:val="clear" w:color="auto" w:fill="FFFFFF"/>
            <w:noWrap/>
            <w:vAlign w:val="center"/>
          </w:tcPr>
          <w:p w14:paraId="13A44F43">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Partial sill</w:t>
            </w:r>
          </w:p>
        </w:tc>
        <w:tc>
          <w:tcPr>
            <w:tcW w:w="0" w:type="auto"/>
            <w:tcBorders>
              <w:top w:val="single" w:color="000000" w:sz="12" w:space="0"/>
              <w:left w:val="nil"/>
              <w:bottom w:val="single" w:color="000000" w:sz="4" w:space="0"/>
              <w:right w:val="nil"/>
            </w:tcBorders>
            <w:shd w:val="clear" w:color="auto" w:fill="FFFFFF"/>
            <w:noWrap/>
            <w:vAlign w:val="center"/>
          </w:tcPr>
          <w:p w14:paraId="3BECF80D">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Sill</w:t>
            </w:r>
          </w:p>
        </w:tc>
        <w:tc>
          <w:tcPr>
            <w:tcW w:w="0" w:type="auto"/>
            <w:tcBorders>
              <w:top w:val="single" w:color="000000" w:sz="12" w:space="0"/>
              <w:left w:val="nil"/>
              <w:bottom w:val="single" w:color="000000" w:sz="4" w:space="0"/>
              <w:right w:val="nil"/>
            </w:tcBorders>
            <w:shd w:val="clear" w:color="auto" w:fill="FFFFFF"/>
            <w:noWrap/>
            <w:vAlign w:val="center"/>
          </w:tcPr>
          <w:p w14:paraId="2405421B">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Range</w:t>
            </w:r>
          </w:p>
        </w:tc>
        <w:tc>
          <w:tcPr>
            <w:tcW w:w="0" w:type="auto"/>
            <w:tcBorders>
              <w:top w:val="single" w:color="000000" w:sz="12" w:space="0"/>
              <w:left w:val="nil"/>
              <w:bottom w:val="single" w:color="000000" w:sz="4" w:space="0"/>
              <w:right w:val="nil"/>
            </w:tcBorders>
            <w:shd w:val="clear" w:color="auto" w:fill="FFFFFF"/>
            <w:noWrap/>
            <w:vAlign w:val="center"/>
          </w:tcPr>
          <w:p w14:paraId="69F9994F">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Nugget-to-sill ratio</w:t>
            </w:r>
          </w:p>
        </w:tc>
      </w:tr>
      <w:tr w14:paraId="2A45C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restart"/>
            <w:tcBorders>
              <w:top w:val="single" w:color="000000" w:sz="4" w:space="0"/>
              <w:left w:val="nil"/>
              <w:right w:val="nil"/>
            </w:tcBorders>
            <w:shd w:val="clear" w:color="auto" w:fill="FFFFFF"/>
            <w:noWrap/>
            <w:vAlign w:val="center"/>
          </w:tcPr>
          <w:p w14:paraId="2C9DFFA0">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Cu</w:t>
            </w:r>
          </w:p>
        </w:tc>
        <w:tc>
          <w:tcPr>
            <w:tcW w:w="0" w:type="auto"/>
            <w:tcBorders>
              <w:top w:val="single" w:color="000000" w:sz="4" w:space="0"/>
              <w:left w:val="nil"/>
              <w:bottom w:val="nil"/>
              <w:right w:val="nil"/>
            </w:tcBorders>
            <w:shd w:val="clear" w:color="auto" w:fill="FFFFFF"/>
            <w:noWrap/>
            <w:vAlign w:val="center"/>
          </w:tcPr>
          <w:p w14:paraId="36A242C4">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FFRK-RF</w:t>
            </w:r>
          </w:p>
        </w:tc>
        <w:tc>
          <w:tcPr>
            <w:tcW w:w="0" w:type="auto"/>
            <w:tcBorders>
              <w:top w:val="single" w:color="000000" w:sz="4" w:space="0"/>
              <w:left w:val="nil"/>
              <w:bottom w:val="nil"/>
              <w:right w:val="nil"/>
            </w:tcBorders>
            <w:shd w:val="clear" w:color="auto" w:fill="FFFFFF"/>
            <w:noWrap/>
            <w:vAlign w:val="center"/>
          </w:tcPr>
          <w:p w14:paraId="39A4CF3A">
            <w:pPr>
              <w:jc w:val="center"/>
              <w:rPr>
                <w:rStyle w:val="15"/>
                <w:rFonts w:hint="default" w:ascii="Arial" w:hAnsi="Arial" w:eastAsia="宋体" w:cs="Arial"/>
                <w:b w:val="0"/>
                <w:color w:val="000000" w:themeColor="text1"/>
                <w:sz w:val="18"/>
                <w:szCs w:val="18"/>
                <w:lang w:val="en-US"/>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single" w:color="000000" w:sz="4" w:space="0"/>
              <w:left w:val="nil"/>
              <w:bottom w:val="nil"/>
              <w:right w:val="nil"/>
            </w:tcBorders>
            <w:shd w:val="clear" w:color="auto" w:fill="FFFFFF"/>
            <w:noWrap/>
            <w:vAlign w:val="center"/>
          </w:tcPr>
          <w:p w14:paraId="15241E14">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0.15993</w:t>
            </w:r>
          </w:p>
        </w:tc>
        <w:tc>
          <w:tcPr>
            <w:tcW w:w="0" w:type="auto"/>
            <w:tcBorders>
              <w:top w:val="single" w:color="000000" w:sz="4" w:space="0"/>
              <w:left w:val="nil"/>
              <w:bottom w:val="nil"/>
              <w:right w:val="nil"/>
            </w:tcBorders>
            <w:shd w:val="clear" w:color="auto" w:fill="FFFFFF"/>
            <w:noWrap/>
            <w:vAlign w:val="center"/>
          </w:tcPr>
          <w:p w14:paraId="02C50C16">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w:t>
            </w:r>
          </w:p>
        </w:tc>
        <w:tc>
          <w:tcPr>
            <w:tcW w:w="0" w:type="auto"/>
            <w:tcBorders>
              <w:top w:val="single" w:color="000000" w:sz="4" w:space="0"/>
              <w:left w:val="nil"/>
              <w:bottom w:val="nil"/>
              <w:right w:val="nil"/>
            </w:tcBorders>
            <w:shd w:val="clear" w:color="auto" w:fill="FFFFFF"/>
            <w:noWrap/>
            <w:vAlign w:val="center"/>
          </w:tcPr>
          <w:p w14:paraId="1221BD0A">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0.15993</w:t>
            </w:r>
          </w:p>
        </w:tc>
        <w:tc>
          <w:tcPr>
            <w:tcW w:w="767" w:type="dxa"/>
            <w:tcBorders>
              <w:top w:val="single" w:color="000000" w:sz="4" w:space="0"/>
              <w:left w:val="nil"/>
              <w:bottom w:val="nil"/>
              <w:right w:val="nil"/>
            </w:tcBorders>
            <w:shd w:val="clear" w:color="auto" w:fill="FFFFFF"/>
            <w:noWrap/>
            <w:vAlign w:val="center"/>
          </w:tcPr>
          <w:p w14:paraId="3A63A5B1">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0.1698</w:t>
            </w:r>
          </w:p>
        </w:tc>
        <w:tc>
          <w:tcPr>
            <w:tcW w:w="1757" w:type="dxa"/>
            <w:tcBorders>
              <w:top w:val="single" w:color="000000" w:sz="4" w:space="0"/>
              <w:left w:val="nil"/>
              <w:bottom w:val="nil"/>
              <w:right w:val="nil"/>
            </w:tcBorders>
            <w:shd w:val="clear" w:color="auto" w:fill="FFFFFF"/>
            <w:noWrap/>
            <w:vAlign w:val="center"/>
          </w:tcPr>
          <w:p w14:paraId="32B482A5">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w:t>
            </w:r>
          </w:p>
        </w:tc>
      </w:tr>
      <w:tr w14:paraId="16EE5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noWrap/>
            <w:vAlign w:val="center"/>
          </w:tcPr>
          <w:p w14:paraId="421B909E">
            <w:pPr>
              <w:jc w:val="center"/>
              <w:rPr>
                <w:rStyle w:val="15"/>
                <w:rFonts w:hint="eastAsia" w:ascii="Arial" w:hAnsi="Arial" w:eastAsia="宋体" w:cs="Arial"/>
                <w:b/>
                <w:bCs/>
                <w:color w:val="000000" w:themeColor="text1"/>
                <w:sz w:val="18"/>
                <w:szCs w:val="18"/>
                <w14:textFill>
                  <w14:solidFill>
                    <w14:schemeClr w14:val="tx1"/>
                  </w14:solidFill>
                </w14:textFill>
              </w:rPr>
            </w:pPr>
          </w:p>
        </w:tc>
        <w:tc>
          <w:tcPr>
            <w:tcW w:w="0" w:type="auto"/>
            <w:tcBorders>
              <w:top w:val="nil"/>
              <w:left w:val="nil"/>
              <w:bottom w:val="nil"/>
              <w:right w:val="nil"/>
            </w:tcBorders>
            <w:shd w:val="clear" w:color="auto" w:fill="FFFFFF"/>
            <w:noWrap/>
            <w:vAlign w:val="center"/>
          </w:tcPr>
          <w:p w14:paraId="700605EF">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OK</w:t>
            </w:r>
          </w:p>
        </w:tc>
        <w:tc>
          <w:tcPr>
            <w:tcW w:w="0" w:type="auto"/>
            <w:tcBorders>
              <w:top w:val="nil"/>
              <w:left w:val="nil"/>
              <w:bottom w:val="nil"/>
              <w:right w:val="nil"/>
            </w:tcBorders>
            <w:shd w:val="clear" w:color="auto" w:fill="FFFFFF"/>
            <w:noWrap/>
            <w:vAlign w:val="center"/>
          </w:tcPr>
          <w:p w14:paraId="7F62B093">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nil"/>
              <w:right w:val="nil"/>
            </w:tcBorders>
            <w:shd w:val="clear" w:color="auto" w:fill="FFFFFF"/>
            <w:noWrap/>
            <w:vAlign w:val="center"/>
          </w:tcPr>
          <w:p w14:paraId="447DEC3C">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1.31563</w:t>
            </w:r>
          </w:p>
        </w:tc>
        <w:tc>
          <w:tcPr>
            <w:tcW w:w="0" w:type="auto"/>
            <w:tcBorders>
              <w:top w:val="nil"/>
              <w:left w:val="nil"/>
              <w:bottom w:val="nil"/>
              <w:right w:val="nil"/>
            </w:tcBorders>
            <w:shd w:val="clear" w:color="auto" w:fill="FFFFFF"/>
            <w:noWrap/>
            <w:vAlign w:val="center"/>
          </w:tcPr>
          <w:p w14:paraId="1986E7FC">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0.40342</w:t>
            </w:r>
          </w:p>
        </w:tc>
        <w:tc>
          <w:tcPr>
            <w:tcW w:w="0" w:type="auto"/>
            <w:tcBorders>
              <w:top w:val="nil"/>
              <w:left w:val="nil"/>
              <w:bottom w:val="nil"/>
              <w:right w:val="nil"/>
            </w:tcBorders>
            <w:shd w:val="clear" w:color="auto" w:fill="FFFFFF"/>
            <w:noWrap/>
            <w:vAlign w:val="center"/>
          </w:tcPr>
          <w:p w14:paraId="6E124E4D">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1.71906</w:t>
            </w:r>
          </w:p>
        </w:tc>
        <w:tc>
          <w:tcPr>
            <w:tcW w:w="767" w:type="dxa"/>
            <w:tcBorders>
              <w:top w:val="nil"/>
              <w:left w:val="nil"/>
              <w:bottom w:val="nil"/>
              <w:right w:val="nil"/>
            </w:tcBorders>
            <w:shd w:val="clear" w:color="auto" w:fill="FFFFFF"/>
            <w:noWrap/>
            <w:vAlign w:val="center"/>
          </w:tcPr>
          <w:p w14:paraId="641D2623">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2.582</w:t>
            </w:r>
          </w:p>
        </w:tc>
        <w:tc>
          <w:tcPr>
            <w:tcW w:w="1757" w:type="dxa"/>
            <w:tcBorders>
              <w:top w:val="nil"/>
              <w:left w:val="nil"/>
              <w:bottom w:val="nil"/>
              <w:right w:val="nil"/>
            </w:tcBorders>
            <w:shd w:val="clear" w:color="auto" w:fill="FFFFFF"/>
            <w:noWrap/>
            <w:vAlign w:val="center"/>
          </w:tcPr>
          <w:p w14:paraId="6D35B7C3">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0.7653</w:t>
            </w:r>
          </w:p>
        </w:tc>
      </w:tr>
      <w:tr w14:paraId="07785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bottom w:val="single" w:color="auto" w:sz="4" w:space="0"/>
              <w:right w:val="nil"/>
            </w:tcBorders>
            <w:shd w:val="clear" w:color="auto" w:fill="FFFFFF"/>
            <w:noWrap/>
            <w:vAlign w:val="center"/>
          </w:tcPr>
          <w:p w14:paraId="07933242">
            <w:pPr>
              <w:jc w:val="center"/>
              <w:rPr>
                <w:rStyle w:val="15"/>
                <w:rFonts w:hint="eastAsia" w:ascii="Arial" w:hAnsi="Arial" w:eastAsia="宋体" w:cs="Arial"/>
                <w:b/>
                <w:bCs/>
                <w:color w:val="000000" w:themeColor="text1"/>
                <w:sz w:val="18"/>
                <w:szCs w:val="18"/>
                <w14:textFill>
                  <w14:solidFill>
                    <w14:schemeClr w14:val="tx1"/>
                  </w14:solidFill>
                </w14:textFill>
              </w:rPr>
            </w:pPr>
          </w:p>
        </w:tc>
        <w:tc>
          <w:tcPr>
            <w:tcW w:w="0" w:type="auto"/>
            <w:tcBorders>
              <w:top w:val="nil"/>
              <w:left w:val="nil"/>
              <w:bottom w:val="single" w:color="auto" w:sz="4" w:space="0"/>
              <w:right w:val="nil"/>
            </w:tcBorders>
            <w:shd w:val="clear" w:color="auto" w:fill="FFFFFF"/>
            <w:noWrap/>
            <w:vAlign w:val="center"/>
          </w:tcPr>
          <w:p w14:paraId="23C17986">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RK-RF</w:t>
            </w:r>
          </w:p>
        </w:tc>
        <w:tc>
          <w:tcPr>
            <w:tcW w:w="0" w:type="auto"/>
            <w:tcBorders>
              <w:top w:val="nil"/>
              <w:left w:val="nil"/>
              <w:bottom w:val="single" w:color="auto" w:sz="4" w:space="0"/>
              <w:right w:val="nil"/>
            </w:tcBorders>
            <w:shd w:val="clear" w:color="auto" w:fill="FFFFFF"/>
            <w:noWrap/>
            <w:vAlign w:val="center"/>
          </w:tcPr>
          <w:p w14:paraId="698D13CB">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single" w:color="auto" w:sz="4" w:space="0"/>
              <w:right w:val="nil"/>
            </w:tcBorders>
            <w:shd w:val="clear" w:color="auto" w:fill="FFFFFF"/>
            <w:noWrap/>
            <w:vAlign w:val="center"/>
          </w:tcPr>
          <w:p w14:paraId="4F68A0DB">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0.29009</w:t>
            </w:r>
          </w:p>
        </w:tc>
        <w:tc>
          <w:tcPr>
            <w:tcW w:w="0" w:type="auto"/>
            <w:tcBorders>
              <w:top w:val="nil"/>
              <w:left w:val="nil"/>
              <w:bottom w:val="single" w:color="auto" w:sz="4" w:space="0"/>
              <w:right w:val="nil"/>
            </w:tcBorders>
            <w:shd w:val="clear" w:color="auto" w:fill="FFFFFF"/>
            <w:noWrap/>
            <w:vAlign w:val="center"/>
          </w:tcPr>
          <w:p w14:paraId="17647E6A">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0.07687</w:t>
            </w:r>
          </w:p>
        </w:tc>
        <w:tc>
          <w:tcPr>
            <w:tcW w:w="0" w:type="auto"/>
            <w:tcBorders>
              <w:top w:val="nil"/>
              <w:left w:val="nil"/>
              <w:bottom w:val="single" w:color="auto" w:sz="4" w:space="0"/>
              <w:right w:val="nil"/>
            </w:tcBorders>
            <w:shd w:val="clear" w:color="auto" w:fill="FFFFFF"/>
            <w:noWrap/>
            <w:vAlign w:val="center"/>
          </w:tcPr>
          <w:p w14:paraId="0BF49941">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0.36695</w:t>
            </w:r>
          </w:p>
        </w:tc>
        <w:tc>
          <w:tcPr>
            <w:tcW w:w="767" w:type="dxa"/>
            <w:tcBorders>
              <w:top w:val="nil"/>
              <w:left w:val="nil"/>
              <w:bottom w:val="single" w:color="auto" w:sz="4" w:space="0"/>
              <w:right w:val="nil"/>
            </w:tcBorders>
            <w:shd w:val="clear" w:color="auto" w:fill="FFFFFF"/>
            <w:noWrap/>
            <w:vAlign w:val="center"/>
          </w:tcPr>
          <w:p w14:paraId="4CFEC433">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1.1572</w:t>
            </w:r>
          </w:p>
        </w:tc>
        <w:tc>
          <w:tcPr>
            <w:tcW w:w="1757" w:type="dxa"/>
            <w:tcBorders>
              <w:top w:val="nil"/>
              <w:left w:val="nil"/>
              <w:bottom w:val="single" w:color="auto" w:sz="4" w:space="0"/>
              <w:right w:val="nil"/>
            </w:tcBorders>
            <w:shd w:val="clear" w:color="auto" w:fill="FFFFFF"/>
            <w:noWrap/>
            <w:vAlign w:val="center"/>
          </w:tcPr>
          <w:p w14:paraId="191B459E">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0.7905</w:t>
            </w:r>
          </w:p>
        </w:tc>
      </w:tr>
      <w:tr w14:paraId="560D0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restart"/>
            <w:tcBorders>
              <w:top w:val="single" w:color="auto" w:sz="4" w:space="0"/>
              <w:left w:val="nil"/>
              <w:right w:val="nil"/>
            </w:tcBorders>
            <w:shd w:val="clear" w:color="auto" w:fill="FFFFFF"/>
            <w:noWrap/>
            <w:vAlign w:val="center"/>
          </w:tcPr>
          <w:p w14:paraId="3D26F82F">
            <w:pPr>
              <w:jc w:val="center"/>
              <w:rPr>
                <w:rStyle w:val="15"/>
                <w:rFonts w:hint="eastAsia" w:ascii="Arial" w:hAnsi="Arial" w:eastAsia="宋体" w:cs="Arial"/>
                <w:b/>
                <w:bCs/>
                <w:color w:val="000000" w:themeColor="text1"/>
                <w:sz w:val="18"/>
                <w:szCs w:val="18"/>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Pb</w:t>
            </w:r>
          </w:p>
        </w:tc>
        <w:tc>
          <w:tcPr>
            <w:tcW w:w="0" w:type="auto"/>
            <w:tcBorders>
              <w:top w:val="single" w:color="auto" w:sz="4" w:space="0"/>
              <w:left w:val="nil"/>
              <w:bottom w:val="nil"/>
              <w:right w:val="nil"/>
            </w:tcBorders>
            <w:shd w:val="clear" w:color="auto" w:fill="FFFFFF"/>
            <w:noWrap/>
            <w:vAlign w:val="center"/>
          </w:tcPr>
          <w:p w14:paraId="08897F45">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FFRK-RF</w:t>
            </w:r>
          </w:p>
        </w:tc>
        <w:tc>
          <w:tcPr>
            <w:tcW w:w="0" w:type="auto"/>
            <w:tcBorders>
              <w:top w:val="single" w:color="auto" w:sz="4" w:space="0"/>
              <w:left w:val="nil"/>
              <w:bottom w:val="nil"/>
              <w:right w:val="nil"/>
            </w:tcBorders>
            <w:shd w:val="clear" w:color="auto" w:fill="FFFFFF"/>
            <w:noWrap/>
            <w:vAlign w:val="center"/>
          </w:tcPr>
          <w:p w14:paraId="01393B50">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single" w:color="auto" w:sz="4" w:space="0"/>
              <w:left w:val="nil"/>
              <w:bottom w:val="nil"/>
              <w:right w:val="nil"/>
            </w:tcBorders>
            <w:shd w:val="clear" w:color="auto" w:fill="FFFFFF"/>
            <w:noWrap/>
            <w:vAlign w:val="center"/>
          </w:tcPr>
          <w:p w14:paraId="5C2F8F22">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0.10424</w:t>
            </w:r>
          </w:p>
        </w:tc>
        <w:tc>
          <w:tcPr>
            <w:tcW w:w="0" w:type="auto"/>
            <w:tcBorders>
              <w:top w:val="single" w:color="auto" w:sz="4" w:space="0"/>
              <w:left w:val="nil"/>
              <w:bottom w:val="nil"/>
              <w:right w:val="nil"/>
            </w:tcBorders>
            <w:shd w:val="clear" w:color="auto" w:fill="FFFFFF"/>
            <w:noWrap/>
            <w:vAlign w:val="center"/>
          </w:tcPr>
          <w:p w14:paraId="3E0A7886">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0.02615</w:t>
            </w:r>
          </w:p>
        </w:tc>
        <w:tc>
          <w:tcPr>
            <w:tcW w:w="0" w:type="auto"/>
            <w:tcBorders>
              <w:top w:val="single" w:color="auto" w:sz="4" w:space="0"/>
              <w:left w:val="nil"/>
              <w:bottom w:val="nil"/>
              <w:right w:val="nil"/>
            </w:tcBorders>
            <w:shd w:val="clear" w:color="auto" w:fill="FFFFFF"/>
            <w:noWrap/>
            <w:vAlign w:val="center"/>
          </w:tcPr>
          <w:p w14:paraId="5D2FEB66">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0.13038</w:t>
            </w:r>
          </w:p>
        </w:tc>
        <w:tc>
          <w:tcPr>
            <w:tcW w:w="0" w:type="auto"/>
            <w:tcBorders>
              <w:top w:val="single" w:color="auto" w:sz="4" w:space="0"/>
              <w:left w:val="nil"/>
              <w:bottom w:val="nil"/>
              <w:right w:val="nil"/>
            </w:tcBorders>
            <w:shd w:val="clear" w:color="auto" w:fill="FFFFFF"/>
            <w:noWrap/>
            <w:vAlign w:val="center"/>
          </w:tcPr>
          <w:p w14:paraId="022EB7CA">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1.0817</w:t>
            </w:r>
          </w:p>
        </w:tc>
        <w:tc>
          <w:tcPr>
            <w:tcW w:w="0" w:type="auto"/>
            <w:tcBorders>
              <w:top w:val="single" w:color="auto" w:sz="4" w:space="0"/>
              <w:left w:val="nil"/>
              <w:bottom w:val="nil"/>
              <w:right w:val="nil"/>
            </w:tcBorders>
            <w:shd w:val="clear" w:color="auto" w:fill="FFFFFF"/>
            <w:noWrap/>
            <w:vAlign w:val="center"/>
          </w:tcPr>
          <w:p w14:paraId="70D8947F">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0.7995</w:t>
            </w:r>
          </w:p>
        </w:tc>
      </w:tr>
      <w:tr w14:paraId="4014E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noWrap/>
            <w:vAlign w:val="center"/>
          </w:tcPr>
          <w:p w14:paraId="71BDBCBA">
            <w:pPr>
              <w:jc w:val="center"/>
              <w:rPr>
                <w:rStyle w:val="15"/>
                <w:rFonts w:hint="eastAsia" w:ascii="Arial" w:hAnsi="Arial" w:eastAsia="宋体" w:cs="Arial"/>
                <w:b/>
                <w:bCs/>
                <w:color w:val="000000" w:themeColor="text1"/>
                <w:sz w:val="18"/>
                <w:szCs w:val="18"/>
                <w14:textFill>
                  <w14:solidFill>
                    <w14:schemeClr w14:val="tx1"/>
                  </w14:solidFill>
                </w14:textFill>
              </w:rPr>
            </w:pPr>
          </w:p>
        </w:tc>
        <w:tc>
          <w:tcPr>
            <w:tcW w:w="0" w:type="auto"/>
            <w:tcBorders>
              <w:top w:val="nil"/>
              <w:left w:val="nil"/>
              <w:bottom w:val="nil"/>
              <w:right w:val="nil"/>
            </w:tcBorders>
            <w:shd w:val="clear" w:color="auto" w:fill="FFFFFF"/>
            <w:noWrap/>
            <w:vAlign w:val="center"/>
          </w:tcPr>
          <w:p w14:paraId="3E304238">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OK</w:t>
            </w:r>
          </w:p>
        </w:tc>
        <w:tc>
          <w:tcPr>
            <w:tcW w:w="0" w:type="auto"/>
            <w:tcBorders>
              <w:top w:val="nil"/>
              <w:left w:val="nil"/>
              <w:bottom w:val="nil"/>
              <w:right w:val="nil"/>
            </w:tcBorders>
            <w:shd w:val="clear" w:color="auto" w:fill="FFFFFF"/>
            <w:noWrap/>
            <w:vAlign w:val="center"/>
          </w:tcPr>
          <w:p w14:paraId="471493B5">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nil"/>
              <w:right w:val="nil"/>
            </w:tcBorders>
            <w:shd w:val="clear" w:color="auto" w:fill="FFFFFF"/>
            <w:noWrap/>
            <w:vAlign w:val="center"/>
          </w:tcPr>
          <w:p w14:paraId="6BDEB1A3">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0.76237</w:t>
            </w:r>
          </w:p>
        </w:tc>
        <w:tc>
          <w:tcPr>
            <w:tcW w:w="0" w:type="auto"/>
            <w:tcBorders>
              <w:top w:val="nil"/>
              <w:left w:val="nil"/>
              <w:bottom w:val="nil"/>
              <w:right w:val="nil"/>
            </w:tcBorders>
            <w:shd w:val="clear" w:color="auto" w:fill="FFFFFF"/>
            <w:noWrap/>
            <w:vAlign w:val="center"/>
          </w:tcPr>
          <w:p w14:paraId="1C983017">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0.05628</w:t>
            </w:r>
          </w:p>
        </w:tc>
        <w:tc>
          <w:tcPr>
            <w:tcW w:w="0" w:type="auto"/>
            <w:tcBorders>
              <w:top w:val="nil"/>
              <w:left w:val="nil"/>
              <w:bottom w:val="nil"/>
              <w:right w:val="nil"/>
            </w:tcBorders>
            <w:shd w:val="clear" w:color="auto" w:fill="FFFFFF"/>
            <w:noWrap/>
            <w:vAlign w:val="center"/>
          </w:tcPr>
          <w:p w14:paraId="471C2BC1">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0.81865</w:t>
            </w:r>
          </w:p>
        </w:tc>
        <w:tc>
          <w:tcPr>
            <w:tcW w:w="0" w:type="auto"/>
            <w:tcBorders>
              <w:top w:val="nil"/>
              <w:left w:val="nil"/>
              <w:bottom w:val="nil"/>
              <w:right w:val="nil"/>
            </w:tcBorders>
            <w:shd w:val="clear" w:color="auto" w:fill="FFFFFF"/>
            <w:noWrap/>
            <w:vAlign w:val="center"/>
          </w:tcPr>
          <w:p w14:paraId="1463A73B">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1.1699</w:t>
            </w:r>
          </w:p>
        </w:tc>
        <w:tc>
          <w:tcPr>
            <w:tcW w:w="0" w:type="auto"/>
            <w:tcBorders>
              <w:top w:val="nil"/>
              <w:left w:val="nil"/>
              <w:bottom w:val="nil"/>
              <w:right w:val="nil"/>
            </w:tcBorders>
            <w:shd w:val="clear" w:color="auto" w:fill="FFFFFF"/>
            <w:noWrap/>
            <w:vAlign w:val="center"/>
          </w:tcPr>
          <w:p w14:paraId="7C2039A4">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0.9313</w:t>
            </w:r>
          </w:p>
        </w:tc>
      </w:tr>
      <w:tr w14:paraId="30D59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bottom w:val="single" w:color="auto" w:sz="4" w:space="0"/>
              <w:right w:val="nil"/>
            </w:tcBorders>
            <w:shd w:val="clear" w:color="auto" w:fill="FFFFFF"/>
            <w:noWrap/>
            <w:vAlign w:val="center"/>
          </w:tcPr>
          <w:p w14:paraId="14EF3DEA">
            <w:pPr>
              <w:jc w:val="center"/>
              <w:rPr>
                <w:rStyle w:val="15"/>
                <w:rFonts w:hint="eastAsia" w:ascii="Arial" w:hAnsi="Arial" w:eastAsia="宋体" w:cs="Arial"/>
                <w:b/>
                <w:bCs/>
                <w:color w:val="000000" w:themeColor="text1"/>
                <w:sz w:val="18"/>
                <w:szCs w:val="18"/>
                <w14:textFill>
                  <w14:solidFill>
                    <w14:schemeClr w14:val="tx1"/>
                  </w14:solidFill>
                </w14:textFill>
              </w:rPr>
            </w:pPr>
          </w:p>
        </w:tc>
        <w:tc>
          <w:tcPr>
            <w:tcW w:w="0" w:type="auto"/>
            <w:tcBorders>
              <w:top w:val="nil"/>
              <w:left w:val="nil"/>
              <w:bottom w:val="single" w:color="auto" w:sz="4" w:space="0"/>
              <w:right w:val="nil"/>
            </w:tcBorders>
            <w:shd w:val="clear" w:color="auto" w:fill="FFFFFF"/>
            <w:noWrap/>
            <w:vAlign w:val="center"/>
          </w:tcPr>
          <w:p w14:paraId="2221EFFC">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RK-RF</w:t>
            </w:r>
          </w:p>
        </w:tc>
        <w:tc>
          <w:tcPr>
            <w:tcW w:w="0" w:type="auto"/>
            <w:tcBorders>
              <w:top w:val="nil"/>
              <w:left w:val="nil"/>
              <w:bottom w:val="single" w:color="auto" w:sz="4" w:space="0"/>
              <w:right w:val="nil"/>
            </w:tcBorders>
            <w:shd w:val="clear" w:color="auto" w:fill="FFFFFF"/>
            <w:noWrap/>
            <w:vAlign w:val="center"/>
          </w:tcPr>
          <w:p w14:paraId="293C4937">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single" w:color="auto" w:sz="4" w:space="0"/>
              <w:right w:val="nil"/>
            </w:tcBorders>
            <w:shd w:val="clear" w:color="auto" w:fill="FFFFFF"/>
            <w:noWrap/>
            <w:vAlign w:val="center"/>
          </w:tcPr>
          <w:p w14:paraId="0D1DEFE5">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0.16593</w:t>
            </w:r>
          </w:p>
        </w:tc>
        <w:tc>
          <w:tcPr>
            <w:tcW w:w="0" w:type="auto"/>
            <w:tcBorders>
              <w:top w:val="nil"/>
              <w:left w:val="nil"/>
              <w:bottom w:val="single" w:color="auto" w:sz="4" w:space="0"/>
              <w:right w:val="nil"/>
            </w:tcBorders>
            <w:shd w:val="clear" w:color="auto" w:fill="FFFFFF"/>
            <w:noWrap/>
            <w:vAlign w:val="center"/>
          </w:tcPr>
          <w:p w14:paraId="0520042E">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0.06416</w:t>
            </w:r>
          </w:p>
        </w:tc>
        <w:tc>
          <w:tcPr>
            <w:tcW w:w="0" w:type="auto"/>
            <w:tcBorders>
              <w:top w:val="nil"/>
              <w:left w:val="nil"/>
              <w:bottom w:val="single" w:color="auto" w:sz="4" w:space="0"/>
              <w:right w:val="nil"/>
            </w:tcBorders>
            <w:shd w:val="clear" w:color="auto" w:fill="FFFFFF"/>
            <w:noWrap/>
            <w:vAlign w:val="center"/>
          </w:tcPr>
          <w:p w14:paraId="362615F5">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0.23009</w:t>
            </w:r>
          </w:p>
        </w:tc>
        <w:tc>
          <w:tcPr>
            <w:tcW w:w="0" w:type="auto"/>
            <w:tcBorders>
              <w:top w:val="nil"/>
              <w:left w:val="nil"/>
              <w:bottom w:val="single" w:color="auto" w:sz="4" w:space="0"/>
              <w:right w:val="nil"/>
            </w:tcBorders>
            <w:shd w:val="clear" w:color="auto" w:fill="FFFFFF"/>
            <w:noWrap/>
            <w:vAlign w:val="center"/>
          </w:tcPr>
          <w:p w14:paraId="37FA5F6E">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1.1205</w:t>
            </w:r>
          </w:p>
        </w:tc>
        <w:tc>
          <w:tcPr>
            <w:tcW w:w="0" w:type="auto"/>
            <w:tcBorders>
              <w:top w:val="nil"/>
              <w:left w:val="nil"/>
              <w:bottom w:val="single" w:color="auto" w:sz="4" w:space="0"/>
              <w:right w:val="nil"/>
            </w:tcBorders>
            <w:shd w:val="clear" w:color="auto" w:fill="FFFFFF"/>
            <w:noWrap/>
            <w:vAlign w:val="center"/>
          </w:tcPr>
          <w:p w14:paraId="0672D52E">
            <w:pPr>
              <w:jc w:val="center"/>
              <w:rPr>
                <w:rStyle w:val="15"/>
                <w:rFonts w:hint="eastAsia" w:ascii="Arial" w:hAnsi="Arial" w:eastAsia="宋体" w:cs="Arial"/>
                <w:b w:val="0"/>
                <w:color w:val="000000" w:themeColor="text1"/>
                <w:sz w:val="18"/>
                <w:szCs w:val="18"/>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0.7212</w:t>
            </w:r>
          </w:p>
        </w:tc>
      </w:tr>
      <w:tr w14:paraId="7AB51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restart"/>
            <w:tcBorders>
              <w:top w:val="single" w:color="auto" w:sz="4" w:space="0"/>
              <w:left w:val="nil"/>
              <w:right w:val="nil"/>
            </w:tcBorders>
            <w:shd w:val="clear" w:color="auto" w:fill="FFFFFF"/>
            <w:noWrap/>
            <w:vAlign w:val="center"/>
          </w:tcPr>
          <w:p w14:paraId="508F024A">
            <w:pPr>
              <w:jc w:val="center"/>
              <w:rPr>
                <w:rStyle w:val="15"/>
                <w:rFonts w:hint="eastAsia" w:ascii="Arial" w:hAnsi="Arial" w:eastAsia="宋体" w:cs="Arial"/>
                <w:b/>
                <w:bCs/>
                <w:color w:val="000000" w:themeColor="text1"/>
                <w:sz w:val="18"/>
                <w:szCs w:val="18"/>
                <w:lang w:val="en-US" w:eastAsia="zh-CN"/>
                <w14:textFill>
                  <w14:solidFill>
                    <w14:schemeClr w14:val="tx1"/>
                  </w14:solidFill>
                </w14:textFill>
              </w:rPr>
            </w:pPr>
            <w:r>
              <w:rPr>
                <w:rStyle w:val="15"/>
                <w:rFonts w:hint="eastAsia" w:ascii="Arial" w:hAnsi="Arial" w:eastAsia="宋体" w:cs="Arial"/>
                <w:b/>
                <w:bCs/>
                <w:color w:val="000000" w:themeColor="text1"/>
                <w:sz w:val="18"/>
                <w:szCs w:val="18"/>
                <w:lang w:val="en-US" w:eastAsia="zh-CN"/>
                <w14:textFill>
                  <w14:solidFill>
                    <w14:schemeClr w14:val="tx1"/>
                  </w14:solidFill>
                </w14:textFill>
              </w:rPr>
              <w:t>Zn</w:t>
            </w:r>
          </w:p>
        </w:tc>
        <w:tc>
          <w:tcPr>
            <w:tcW w:w="0" w:type="auto"/>
            <w:tcBorders>
              <w:top w:val="single" w:color="auto" w:sz="4" w:space="0"/>
              <w:left w:val="nil"/>
              <w:bottom w:val="nil"/>
              <w:right w:val="nil"/>
            </w:tcBorders>
            <w:shd w:val="clear" w:color="auto" w:fill="FFFFFF"/>
            <w:noWrap/>
            <w:vAlign w:val="center"/>
          </w:tcPr>
          <w:p w14:paraId="54A64896">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FFRK-RF</w:t>
            </w:r>
          </w:p>
        </w:tc>
        <w:tc>
          <w:tcPr>
            <w:tcW w:w="0" w:type="auto"/>
            <w:tcBorders>
              <w:top w:val="single" w:color="auto" w:sz="4" w:space="0"/>
              <w:left w:val="nil"/>
              <w:bottom w:val="nil"/>
              <w:right w:val="nil"/>
            </w:tcBorders>
            <w:shd w:val="clear" w:color="auto" w:fill="FFFFFF"/>
            <w:noWrap/>
            <w:vAlign w:val="center"/>
          </w:tcPr>
          <w:p w14:paraId="64C237FB">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single" w:color="auto" w:sz="4" w:space="0"/>
              <w:left w:val="nil"/>
              <w:bottom w:val="nil"/>
              <w:right w:val="nil"/>
            </w:tcBorders>
            <w:shd w:val="clear" w:color="auto" w:fill="FFFFFF"/>
            <w:noWrap/>
            <w:vAlign w:val="center"/>
          </w:tcPr>
          <w:p w14:paraId="3131E51E">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0.09037</w:t>
            </w:r>
          </w:p>
        </w:tc>
        <w:tc>
          <w:tcPr>
            <w:tcW w:w="0" w:type="auto"/>
            <w:tcBorders>
              <w:top w:val="single" w:color="auto" w:sz="4" w:space="0"/>
              <w:left w:val="nil"/>
              <w:bottom w:val="nil"/>
              <w:right w:val="nil"/>
            </w:tcBorders>
            <w:shd w:val="clear" w:color="auto" w:fill="FFFFFF"/>
            <w:noWrap/>
            <w:vAlign w:val="center"/>
          </w:tcPr>
          <w:p w14:paraId="112D880D">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w:t>
            </w:r>
          </w:p>
        </w:tc>
        <w:tc>
          <w:tcPr>
            <w:tcW w:w="0" w:type="auto"/>
            <w:tcBorders>
              <w:top w:val="single" w:color="auto" w:sz="4" w:space="0"/>
              <w:left w:val="nil"/>
              <w:bottom w:val="nil"/>
              <w:right w:val="nil"/>
            </w:tcBorders>
            <w:shd w:val="clear" w:color="auto" w:fill="FFFFFF"/>
            <w:noWrap/>
            <w:vAlign w:val="center"/>
          </w:tcPr>
          <w:p w14:paraId="777C1D68">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0.09037</w:t>
            </w:r>
          </w:p>
        </w:tc>
        <w:tc>
          <w:tcPr>
            <w:tcW w:w="0" w:type="auto"/>
            <w:tcBorders>
              <w:top w:val="single" w:color="auto" w:sz="4" w:space="0"/>
              <w:left w:val="nil"/>
              <w:bottom w:val="nil"/>
              <w:right w:val="nil"/>
            </w:tcBorders>
            <w:shd w:val="clear" w:color="auto" w:fill="FFFFFF"/>
            <w:noWrap/>
            <w:vAlign w:val="center"/>
          </w:tcPr>
          <w:p w14:paraId="74181D59">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0.1698</w:t>
            </w:r>
          </w:p>
        </w:tc>
        <w:tc>
          <w:tcPr>
            <w:tcW w:w="0" w:type="auto"/>
            <w:tcBorders>
              <w:top w:val="single" w:color="auto" w:sz="4" w:space="0"/>
              <w:left w:val="nil"/>
              <w:bottom w:val="nil"/>
              <w:right w:val="nil"/>
            </w:tcBorders>
            <w:shd w:val="clear" w:color="auto" w:fill="FFFFFF"/>
            <w:noWrap/>
            <w:vAlign w:val="center"/>
          </w:tcPr>
          <w:p w14:paraId="1A81CD4D">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w:t>
            </w:r>
          </w:p>
        </w:tc>
      </w:tr>
      <w:tr w14:paraId="5676E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noWrap/>
            <w:vAlign w:val="center"/>
          </w:tcPr>
          <w:p w14:paraId="10A08FE2">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p>
        </w:tc>
        <w:tc>
          <w:tcPr>
            <w:tcW w:w="0" w:type="auto"/>
            <w:tcBorders>
              <w:top w:val="nil"/>
              <w:left w:val="nil"/>
              <w:bottom w:val="nil"/>
              <w:right w:val="nil"/>
            </w:tcBorders>
            <w:shd w:val="clear" w:color="auto" w:fill="FFFFFF"/>
            <w:noWrap/>
            <w:vAlign w:val="center"/>
          </w:tcPr>
          <w:p w14:paraId="0EB06DC8">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OK</w:t>
            </w:r>
          </w:p>
        </w:tc>
        <w:tc>
          <w:tcPr>
            <w:tcW w:w="0" w:type="auto"/>
            <w:tcBorders>
              <w:top w:val="nil"/>
              <w:left w:val="nil"/>
              <w:bottom w:val="nil"/>
              <w:right w:val="nil"/>
            </w:tcBorders>
            <w:shd w:val="clear" w:color="auto" w:fill="FFFFFF"/>
            <w:noWrap/>
            <w:vAlign w:val="center"/>
          </w:tcPr>
          <w:p w14:paraId="11E694AC">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nil"/>
              <w:right w:val="nil"/>
            </w:tcBorders>
            <w:shd w:val="clear" w:color="auto" w:fill="FFFFFF"/>
            <w:noWrap/>
            <w:vAlign w:val="center"/>
          </w:tcPr>
          <w:p w14:paraId="7A241AF5">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0.6441</w:t>
            </w:r>
          </w:p>
        </w:tc>
        <w:tc>
          <w:tcPr>
            <w:tcW w:w="0" w:type="auto"/>
            <w:tcBorders>
              <w:top w:val="nil"/>
              <w:left w:val="nil"/>
              <w:bottom w:val="nil"/>
              <w:right w:val="nil"/>
            </w:tcBorders>
            <w:shd w:val="clear" w:color="auto" w:fill="FFFFFF"/>
            <w:noWrap/>
            <w:vAlign w:val="center"/>
          </w:tcPr>
          <w:p w14:paraId="4A7F3330">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0.12049</w:t>
            </w:r>
          </w:p>
        </w:tc>
        <w:tc>
          <w:tcPr>
            <w:tcW w:w="0" w:type="auto"/>
            <w:tcBorders>
              <w:top w:val="nil"/>
              <w:left w:val="nil"/>
              <w:bottom w:val="nil"/>
              <w:right w:val="nil"/>
            </w:tcBorders>
            <w:shd w:val="clear" w:color="auto" w:fill="FFFFFF"/>
            <w:noWrap/>
            <w:vAlign w:val="center"/>
          </w:tcPr>
          <w:p w14:paraId="2EAA1E83">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0.76459</w:t>
            </w:r>
          </w:p>
        </w:tc>
        <w:tc>
          <w:tcPr>
            <w:tcW w:w="0" w:type="auto"/>
            <w:tcBorders>
              <w:top w:val="nil"/>
              <w:left w:val="nil"/>
              <w:bottom w:val="nil"/>
              <w:right w:val="nil"/>
            </w:tcBorders>
            <w:shd w:val="clear" w:color="auto" w:fill="FFFFFF"/>
            <w:noWrap/>
            <w:vAlign w:val="center"/>
          </w:tcPr>
          <w:p w14:paraId="7CB7E9FF">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0.6064</w:t>
            </w:r>
          </w:p>
        </w:tc>
        <w:tc>
          <w:tcPr>
            <w:tcW w:w="0" w:type="auto"/>
            <w:tcBorders>
              <w:top w:val="nil"/>
              <w:left w:val="nil"/>
              <w:bottom w:val="nil"/>
              <w:right w:val="nil"/>
            </w:tcBorders>
            <w:shd w:val="clear" w:color="auto" w:fill="FFFFFF"/>
            <w:noWrap/>
            <w:vAlign w:val="center"/>
          </w:tcPr>
          <w:p w14:paraId="178F0D1D">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0.8424</w:t>
            </w:r>
          </w:p>
        </w:tc>
      </w:tr>
      <w:tr w14:paraId="2930F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0" w:type="auto"/>
            <w:vMerge w:val="continue"/>
            <w:tcBorders>
              <w:left w:val="nil"/>
              <w:bottom w:val="single" w:color="000000" w:sz="12" w:space="0"/>
              <w:right w:val="nil"/>
            </w:tcBorders>
            <w:shd w:val="clear" w:color="auto" w:fill="FFFFFF"/>
            <w:noWrap/>
            <w:vAlign w:val="center"/>
          </w:tcPr>
          <w:p w14:paraId="47835654">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p>
        </w:tc>
        <w:tc>
          <w:tcPr>
            <w:tcW w:w="0" w:type="auto"/>
            <w:tcBorders>
              <w:top w:val="nil"/>
              <w:left w:val="nil"/>
              <w:bottom w:val="single" w:color="000000" w:sz="12" w:space="0"/>
              <w:right w:val="nil"/>
            </w:tcBorders>
            <w:shd w:val="clear" w:color="auto" w:fill="FFFFFF"/>
            <w:noWrap/>
            <w:vAlign w:val="center"/>
          </w:tcPr>
          <w:p w14:paraId="7831F611">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RK-RF</w:t>
            </w:r>
          </w:p>
        </w:tc>
        <w:tc>
          <w:tcPr>
            <w:tcW w:w="0" w:type="auto"/>
            <w:tcBorders>
              <w:top w:val="nil"/>
              <w:left w:val="nil"/>
              <w:bottom w:val="single" w:color="000000" w:sz="12" w:space="0"/>
              <w:right w:val="nil"/>
            </w:tcBorders>
            <w:shd w:val="clear" w:color="auto" w:fill="FFFFFF"/>
            <w:noWrap/>
            <w:vAlign w:val="center"/>
          </w:tcPr>
          <w:p w14:paraId="00844808">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Spherical</w:t>
            </w:r>
          </w:p>
        </w:tc>
        <w:tc>
          <w:tcPr>
            <w:tcW w:w="0" w:type="auto"/>
            <w:tcBorders>
              <w:top w:val="nil"/>
              <w:left w:val="nil"/>
              <w:bottom w:val="single" w:color="000000" w:sz="12" w:space="0"/>
              <w:right w:val="nil"/>
            </w:tcBorders>
            <w:shd w:val="clear" w:color="auto" w:fill="FFFFFF"/>
            <w:noWrap/>
            <w:vAlign w:val="center"/>
          </w:tcPr>
          <w:p w14:paraId="3A01FBCD">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0.11424</w:t>
            </w:r>
          </w:p>
        </w:tc>
        <w:tc>
          <w:tcPr>
            <w:tcW w:w="0" w:type="auto"/>
            <w:tcBorders>
              <w:top w:val="nil"/>
              <w:left w:val="nil"/>
              <w:bottom w:val="single" w:color="000000" w:sz="12" w:space="0"/>
              <w:right w:val="nil"/>
            </w:tcBorders>
            <w:shd w:val="clear" w:color="auto" w:fill="FFFFFF"/>
            <w:noWrap/>
            <w:vAlign w:val="center"/>
          </w:tcPr>
          <w:p w14:paraId="7656A152">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0.02115</w:t>
            </w:r>
          </w:p>
        </w:tc>
        <w:tc>
          <w:tcPr>
            <w:tcW w:w="0" w:type="auto"/>
            <w:tcBorders>
              <w:top w:val="nil"/>
              <w:left w:val="nil"/>
              <w:bottom w:val="single" w:color="000000" w:sz="12" w:space="0"/>
              <w:right w:val="nil"/>
            </w:tcBorders>
            <w:shd w:val="clear" w:color="auto" w:fill="FFFFFF"/>
            <w:noWrap/>
            <w:vAlign w:val="center"/>
          </w:tcPr>
          <w:p w14:paraId="40E234F1">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0.13538</w:t>
            </w:r>
          </w:p>
        </w:tc>
        <w:tc>
          <w:tcPr>
            <w:tcW w:w="0" w:type="auto"/>
            <w:tcBorders>
              <w:top w:val="nil"/>
              <w:left w:val="nil"/>
              <w:bottom w:val="single" w:color="000000" w:sz="12" w:space="0"/>
              <w:right w:val="nil"/>
            </w:tcBorders>
            <w:shd w:val="clear" w:color="auto" w:fill="FFFFFF"/>
            <w:noWrap/>
            <w:vAlign w:val="center"/>
          </w:tcPr>
          <w:p w14:paraId="23C74B39">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1.109</w:t>
            </w:r>
          </w:p>
        </w:tc>
        <w:tc>
          <w:tcPr>
            <w:tcW w:w="0" w:type="auto"/>
            <w:tcBorders>
              <w:top w:val="nil"/>
              <w:left w:val="nil"/>
              <w:bottom w:val="single" w:color="000000" w:sz="12" w:space="0"/>
              <w:right w:val="nil"/>
            </w:tcBorders>
            <w:shd w:val="clear" w:color="auto" w:fill="FFFFFF"/>
            <w:noWrap/>
            <w:vAlign w:val="center"/>
          </w:tcPr>
          <w:p w14:paraId="4F1BD314">
            <w:pPr>
              <w:jc w:val="center"/>
              <w:rPr>
                <w:rStyle w:val="15"/>
                <w:rFonts w:hint="eastAsia" w:ascii="Arial" w:hAnsi="Arial" w:eastAsia="宋体" w:cs="Arial"/>
                <w:b w:val="0"/>
                <w:color w:val="000000" w:themeColor="text1"/>
                <w:sz w:val="18"/>
                <w:szCs w:val="18"/>
                <w:lang w:val="en-US" w:eastAsia="zh-CN"/>
                <w14:textFill>
                  <w14:solidFill>
                    <w14:schemeClr w14:val="tx1"/>
                  </w14:solidFill>
                </w14:textFill>
              </w:rPr>
            </w:pPr>
            <w:r>
              <w:rPr>
                <w:rStyle w:val="15"/>
                <w:rFonts w:hint="eastAsia" w:ascii="Arial" w:hAnsi="Arial" w:eastAsia="宋体" w:cs="Arial"/>
                <w:b w:val="0"/>
                <w:color w:val="000000" w:themeColor="text1"/>
                <w:sz w:val="18"/>
                <w:szCs w:val="18"/>
                <w:lang w:val="en-US" w:eastAsia="zh-CN"/>
                <w14:textFill>
                  <w14:solidFill>
                    <w14:schemeClr w14:val="tx1"/>
                  </w14:solidFill>
                </w14:textFill>
              </w:rPr>
              <w:t>0.8438</w:t>
            </w:r>
          </w:p>
        </w:tc>
      </w:tr>
    </w:tbl>
    <w:p w14:paraId="000C431D">
      <w:pPr>
        <w:spacing w:line="300" w:lineRule="atLeast"/>
        <w:rPr>
          <w:rFonts w:ascii="Arial" w:hAnsi="Arial" w:eastAsia="宋体" w:cs="Arial"/>
          <w:i/>
          <w:iCs/>
          <w:color w:val="000000" w:themeColor="text1"/>
          <w:sz w:val="20"/>
          <w:szCs w:val="20"/>
          <w14:textFill>
            <w14:solidFill>
              <w14:schemeClr w14:val="tx1"/>
            </w14:solidFill>
          </w14:textFill>
        </w:rPr>
      </w:pPr>
    </w:p>
    <w:p w14:paraId="09389D22">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drawing>
          <wp:inline distT="0" distB="0" distL="0" distR="0">
            <wp:extent cx="4190365" cy="2354580"/>
            <wp:effectExtent l="0" t="0" r="635" b="0"/>
            <wp:docPr id="12197611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61131" name="Picture 1" descr="A screenshot of a graph&#10;&#10;AI-generated content may be incorrect."/>
                    <pic:cNvPicPr>
                      <a:picLocks noChangeAspect="1"/>
                    </pic:cNvPicPr>
                  </pic:nvPicPr>
                  <pic:blipFill>
                    <a:blip r:embed="rId6"/>
                    <a:stretch>
                      <a:fillRect/>
                    </a:stretch>
                  </pic:blipFill>
                  <pic:spPr>
                    <a:xfrm>
                      <a:off x="0" y="0"/>
                      <a:ext cx="4210751" cy="2366298"/>
                    </a:xfrm>
                    <a:prstGeom prst="rect">
                      <a:avLst/>
                    </a:prstGeom>
                  </pic:spPr>
                </pic:pic>
              </a:graphicData>
            </a:graphic>
          </wp:inline>
        </w:drawing>
      </w:r>
    </w:p>
    <w:p w14:paraId="7C0B802B">
      <w:pPr>
        <w:spacing w:line="300" w:lineRule="atLeast"/>
        <w:rPr>
          <w:rFonts w:hint="eastAsia" w:ascii="Arial" w:hAnsi="Arial" w:cs="Arial"/>
          <w:i/>
          <w:iCs/>
          <w:color w:val="000000" w:themeColor="text1"/>
          <w:sz w:val="20"/>
          <w:szCs w:val="20"/>
          <w14:textFill>
            <w14:solidFill>
              <w14:schemeClr w14:val="tx1"/>
            </w14:solidFill>
          </w14:textFill>
        </w:rPr>
      </w:pPr>
    </w:p>
    <w:p w14:paraId="2C1625A8">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4) The main feature of the Kriging technique is also an error prediction, in comparison to the other interpolation methods, such as the IDW, for instance. I would like to see the errors of the proposed model in comparison to those of its competitors.</w:t>
      </w:r>
    </w:p>
    <w:p w14:paraId="0D91662E">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7C1E8899">
      <w:pPr>
        <w:spacing w:line="300" w:lineRule="atLeast"/>
        <w:rPr>
          <w:rFonts w:ascii="Arial" w:hAnsi="Arial" w:cs="Arial"/>
          <w:i/>
          <w:iCs/>
          <w:color w:val="000000" w:themeColor="text1"/>
          <w:sz w:val="20"/>
          <w:szCs w:val="20"/>
          <w14:textFill>
            <w14:solidFill>
              <w14:schemeClr w14:val="tx1"/>
            </w14:solidFill>
          </w14:textFill>
        </w:rPr>
      </w:pPr>
    </w:p>
    <w:p w14:paraId="61CB0B08">
      <w:pPr>
        <w:spacing w:line="300" w:lineRule="atLeast"/>
        <w:rPr>
          <w:rFonts w:hint="eastAsia" w:ascii="Arial" w:hAnsi="Arial" w:eastAsia="宋体" w:cs="Arial"/>
          <w:i/>
          <w:iCs/>
          <w:color w:val="000000" w:themeColor="text1"/>
          <w:sz w:val="20"/>
          <w:szCs w:val="20"/>
          <w:highlight w:val="yellow"/>
          <w:lang w:val="en-US" w:eastAsia="zh-CN"/>
          <w14:textFill>
            <w14:solidFill>
              <w14:schemeClr w14:val="tx1"/>
            </w14:solidFill>
          </w14:textFill>
        </w:rPr>
      </w:pPr>
      <w:r>
        <w:rPr>
          <w:rFonts w:hint="eastAsia" w:ascii="Arial" w:hAnsi="Arial" w:eastAsia="宋体" w:cs="Arial"/>
          <w:i/>
          <w:iCs/>
          <w:color w:val="000000" w:themeColor="text1"/>
          <w:sz w:val="20"/>
          <w:szCs w:val="20"/>
          <w:highlight w:val="yellow"/>
          <w:lang w:val="en-US" w:eastAsia="zh-CN"/>
          <w14:textFill>
            <w14:solidFill>
              <w14:schemeClr w14:val="tx1"/>
            </w14:solidFill>
          </w14:textFill>
        </w:rPr>
        <w:t>error prediction</w:t>
      </w:r>
      <w:r>
        <w:rPr>
          <w:rFonts w:hint="eastAsia" w:ascii="Arial" w:hAnsi="Arial" w:eastAsia="宋体" w:cs="Arial"/>
          <w:i/>
          <w:iCs/>
          <w:color w:val="000000" w:themeColor="text1"/>
          <w:sz w:val="20"/>
          <w:szCs w:val="20"/>
          <w:highlight w:val="yellow"/>
          <w:lang w:val="en-US" w:eastAsia="zh-CN"/>
          <w14:textFill>
            <w14:solidFill>
              <w14:schemeClr w14:val="tx1"/>
            </w14:solidFill>
          </w14:textFill>
        </w:rPr>
        <w:t>是由 gstat包krige()函数 在求解克里金方程组时直接计算提取得到的克里金预测方差（pred.krig$var1.var ），其数值完全由已拟合的半变异函数模型以及样点的空间配置决定，而非通过与观测值比较事后计算得到。</w:t>
      </w:r>
    </w:p>
    <w:p w14:paraId="4159D90B">
      <w:pPr>
        <w:spacing w:line="300" w:lineRule="atLeast"/>
        <w:rPr>
          <w:rFonts w:hint="eastAsia" w:ascii="Arial" w:hAnsi="Arial" w:cs="Arial"/>
          <w:i/>
          <w:iCs/>
          <w:color w:val="000000" w:themeColor="text1"/>
          <w:sz w:val="20"/>
          <w:szCs w:val="20"/>
          <w14:textFill>
            <w14:solidFill>
              <w14:schemeClr w14:val="tx1"/>
            </w14:solidFill>
          </w14:textFill>
        </w:rPr>
      </w:pPr>
    </w:p>
    <w:p w14:paraId="2B1217DC">
      <w:pPr>
        <w:spacing w:line="300" w:lineRule="atLeast"/>
        <w:rPr>
          <w:rFonts w:ascii="Arial" w:hAnsi="Arial" w:cs="Arial"/>
          <w:i/>
          <w:iCs/>
          <w:color w:val="000000" w:themeColor="text1"/>
          <w:sz w:val="20"/>
          <w:szCs w:val="20"/>
          <w14:textFill>
            <w14:solidFill>
              <w14:schemeClr w14:val="tx1"/>
            </w14:solidFill>
          </w14:textFill>
        </w:rPr>
      </w:pPr>
    </w:p>
    <w:p w14:paraId="1C1B30FD">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drawing>
          <wp:inline distT="0" distB="0" distL="0" distR="0">
            <wp:extent cx="5943600" cy="3333750"/>
            <wp:effectExtent l="0" t="0" r="0" b="6350"/>
            <wp:docPr id="21287446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4468" name="Picture 1" descr="A graph of different colored bars&#10;&#10;AI-generated content may be incorrect."/>
                    <pic:cNvPicPr>
                      <a:picLocks noChangeAspect="1"/>
                    </pic:cNvPicPr>
                  </pic:nvPicPr>
                  <pic:blipFill>
                    <a:blip r:embed="rId7"/>
                    <a:stretch>
                      <a:fillRect/>
                    </a:stretch>
                  </pic:blipFill>
                  <pic:spPr>
                    <a:xfrm>
                      <a:off x="0" y="0"/>
                      <a:ext cx="5943600" cy="3333750"/>
                    </a:xfrm>
                    <a:prstGeom prst="rect">
                      <a:avLst/>
                    </a:prstGeom>
                  </pic:spPr>
                </pic:pic>
              </a:graphicData>
            </a:graphic>
          </wp:inline>
        </w:drawing>
      </w:r>
    </w:p>
    <w:p w14:paraId="2CE74B15">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drawing>
          <wp:inline distT="0" distB="0" distL="0" distR="0">
            <wp:extent cx="3237865" cy="2666365"/>
            <wp:effectExtent l="0" t="0" r="635" b="635"/>
            <wp:docPr id="1664992062" name="Picture 2" descr="A group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2062" name="Picture 2" descr="A group of colore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7251" cy="2674125"/>
                    </a:xfrm>
                    <a:prstGeom prst="rect">
                      <a:avLst/>
                    </a:prstGeom>
                  </pic:spPr>
                </pic:pic>
              </a:graphicData>
            </a:graphic>
          </wp:inline>
        </w:drawing>
      </w:r>
    </w:p>
    <w:p w14:paraId="6A4DC8EE">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p>
    <w:p w14:paraId="6D89E585">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t>5) In Figure 6, the authors show the superiority of the proposed model in relation to R2, but it was the worst when RMSE and MAE were used. Is there some explanation for that? What is the impact? Based on Figure 5, the prediction of FFRK looks better. Is it possible to add the prediction of OK and UK, for comparison purposes?</w:t>
      </w:r>
    </w:p>
    <w:p w14:paraId="188C2354">
      <w:pPr>
        <w:spacing w:line="300" w:lineRule="atLeast"/>
        <w:rPr>
          <w:rFonts w:ascii="Arial" w:hAnsi="Arial" w:cs="Arial"/>
          <w:i/>
          <w:iCs/>
          <w:color w:val="4472C4" w:themeColor="accent1"/>
          <w:sz w:val="20"/>
          <w:szCs w:val="20"/>
          <w14:textFill>
            <w14:solidFill>
              <w14:schemeClr w14:val="accent1"/>
            </w14:solidFill>
          </w14:textFill>
        </w:rPr>
      </w:pPr>
    </w:p>
    <w:p w14:paraId="12BE97CB">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78FD1168">
      <w:pPr>
        <w:spacing w:line="300" w:lineRule="atLeast"/>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14:textFill>
            <w14:solidFill>
              <w14:schemeClr w14:val="tx1"/>
            </w14:solidFill>
          </w14:textFill>
        </w:rPr>
        <w:t>解释一下。。。。</w:t>
      </w:r>
    </w:p>
    <w:p w14:paraId="26F16E85">
      <w:pPr>
        <w:spacing w:line="300" w:lineRule="atLeast"/>
        <w:rPr>
          <w:rFonts w:ascii="Arial" w:hAnsi="Arial" w:eastAsia="宋体" w:cs="Arial"/>
          <w:i/>
          <w:iCs/>
          <w:color w:val="000000" w:themeColor="text1"/>
          <w:sz w:val="20"/>
          <w:szCs w:val="20"/>
          <w14:textFill>
            <w14:solidFill>
              <w14:schemeClr w14:val="tx1"/>
            </w14:solidFill>
          </w14:textFill>
        </w:rPr>
      </w:pPr>
      <w:r>
        <w:rPr>
          <w:rFonts w:hint="eastAsia" w:ascii="Arial" w:hAnsi="Arial" w:eastAsia="宋体" w:cs="Arial"/>
          <w:i/>
          <w:iCs/>
          <w:color w:val="000000" w:themeColor="text1"/>
          <w:sz w:val="20"/>
          <w:szCs w:val="20"/>
          <w14:textFill>
            <w14:solidFill>
              <w14:schemeClr w14:val="tx1"/>
            </w14:solidFill>
          </w14:textFill>
        </w:rPr>
        <w:t>做一个OK和UK的空间图，只放在response letter就好。OK的图应该之前都做过了</w:t>
      </w:r>
    </w:p>
    <w:p w14:paraId="66830F8C">
      <w:pPr>
        <w:spacing w:line="300" w:lineRule="atLeast"/>
        <w:rPr>
          <w:rFonts w:hint="eastAsia" w:ascii="Arial" w:hAnsi="Arial" w:eastAsia="宋体" w:cs="Arial"/>
          <w:i/>
          <w:iCs/>
          <w:color w:val="000000" w:themeColor="text1"/>
          <w:sz w:val="20"/>
          <w:szCs w:val="20"/>
          <w14:textFill>
            <w14:solidFill>
              <w14:schemeClr w14:val="tx1"/>
            </w14:solidFill>
          </w14:textFill>
        </w:rPr>
      </w:pPr>
      <w:r>
        <w:rPr>
          <w:rFonts w:hint="eastAsia" w:ascii="Arial" w:hAnsi="Arial" w:eastAsia="宋体" w:cs="Arial"/>
          <w:i/>
          <w:iCs/>
          <w:color w:val="000000" w:themeColor="text1"/>
          <w:sz w:val="20"/>
          <w:szCs w:val="20"/>
          <w:highlight w:val="yellow"/>
          <w14:textFill>
            <w14:solidFill>
              <w14:schemeClr w14:val="tx1"/>
            </w14:solidFill>
          </w14:textFill>
        </w:rPr>
        <w:t>做出图</w:t>
      </w:r>
    </w:p>
    <w:p w14:paraId="7FD1748E">
      <w:pPr>
        <w:spacing w:line="300" w:lineRule="atLeast"/>
        <w:rPr>
          <w:rFonts w:ascii="Arial" w:hAnsi="Arial" w:cs="Arial"/>
          <w:i/>
          <w:iCs/>
          <w:color w:val="4472C4" w:themeColor="accent1"/>
          <w:sz w:val="20"/>
          <w:szCs w:val="20"/>
          <w14:textFill>
            <w14:solidFill>
              <w14:schemeClr w14:val="accent1"/>
            </w14:solidFill>
          </w14:textFill>
        </w:rPr>
      </w:pPr>
    </w:p>
    <w:p w14:paraId="712B7F2A">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6) It is not clear how the dimensions FSVD and FGOS were calculated from the example. Is it possible to give more details?</w:t>
      </w:r>
    </w:p>
    <w:p w14:paraId="4DC1256C">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05C59115">
      <w:pPr>
        <w:spacing w:line="300" w:lineRule="atLeast"/>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highlight w:val="yellow"/>
          <w14:textFill>
            <w14:solidFill>
              <w14:schemeClr w14:val="tx1"/>
            </w14:solidFill>
          </w14:textFill>
        </w:rPr>
        <w:t>解释一下。。。。</w:t>
      </w:r>
    </w:p>
    <w:p w14:paraId="3DD70D78">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drawing>
          <wp:inline distT="0" distB="0" distL="0" distR="0">
            <wp:extent cx="5943600" cy="2188210"/>
            <wp:effectExtent l="0" t="0" r="0" b="0"/>
            <wp:docPr id="1018213334" name="Picture 1" descr="Diagram of a diagram of a distribution of a distribution of a local heterogene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3334" name="Picture 1" descr="Diagram of a diagram of a distribution of a distribution of a local heterogeneity&#10;&#10;AI-generated content may be incorrect."/>
                    <pic:cNvPicPr>
                      <a:picLocks noChangeAspect="1"/>
                    </pic:cNvPicPr>
                  </pic:nvPicPr>
                  <pic:blipFill>
                    <a:blip r:embed="rId9"/>
                    <a:stretch>
                      <a:fillRect/>
                    </a:stretch>
                  </pic:blipFill>
                  <pic:spPr>
                    <a:xfrm>
                      <a:off x="0" y="0"/>
                      <a:ext cx="5943600" cy="2188210"/>
                    </a:xfrm>
                    <a:prstGeom prst="rect">
                      <a:avLst/>
                    </a:prstGeom>
                  </pic:spPr>
                </pic:pic>
              </a:graphicData>
            </a:graphic>
          </wp:inline>
        </w:drawing>
      </w:r>
    </w:p>
    <w:p w14:paraId="220B2D0F">
      <w:pPr>
        <w:spacing w:line="300" w:lineRule="atLeast"/>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7) From Section 2, apparently, the prediction of the spatial features was a simple task. But during the case study, the authors said that they have used machine learning techniques for that: See page 13, "For the target variable, we computed its three-dimensional geofeatures, including dependence, heterogeneity, and similarity. Subsequently, we selected four types of machine learn</w:t>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 xml:space="preserve">ing models—linear model (LM), decision tree (DT), random forest (RF), and support vector machine (SVM)—to predict the trend of the target variable. After obtaining the residuals by comparing the predicted trend with observations, we applied ordinary kriging for spatial interpolation of the residuals. Finally, the predicted trend and interpolated residuals were combined to produce the prediction." </w:t>
      </w:r>
      <w:r>
        <w:rPr>
          <w:rFonts w:ascii="Arial" w:hAnsi="Arial" w:cs="Arial"/>
          <w:i/>
          <w:iCs/>
          <w:color w:val="4472C4" w:themeColor="accent1"/>
          <w:sz w:val="20"/>
          <w:szCs w:val="20"/>
          <w:highlight w:val="yellow"/>
          <w14:textFill>
            <w14:solidFill>
              <w14:schemeClr w14:val="accent1"/>
            </w14:solidFill>
          </w14:textFill>
        </w:rPr>
        <w:t>Why? Or did I misunderstand? For me, the inclusion of this step increases the complexity of the prediction. Have the authors checked for overfitting?</w:t>
      </w:r>
    </w:p>
    <w:p w14:paraId="3C01D981">
      <w:pPr>
        <w:spacing w:line="300" w:lineRule="atLeast"/>
        <w:rPr>
          <w:rFonts w:ascii="Arial" w:hAnsi="Arial" w:cs="Arial"/>
          <w:color w:val="4472C4" w:themeColor="accent1"/>
          <w:sz w:val="20"/>
          <w:szCs w:val="20"/>
          <w14:textFill>
            <w14:solidFill>
              <w14:schemeClr w14:val="accent1"/>
            </w14:solidFill>
          </w14:textFill>
        </w:rPr>
      </w:pPr>
    </w:p>
    <w:p w14:paraId="7F9AD1D4">
      <w:pPr>
        <w:spacing w:line="300" w:lineRule="atLeast"/>
        <w:rPr>
          <w:rFonts w:ascii="Arial" w:hAnsi="Arial" w:cs="Arial"/>
          <w:i/>
          <w:iCs/>
          <w:color w:val="000000" w:themeColor="text1"/>
          <w:sz w:val="20"/>
          <w:szCs w:val="20"/>
          <w:highlight w:val="yellow"/>
          <w14:textFill>
            <w14:solidFill>
              <w14:schemeClr w14:val="tx1"/>
            </w14:solidFill>
          </w14:textFill>
        </w:rPr>
      </w:pPr>
      <w:r>
        <w:rPr>
          <w:rFonts w:ascii="Arial" w:hAnsi="Arial" w:cs="Arial"/>
          <w:i/>
          <w:iCs/>
          <w:color w:val="4472C4" w:themeColor="accent1"/>
          <w:sz w:val="21"/>
          <w:szCs w:val="21"/>
          <w14:textFill>
            <w14:solidFill>
              <w14:schemeClr w14:val="accent1"/>
            </w14:solidFill>
          </w14:textFill>
        </w:rPr>
        <w:t> </w:t>
      </w:r>
      <w:r>
        <w:rPr>
          <w:rFonts w:ascii="Arial" w:hAnsi="Arial" w:cs="Arial"/>
          <w:i/>
          <w:iCs/>
          <w:color w:val="000000" w:themeColor="text1"/>
          <w:sz w:val="20"/>
          <w:szCs w:val="20"/>
          <w:highlight w:val="yellow"/>
          <w14:textFill>
            <w14:solidFill>
              <w14:schemeClr w14:val="tx1"/>
            </w14:solidFill>
          </w14:textFill>
        </w:rPr>
        <w:t xml:space="preserve">Response: </w:t>
      </w:r>
    </w:p>
    <w:p w14:paraId="7170BD9B">
      <w:pPr>
        <w:spacing w:line="300" w:lineRule="atLeast"/>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highlight w:val="yellow"/>
          <w14:textFill>
            <w14:solidFill>
              <w14:schemeClr w14:val="tx1"/>
            </w14:solidFill>
          </w14:textFill>
        </w:rPr>
        <w:t>回归kriging</w:t>
      </w:r>
    </w:p>
    <w:p w14:paraId="6B132FD5">
      <w:pPr>
        <w:spacing w:line="300" w:lineRule="atLeast"/>
        <w:rPr>
          <w:rFonts w:ascii="Arial" w:hAnsi="Arial" w:eastAsia="宋体" w:cs="Arial"/>
          <w:i/>
          <w:iCs/>
          <w:color w:val="000000" w:themeColor="text1"/>
          <w:sz w:val="20"/>
          <w:szCs w:val="20"/>
          <w14:textFill>
            <w14:solidFill>
              <w14:schemeClr w14:val="tx1"/>
            </w14:solidFill>
          </w14:textFill>
        </w:rPr>
      </w:pPr>
    </w:p>
    <w:p w14:paraId="704CC88B">
      <w:pPr>
        <w:spacing w:line="300" w:lineRule="atLeast"/>
        <w:rPr>
          <w:rFonts w:ascii="Arial" w:hAnsi="Arial" w:eastAsia="宋体" w:cs="Arial"/>
          <w:i/>
          <w:iCs/>
          <w:color w:val="000000" w:themeColor="text1"/>
          <w:sz w:val="20"/>
          <w:szCs w:val="20"/>
          <w14:textFill>
            <w14:solidFill>
              <w14:schemeClr w14:val="tx1"/>
            </w14:solidFill>
          </w14:textFill>
        </w:rPr>
      </w:pPr>
    </w:p>
    <w:p w14:paraId="21CC67CD">
      <w:pPr>
        <w:spacing w:line="300" w:lineRule="atLeast"/>
        <w:rPr>
          <w:rFonts w:ascii="Arial" w:hAnsi="Arial" w:cs="Arial"/>
          <w:color w:val="4472C4" w:themeColor="accent1"/>
          <w:sz w:val="21"/>
          <w:szCs w:val="21"/>
          <w14:textFill>
            <w14:solidFill>
              <w14:schemeClr w14:val="accent1"/>
            </w14:solidFill>
          </w14:textFill>
        </w:rPr>
      </w:pPr>
    </w:p>
    <w:p w14:paraId="39B6E4A9">
      <w:pPr>
        <w:spacing w:line="300" w:lineRule="atLeast"/>
        <w:rPr>
          <w:rFonts w:ascii="Arial" w:hAnsi="Arial" w:cs="Arial"/>
          <w:color w:val="4472C4" w:themeColor="accent1"/>
          <w:sz w:val="23"/>
          <w:szCs w:val="23"/>
          <w14:textFill>
            <w14:solidFill>
              <w14:schemeClr w14:val="accent1"/>
            </w14:solidFill>
          </w14:textFill>
        </w:rPr>
      </w:pPr>
      <w:r>
        <w:rPr>
          <w:rFonts w:ascii="Arial" w:hAnsi="Arial" w:cs="Arial"/>
          <w:b/>
          <w:bCs/>
          <w:i/>
          <w:iCs/>
          <w:color w:val="4472C4" w:themeColor="accent1"/>
          <w:sz w:val="23"/>
          <w:szCs w:val="23"/>
          <w14:textFill>
            <w14:solidFill>
              <w14:schemeClr w14:val="accent1"/>
            </w14:solidFill>
          </w14:textFill>
        </w:rPr>
        <w:t>Reviewer 2 Comments to the Author</w:t>
      </w:r>
    </w:p>
    <w:p w14:paraId="386F0249">
      <w:pPr>
        <w:spacing w:line="300" w:lineRule="atLeast"/>
        <w:rPr>
          <w:rFonts w:ascii="Arial" w:hAnsi="Arial" w:cs="Arial"/>
          <w:color w:val="4472C4" w:themeColor="accent1"/>
          <w:sz w:val="21"/>
          <w:szCs w:val="21"/>
          <w14:textFill>
            <w14:solidFill>
              <w14:schemeClr w14:val="accent1"/>
            </w14:solidFill>
          </w14:textFill>
        </w:rPr>
      </w:pPr>
      <w:r>
        <w:rPr>
          <w:rFonts w:ascii="Arial" w:hAnsi="Arial" w:cs="Arial"/>
          <w:i/>
          <w:iCs/>
          <w:color w:val="4472C4" w:themeColor="accent1"/>
          <w:sz w:val="21"/>
          <w:szCs w:val="21"/>
          <w14:textFill>
            <w14:solidFill>
              <w14:schemeClr w14:val="accent1"/>
            </w14:solidFill>
          </w14:textFill>
        </w:rPr>
        <w:t> </w:t>
      </w:r>
    </w:p>
    <w:p w14:paraId="129BB838">
      <w:pPr>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t>This paper introduces a "feature</w:t>
      </w:r>
      <w:r>
        <w:rPr>
          <w:rFonts w:ascii="Arial" w:hAnsi="Arial" w:cs="Arial"/>
          <w:i/>
          <w:iCs/>
          <w:color w:val="4472C4" w:themeColor="accent1"/>
          <w:sz w:val="20"/>
          <w:szCs w:val="20"/>
          <w14:textFill>
            <w14:solidFill>
              <w14:schemeClr w14:val="accent1"/>
            </w14:solidFill>
          </w14:textFill>
        </w:rPr>
        <w:noBreakHyphen/>
      </w:r>
      <w:r>
        <w:rPr>
          <w:rFonts w:ascii="Arial" w:hAnsi="Arial" w:cs="Arial"/>
          <w:i/>
          <w:iCs/>
          <w:color w:val="4472C4" w:themeColor="accent1"/>
          <w:sz w:val="20"/>
          <w:szCs w:val="20"/>
          <w14:textFill>
            <w14:solidFill>
              <w14:schemeClr w14:val="accent1"/>
            </w14:solidFill>
          </w14:textFill>
        </w:rPr>
        <w:t>free" variant of regression kriging that aims to sidestep explicit covariate engineering by learning relationships directly from spatial data. The idea is appealing and relevant to Geographical Analysis. However, in its current form, the manuscript has several issues that prevent publication.</w:t>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 xml:space="preserve">1. The term "feature-free" is misleading and doesn't make much sense in the context of regression kriging, which inherently relies on covariates (features) to model spatial variation. The method manually extracts features from spatial coordinates (e.g., distances, number of neighbors), and further discussion about the relationship to </w:t>
      </w:r>
      <w:r>
        <w:rPr>
          <w:rFonts w:ascii="Arial" w:hAnsi="Arial" w:cs="Arial"/>
          <w:i/>
          <w:iCs/>
          <w:color w:val="4472C4" w:themeColor="accent1"/>
          <w:sz w:val="20"/>
          <w:szCs w:val="20"/>
          <w:highlight w:val="yellow"/>
          <w14:textFill>
            <w14:solidFill>
              <w14:schemeClr w14:val="accent1"/>
            </w14:solidFill>
          </w14:textFill>
        </w:rPr>
        <w:t>deep kernel learning</w:t>
      </w:r>
      <w:r>
        <w:rPr>
          <w:rFonts w:ascii="Arial" w:hAnsi="Arial" w:cs="Arial"/>
          <w:i/>
          <w:iCs/>
          <w:color w:val="4472C4" w:themeColor="accent1"/>
          <w:sz w:val="20"/>
          <w:szCs w:val="20"/>
          <w14:textFill>
            <w14:solidFill>
              <w14:schemeClr w14:val="accent1"/>
            </w14:solidFill>
          </w14:textFill>
        </w:rPr>
        <w:t>, which uses neural networks to learn features from raw inputs, is needed.</w:t>
      </w:r>
    </w:p>
    <w:p w14:paraId="6CD42E8C">
      <w:pPr>
        <w:rPr>
          <w:rFonts w:ascii="Arial" w:hAnsi="Arial" w:cs="Arial"/>
          <w:i/>
          <w:iCs/>
          <w:color w:val="4472C4" w:themeColor="accent1"/>
          <w:sz w:val="20"/>
          <w:szCs w:val="20"/>
          <w14:textFill>
            <w14:solidFill>
              <w14:schemeClr w14:val="accent1"/>
            </w14:solidFill>
          </w14:textFill>
        </w:rPr>
      </w:pPr>
    </w:p>
    <w:p w14:paraId="42033A8F">
      <w:pPr>
        <w:rPr>
          <w:rFonts w:ascii="Arial" w:hAnsi="Arial" w:cs="Arial"/>
          <w:color w:val="000000" w:themeColor="text1"/>
          <w:sz w:val="20"/>
          <w:szCs w:val="20"/>
          <w14:textFill>
            <w14:solidFill>
              <w14:schemeClr w14:val="tx1"/>
            </w14:solidFill>
          </w14:textFill>
        </w:rPr>
      </w:pPr>
    </w:p>
    <w:p w14:paraId="622712A7">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Response:</w:t>
      </w:r>
    </w:p>
    <w:p w14:paraId="713BCAD0">
      <w:pPr>
        <w:rPr>
          <w:rFonts w:ascii="Arial" w:hAnsi="Arial" w:cs="Arial"/>
          <w:color w:val="000000" w:themeColor="text1"/>
          <w:sz w:val="20"/>
          <w:szCs w:val="20"/>
          <w14:textFill>
            <w14:solidFill>
              <w14:schemeClr w14:val="tx1"/>
            </w14:solidFill>
          </w14:textFill>
        </w:rPr>
      </w:pPr>
    </w:p>
    <w:p w14:paraId="028C9C6F">
      <w:pPr>
        <w:rPr>
          <w:rFonts w:ascii="Arial" w:hAnsi="Arial" w:cs="Arial"/>
          <w:i/>
          <w:iCs/>
          <w:color w:val="4472C4" w:themeColor="accent1"/>
          <w:sz w:val="20"/>
          <w:szCs w:val="20"/>
          <w14:textFill>
            <w14:solidFill>
              <w14:schemeClr w14:val="accent1"/>
            </w14:solidFill>
          </w14:textFill>
        </w:rPr>
      </w:pPr>
      <w:r>
        <w:rPr>
          <w:rFonts w:hint="eastAsia" w:ascii="宋体" w:hAnsi="宋体" w:eastAsia="宋体" w:cs="宋体"/>
          <w:color w:val="000000" w:themeColor="text1"/>
          <w:sz w:val="20"/>
          <w:szCs w:val="20"/>
          <w14:textFill>
            <w14:solidFill>
              <w14:schemeClr w14:val="tx1"/>
            </w14:solidFill>
          </w14:textFill>
        </w:rPr>
        <w:t>感谢您的意见。我们确实认为FFRK有误导性。我们修改为了covariate free regression kriging (CFRK)</w:t>
      </w:r>
      <w:r>
        <w:rPr>
          <w:rFonts w:hint="eastAsia" w:ascii="Arial" w:hAnsi="Arial" w:cs="Arial"/>
          <w:i/>
          <w:iCs/>
          <w:color w:val="4472C4" w:themeColor="accent1"/>
          <w:sz w:val="20"/>
          <w:szCs w:val="20"/>
          <w14:textFill>
            <w14:solidFill>
              <w14:schemeClr w14:val="accent1"/>
            </w14:solidFill>
          </w14:textFill>
        </w:rPr>
        <w:br w:type="textWrapping"/>
      </w:r>
    </w:p>
    <w:p w14:paraId="250358F6">
      <w:pPr>
        <w:rPr>
          <w:rFonts w:ascii="Arial" w:hAnsi="Arial" w:cs="Arial"/>
          <w:i/>
          <w:iCs/>
          <w:color w:val="4472C4" w:themeColor="accent1"/>
          <w:sz w:val="20"/>
          <w:szCs w:val="20"/>
          <w14:textFill>
            <w14:solidFill>
              <w14:schemeClr w14:val="accent1"/>
            </w14:solidFill>
          </w14:textFill>
        </w:rPr>
      </w:pPr>
      <w:r>
        <w:rPr>
          <w:rFonts w:ascii="Arial" w:hAnsi="Arial" w:cs="Arial"/>
          <w:i/>
          <w:iCs/>
          <w:color w:val="4472C4" w:themeColor="accent1"/>
          <w:sz w:val="20"/>
          <w:szCs w:val="20"/>
          <w14:textFill>
            <w14:solidFill>
              <w14:schemeClr w14:val="accent1"/>
            </w14:solidFill>
          </w14:textFill>
        </w:rPr>
        <w:br w:type="textWrapping"/>
      </w:r>
      <w:r>
        <w:rPr>
          <w:rFonts w:ascii="Arial" w:hAnsi="Arial" w:cs="Arial"/>
          <w:i/>
          <w:iCs/>
          <w:color w:val="4472C4" w:themeColor="accent1"/>
          <w:sz w:val="20"/>
          <w:szCs w:val="20"/>
          <w14:textFill>
            <w14:solidFill>
              <w14:schemeClr w14:val="accent1"/>
            </w14:solidFill>
          </w14:textFill>
        </w:rPr>
        <w:t>2. Code and data should be provided to ensure reproducibility</w:t>
      </w:r>
    </w:p>
    <w:p w14:paraId="02AACB29">
      <w:pPr>
        <w:rPr>
          <w:rFonts w:ascii="Arial" w:hAnsi="Arial" w:cs="Arial"/>
          <w:color w:val="4472C4" w:themeColor="accent1"/>
          <w14:textFill>
            <w14:solidFill>
              <w14:schemeClr w14:val="accent1"/>
            </w14:solidFill>
          </w14:textFill>
        </w:rPr>
      </w:pPr>
    </w:p>
    <w:p w14:paraId="341B0AFB">
      <w:pPr>
        <w:spacing w:line="300" w:lineRule="atLeast"/>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Response: </w:t>
      </w:r>
    </w:p>
    <w:p w14:paraId="0C810CAA">
      <w:pPr>
        <w:spacing w:line="300" w:lineRule="atLeast"/>
        <w:rPr>
          <w:rFonts w:ascii="Arial" w:hAnsi="Arial" w:eastAsia="宋体" w:cs="Arial"/>
          <w:i/>
          <w:iCs/>
          <w:color w:val="000000" w:themeColor="text1"/>
          <w:sz w:val="20"/>
          <w:szCs w:val="20"/>
          <w14:textFill>
            <w14:solidFill>
              <w14:schemeClr w14:val="tx1"/>
            </w14:solidFill>
          </w14:textFill>
        </w:rPr>
      </w:pPr>
      <w:r>
        <w:rPr>
          <w:rFonts w:ascii="Arial" w:hAnsi="Arial" w:eastAsia="宋体" w:cs="Arial"/>
          <w:i/>
          <w:iCs/>
          <w:color w:val="000000" w:themeColor="text1"/>
          <w:sz w:val="20"/>
          <w:szCs w:val="20"/>
          <w14:textFill>
            <w14:solidFill>
              <w14:schemeClr w14:val="tx1"/>
            </w14:solidFill>
          </w14:textFill>
        </w:rPr>
        <w:t>做成一个</w:t>
      </w:r>
      <w:r>
        <w:rPr>
          <w:rFonts w:ascii="Arial" w:hAnsi="Arial" w:eastAsia="宋体" w:cs="Arial"/>
          <w:i/>
          <w:iCs/>
          <w:color w:val="000000" w:themeColor="text1"/>
          <w:sz w:val="20"/>
          <w:szCs w:val="20"/>
          <w:highlight w:val="yellow"/>
          <w14:textFill>
            <w14:solidFill>
              <w14:schemeClr w14:val="tx1"/>
            </w14:solidFill>
          </w14:textFill>
        </w:rPr>
        <w:t>python package</w:t>
      </w:r>
    </w:p>
    <w:p w14:paraId="1E3B4905">
      <w:pPr>
        <w:rPr>
          <w:rFonts w:ascii="Arial" w:hAnsi="Arial" w:cs="Arial"/>
          <w:color w:val="4472C4" w:themeColor="accent1"/>
          <w14:textFill>
            <w14:solidFill>
              <w14:schemeClr w14:val="accent1"/>
            </w14:solidFill>
          </w14:textFill>
        </w:rPr>
      </w:pPr>
    </w:p>
    <w:sectPr>
      <w:type w:val="continuous"/>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KaTeX_Math">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A5A62"/>
    <w:multiLevelType w:val="multilevel"/>
    <w:tmpl w:val="0C2A5A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8669E8"/>
    <w:multiLevelType w:val="multilevel"/>
    <w:tmpl w:val="2F8669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34"/>
    <w:rsid w:val="000301E0"/>
    <w:rsid w:val="000500C6"/>
    <w:rsid w:val="00073097"/>
    <w:rsid w:val="000760D9"/>
    <w:rsid w:val="000A025B"/>
    <w:rsid w:val="000E787F"/>
    <w:rsid w:val="001470E0"/>
    <w:rsid w:val="00185518"/>
    <w:rsid w:val="00196BC2"/>
    <w:rsid w:val="001B27B8"/>
    <w:rsid w:val="001B6302"/>
    <w:rsid w:val="001C4953"/>
    <w:rsid w:val="001D601D"/>
    <w:rsid w:val="001F2F16"/>
    <w:rsid w:val="00205AA0"/>
    <w:rsid w:val="002109B9"/>
    <w:rsid w:val="00261526"/>
    <w:rsid w:val="00264671"/>
    <w:rsid w:val="002A02A9"/>
    <w:rsid w:val="002C4208"/>
    <w:rsid w:val="002F1D72"/>
    <w:rsid w:val="003225F9"/>
    <w:rsid w:val="00323D38"/>
    <w:rsid w:val="003415C5"/>
    <w:rsid w:val="003550B7"/>
    <w:rsid w:val="00357D97"/>
    <w:rsid w:val="00373E48"/>
    <w:rsid w:val="00396642"/>
    <w:rsid w:val="003A0A10"/>
    <w:rsid w:val="003C280A"/>
    <w:rsid w:val="003D3DFF"/>
    <w:rsid w:val="003F2A08"/>
    <w:rsid w:val="00402694"/>
    <w:rsid w:val="00412151"/>
    <w:rsid w:val="004701DA"/>
    <w:rsid w:val="0049324F"/>
    <w:rsid w:val="004B06E1"/>
    <w:rsid w:val="004E32AB"/>
    <w:rsid w:val="004F41DE"/>
    <w:rsid w:val="00550739"/>
    <w:rsid w:val="00564DCC"/>
    <w:rsid w:val="005B1E0C"/>
    <w:rsid w:val="005C6AF7"/>
    <w:rsid w:val="006012A5"/>
    <w:rsid w:val="00606A73"/>
    <w:rsid w:val="00624ACC"/>
    <w:rsid w:val="00631BB5"/>
    <w:rsid w:val="00672BF3"/>
    <w:rsid w:val="006D288F"/>
    <w:rsid w:val="00730C1C"/>
    <w:rsid w:val="00744B21"/>
    <w:rsid w:val="00780C34"/>
    <w:rsid w:val="00782CD9"/>
    <w:rsid w:val="00790CF6"/>
    <w:rsid w:val="007925C3"/>
    <w:rsid w:val="007A45E0"/>
    <w:rsid w:val="007A49AF"/>
    <w:rsid w:val="007C202E"/>
    <w:rsid w:val="007C7BF7"/>
    <w:rsid w:val="007D5CC5"/>
    <w:rsid w:val="007F7980"/>
    <w:rsid w:val="008314E8"/>
    <w:rsid w:val="00850C02"/>
    <w:rsid w:val="008705F4"/>
    <w:rsid w:val="00874BDA"/>
    <w:rsid w:val="008806FC"/>
    <w:rsid w:val="00887BA4"/>
    <w:rsid w:val="008E3FE8"/>
    <w:rsid w:val="008F69A2"/>
    <w:rsid w:val="00911B0E"/>
    <w:rsid w:val="00992A0C"/>
    <w:rsid w:val="009A6218"/>
    <w:rsid w:val="009C2A97"/>
    <w:rsid w:val="009C535A"/>
    <w:rsid w:val="009C5D9D"/>
    <w:rsid w:val="009D297A"/>
    <w:rsid w:val="00A12D03"/>
    <w:rsid w:val="00A804DA"/>
    <w:rsid w:val="00A845DE"/>
    <w:rsid w:val="00A92711"/>
    <w:rsid w:val="00AD15C7"/>
    <w:rsid w:val="00AE1BB7"/>
    <w:rsid w:val="00AF1AD1"/>
    <w:rsid w:val="00B41116"/>
    <w:rsid w:val="00C17094"/>
    <w:rsid w:val="00C5780C"/>
    <w:rsid w:val="00C64483"/>
    <w:rsid w:val="00C70F65"/>
    <w:rsid w:val="00C94B41"/>
    <w:rsid w:val="00CB0ED8"/>
    <w:rsid w:val="00CD6835"/>
    <w:rsid w:val="00CF6FB8"/>
    <w:rsid w:val="00D07D62"/>
    <w:rsid w:val="00D162F4"/>
    <w:rsid w:val="00D34ADF"/>
    <w:rsid w:val="00D5311F"/>
    <w:rsid w:val="00D62889"/>
    <w:rsid w:val="00D66034"/>
    <w:rsid w:val="00DA0F3D"/>
    <w:rsid w:val="00DB0A6B"/>
    <w:rsid w:val="00E02CB2"/>
    <w:rsid w:val="00E6417C"/>
    <w:rsid w:val="00E7704F"/>
    <w:rsid w:val="00E87A8F"/>
    <w:rsid w:val="00E908CA"/>
    <w:rsid w:val="00EE451E"/>
    <w:rsid w:val="00F6691F"/>
    <w:rsid w:val="00FC74CF"/>
    <w:rsid w:val="00FD7E15"/>
    <w:rsid w:val="087D4D76"/>
    <w:rsid w:val="18AF5EEB"/>
    <w:rsid w:val="31F91C49"/>
    <w:rsid w:val="423433A3"/>
    <w:rsid w:val="48240939"/>
    <w:rsid w:val="4C906877"/>
    <w:rsid w:val="4CBB4107"/>
    <w:rsid w:val="4DC323E0"/>
    <w:rsid w:val="5E635D67"/>
    <w:rsid w:val="685E6B05"/>
    <w:rsid w:val="7784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zh-CN" w:eastAsia="zh-CN" w:bidi="ar-SA"/>
    </w:rPr>
  </w:style>
  <w:style w:type="paragraph" w:styleId="2">
    <w:name w:val="heading 3"/>
    <w:basedOn w:val="1"/>
    <w:link w:val="14"/>
    <w:qFormat/>
    <w:uiPriority w:val="9"/>
    <w:pPr>
      <w:spacing w:before="100" w:beforeAutospacing="1" w:after="100" w:afterAutospacing="1"/>
      <w:outlineLvl w:val="2"/>
    </w:pPr>
    <w:rPr>
      <w:b/>
      <w:bCs/>
      <w:sz w:val="27"/>
      <w:szCs w:val="27"/>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2"/>
    <w:unhideWhenUsed/>
    <w:uiPriority w:val="99"/>
    <w:pPr>
      <w:tabs>
        <w:tab w:val="center" w:pos="4320"/>
        <w:tab w:val="right" w:pos="8640"/>
      </w:tabs>
    </w:pPr>
    <w:rPr>
      <w:rFonts w:asciiTheme="minorHAnsi" w:hAnsiTheme="minorHAnsi" w:cstheme="minorBidi"/>
    </w:rPr>
  </w:style>
  <w:style w:type="paragraph" w:styleId="4">
    <w:name w:val="header"/>
    <w:basedOn w:val="1"/>
    <w:link w:val="11"/>
    <w:unhideWhenUsed/>
    <w:uiPriority w:val="99"/>
    <w:pPr>
      <w:tabs>
        <w:tab w:val="center" w:pos="4320"/>
        <w:tab w:val="right" w:pos="8640"/>
      </w:tabs>
    </w:pPr>
    <w:rPr>
      <w:rFonts w:asciiTheme="minorHAnsi" w:hAnsiTheme="minorHAnsi" w:cstheme="minorBidi"/>
    </w:rPr>
  </w:style>
  <w:style w:type="paragraph" w:styleId="5">
    <w:name w:val="Normal (Web)"/>
    <w:basedOn w:val="1"/>
    <w:semiHidden/>
    <w:unhideWhenUsed/>
    <w:uiPriority w:val="99"/>
    <w:pPr>
      <w:spacing w:before="100" w:beforeAutospacing="1" w:after="100" w:afterAutospacing="1"/>
    </w:p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TML Code"/>
    <w:basedOn w:val="7"/>
    <w:semiHidden/>
    <w:unhideWhenUsed/>
    <w:uiPriority w:val="99"/>
    <w:rPr>
      <w:rFonts w:ascii="Courier New" w:hAnsi="Courier New"/>
      <w:sz w:val="20"/>
    </w:rPr>
  </w:style>
  <w:style w:type="character" w:customStyle="1" w:styleId="11">
    <w:name w:val="Header Char"/>
    <w:basedOn w:val="7"/>
    <w:link w:val="4"/>
    <w:uiPriority w:val="99"/>
  </w:style>
  <w:style w:type="character" w:customStyle="1" w:styleId="12">
    <w:name w:val="Footer Char"/>
    <w:basedOn w:val="7"/>
    <w:link w:val="3"/>
    <w:uiPriority w:val="99"/>
  </w:style>
  <w:style w:type="paragraph" w:styleId="13">
    <w:name w:val="List Paragraph"/>
    <w:basedOn w:val="1"/>
    <w:qFormat/>
    <w:uiPriority w:val="34"/>
    <w:pPr>
      <w:ind w:left="720"/>
      <w:contextualSpacing/>
    </w:pPr>
  </w:style>
  <w:style w:type="character" w:customStyle="1" w:styleId="14">
    <w:name w:val="Heading 3 Char"/>
    <w:basedOn w:val="7"/>
    <w:link w:val="2"/>
    <w:uiPriority w:val="9"/>
    <w:rPr>
      <w:rFonts w:ascii="Times New Roman" w:hAnsi="Times New Roman" w:eastAsia="Times New Roman" w:cs="Times New Roman"/>
      <w:b/>
      <w:bCs/>
      <w:sz w:val="27"/>
      <w:szCs w:val="27"/>
      <w:lang w:val="zh-CN"/>
    </w:rPr>
  </w:style>
  <w:style w:type="character" w:customStyle="1" w:styleId="15">
    <w:name w:val="ng-star-inserted"/>
    <w:basedOn w:val="7"/>
    <w:uiPriority w:val="0"/>
  </w:style>
  <w:style w:type="character" w:customStyle="1" w:styleId="16">
    <w:name w:val="mord"/>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921</Words>
  <Characters>5438</Characters>
  <Lines>67</Lines>
  <Paragraphs>18</Paragraphs>
  <TotalTime>67</TotalTime>
  <ScaleCrop>false</ScaleCrop>
  <LinksUpToDate>false</LinksUpToDate>
  <CharactersWithSpaces>6322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2025-11-07T02:45:00Z</dcterms:created>
  <dc:creator>Peng Luo</dc:creator>
  <cp:lastModifiedBy>Yilong Wu</cp:lastModifiedBy>
  <dcterms:modified xsi:type="dcterms:W3CDTF">2026-01-10T02:56:34Z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eyJoZGlkIjoiODM1ZTZkMjFmODUxNmRmZGQ2OTQzMDk5YjQwMGI0ZWQiLCJ1c2VySWQiOiIzMjcyMDkyNzIifQ==</vt:lpwstr>
  </property>
  <property fmtid="{D5CDD505-2E9C-101B-9397-08002B2CF9AE}" pid="3" name="KSOProductBuildVer">
    <vt:lpwstr>2052-12.1.0.24034</vt:lpwstr>
  </property>
  <property fmtid="{D5CDD505-2E9C-101B-9397-08002B2CF9AE}" pid="4" name="ICV">
    <vt:lpwstr>280FF2BA52124FC5B55EF61DEA736D8E_13</vt:lpwstr>
  </property>
</Properties>
</file>