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35F30" w14:textId="6E19EFDE" w:rsidR="009C13E7" w:rsidRDefault="00887C91" w:rsidP="009C13E7">
      <w:pPr>
        <w:pStyle w:val="Heading1"/>
        <w:rPr>
          <w:rFonts w:eastAsia="Times New Roman"/>
        </w:rPr>
      </w:pPr>
      <w:r>
        <w:rPr>
          <w:rFonts w:eastAsia="Times New Roman"/>
        </w:rPr>
        <w:t>Regional Sea Level Rise</w:t>
      </w:r>
      <w:r w:rsidR="009C13E7">
        <w:rPr>
          <w:rFonts w:eastAsia="Times New Roman"/>
        </w:rPr>
        <w:t xml:space="preserve"> Module</w:t>
      </w:r>
    </w:p>
    <w:p w14:paraId="13478CC8" w14:textId="6A898647" w:rsidR="009C13E7" w:rsidRDefault="00887C91" w:rsidP="009C13E7">
      <w:pPr>
        <w:rPr>
          <w:rFonts w:eastAsia="Times New Roman"/>
        </w:rPr>
      </w:pPr>
      <w:r>
        <w:rPr>
          <w:rFonts w:eastAsia="Times New Roman"/>
        </w:rPr>
        <w:t>Lea Fortmann</w:t>
      </w:r>
      <w:r w:rsidR="009C13E7">
        <w:rPr>
          <w:rFonts w:eastAsia="Times New Roman"/>
        </w:rPr>
        <w:t xml:space="preserve">, </w:t>
      </w:r>
      <w:r>
        <w:rPr>
          <w:rFonts w:eastAsia="Times New Roman"/>
        </w:rPr>
        <w:t>University of Puget Sound</w:t>
      </w:r>
    </w:p>
    <w:p w14:paraId="3AF08E0D" w14:textId="65D77FA4" w:rsidR="009C13E7" w:rsidRPr="00FA73A9" w:rsidRDefault="009C13E7" w:rsidP="009C13E7">
      <w:pPr>
        <w:pStyle w:val="Heading4"/>
        <w:rPr>
          <w:rFonts w:eastAsia="Times New Roman"/>
          <w:sz w:val="36"/>
          <w:szCs w:val="36"/>
        </w:rPr>
      </w:pPr>
      <w:r w:rsidRPr="00FA73A9">
        <w:rPr>
          <w:rFonts w:eastAsia="Times New Roman"/>
          <w:sz w:val="36"/>
          <w:szCs w:val="36"/>
        </w:rPr>
        <w:t>Summary</w:t>
      </w:r>
    </w:p>
    <w:p w14:paraId="17489657" w14:textId="6792E28B" w:rsidR="0018080C" w:rsidRPr="00E1462E" w:rsidRDefault="00E1462E" w:rsidP="009C13E7">
      <w:pPr>
        <w:pStyle w:val="Heading4"/>
        <w:rPr>
          <w:rFonts w:eastAsia="Times New Roman"/>
          <w:b w:val="0"/>
          <w:bCs w:val="0"/>
        </w:rPr>
      </w:pPr>
      <w:r w:rsidRPr="00E1462E">
        <w:rPr>
          <w:rFonts w:eastAsia="Times New Roman"/>
          <w:b w:val="0"/>
          <w:bCs w:val="0"/>
        </w:rPr>
        <w:t>Th</w:t>
      </w:r>
      <w:r>
        <w:rPr>
          <w:rFonts w:eastAsia="Times New Roman"/>
          <w:b w:val="0"/>
          <w:bCs w:val="0"/>
        </w:rPr>
        <w:t>is</w:t>
      </w:r>
      <w:r w:rsidRPr="00E1462E">
        <w:rPr>
          <w:rFonts w:eastAsia="Times New Roman"/>
          <w:b w:val="0"/>
          <w:bCs w:val="0"/>
        </w:rPr>
        <w:t xml:space="preserve"> module is framed from the perspective of a city planner trying to determine how much to spend </w:t>
      </w:r>
      <w:r w:rsidR="00FA73A9">
        <w:rPr>
          <w:rFonts w:eastAsia="Times New Roman"/>
          <w:b w:val="0"/>
          <w:bCs w:val="0"/>
        </w:rPr>
        <w:t>on a local seawall</w:t>
      </w:r>
      <w:r w:rsidRPr="00E1462E">
        <w:rPr>
          <w:rFonts w:eastAsia="Times New Roman"/>
          <w:b w:val="0"/>
          <w:bCs w:val="0"/>
        </w:rPr>
        <w:t xml:space="preserve"> given different scenarios of sea level rise and the associated storm surge and higher flood levels that come with it</w:t>
      </w:r>
      <w:r w:rsidR="00FA73A9">
        <w:rPr>
          <w:rFonts w:eastAsia="Times New Roman"/>
          <w:b w:val="0"/>
          <w:bCs w:val="0"/>
        </w:rPr>
        <w:t xml:space="preserve"> due to polar ice melt</w:t>
      </w:r>
      <w:r w:rsidRPr="00E1462E">
        <w:rPr>
          <w:rFonts w:eastAsia="Times New Roman"/>
          <w:b w:val="0"/>
          <w:bCs w:val="0"/>
        </w:rPr>
        <w:t>.</w:t>
      </w:r>
      <w:r>
        <w:rPr>
          <w:rFonts w:eastAsia="Times New Roman"/>
          <w:b w:val="0"/>
          <w:bCs w:val="0"/>
        </w:rPr>
        <w:t xml:space="preserve"> Students refer to Climate Central’s Risk Finder website for data on the probability of flooding under four different sea level rise scenarios. Combined with data on the number of homes affected under different flood levels, students calculate and graph marginal expected damage curves to make a recommendation on building a seawall based on marginal benefits and costs. </w:t>
      </w:r>
    </w:p>
    <w:p w14:paraId="744936EE" w14:textId="77777777" w:rsidR="009C13E7" w:rsidRPr="00FA73A9" w:rsidRDefault="009C13E7" w:rsidP="009C13E7">
      <w:pPr>
        <w:pStyle w:val="Heading2"/>
        <w:rPr>
          <w:rFonts w:eastAsia="Times New Roman"/>
        </w:rPr>
      </w:pPr>
      <w:r w:rsidRPr="00FA73A9">
        <w:rPr>
          <w:rFonts w:eastAsia="Times New Roman"/>
        </w:rPr>
        <w:t>Learning Goals</w:t>
      </w:r>
    </w:p>
    <w:p w14:paraId="332BB9D7" w14:textId="77777777" w:rsidR="00E1462E" w:rsidRPr="007A481C" w:rsidRDefault="00E1462E" w:rsidP="00E1462E">
      <w:pPr>
        <w:pStyle w:val="NormalWeb"/>
        <w:numPr>
          <w:ilvl w:val="0"/>
          <w:numId w:val="1"/>
        </w:numPr>
        <w:spacing w:before="0" w:beforeAutospacing="0" w:after="0" w:afterAutospacing="0" w:line="276" w:lineRule="auto"/>
      </w:pPr>
      <w:r w:rsidRPr="007A481C">
        <w:t xml:space="preserve">Increase climate literacy by connecting </w:t>
      </w:r>
      <w:r>
        <w:t>sea l</w:t>
      </w:r>
      <w:r w:rsidRPr="007A481C">
        <w:t xml:space="preserve">evel rise due to ice melt in the polar regions to the local </w:t>
      </w:r>
      <w:r>
        <w:t>impacts of higher flood levels.</w:t>
      </w:r>
    </w:p>
    <w:p w14:paraId="2F854AD8" w14:textId="77777777" w:rsidR="00E1462E" w:rsidRPr="007A481C" w:rsidRDefault="00E1462E" w:rsidP="00E1462E">
      <w:pPr>
        <w:pStyle w:val="NormalWeb"/>
        <w:numPr>
          <w:ilvl w:val="0"/>
          <w:numId w:val="1"/>
        </w:numPr>
        <w:spacing w:before="0" w:beforeAutospacing="0" w:after="0" w:afterAutospacing="0" w:line="276" w:lineRule="auto"/>
      </w:pPr>
      <w:r w:rsidRPr="007A481C">
        <w:t xml:space="preserve">Learn tools to apply to decision-making given uncertainty in </w:t>
      </w:r>
      <w:r>
        <w:t>sea l</w:t>
      </w:r>
      <w:r w:rsidRPr="007A481C">
        <w:t>evel rise and flooding.</w:t>
      </w:r>
    </w:p>
    <w:p w14:paraId="73F9046D" w14:textId="5AF88D00" w:rsidR="00E1462E" w:rsidRPr="00E1462E" w:rsidRDefault="00E1462E" w:rsidP="00E1462E">
      <w:pPr>
        <w:pStyle w:val="NormalWeb"/>
        <w:numPr>
          <w:ilvl w:val="0"/>
          <w:numId w:val="1"/>
        </w:numPr>
        <w:spacing w:before="0" w:beforeAutospacing="0" w:after="0" w:afterAutospacing="0" w:line="276" w:lineRule="auto"/>
      </w:pPr>
      <w:r w:rsidRPr="007A481C">
        <w:t>Gain computational skills through calculating and graphing marginal damage curves in Excel.</w:t>
      </w:r>
    </w:p>
    <w:p w14:paraId="4C0C51DB" w14:textId="50EC0B1D" w:rsidR="004875B8" w:rsidRPr="00FA73A9" w:rsidRDefault="009C13E7" w:rsidP="004875B8">
      <w:pPr>
        <w:pStyle w:val="Heading2"/>
        <w:rPr>
          <w:rFonts w:eastAsia="Times New Roman"/>
        </w:rPr>
      </w:pPr>
      <w:r w:rsidRPr="00FA73A9">
        <w:rPr>
          <w:rFonts w:eastAsia="Times New Roman"/>
        </w:rPr>
        <w:t>Context for Us</w:t>
      </w:r>
      <w:r w:rsidR="004875B8" w:rsidRPr="00FA73A9">
        <w:rPr>
          <w:rFonts w:eastAsia="Times New Roman"/>
        </w:rPr>
        <w:t>e</w:t>
      </w:r>
    </w:p>
    <w:p w14:paraId="691F7CC8" w14:textId="39058D40" w:rsidR="00542649" w:rsidRDefault="004875B8" w:rsidP="009C13E7">
      <w:pPr>
        <w:pStyle w:val="Heading2"/>
        <w:rPr>
          <w:rFonts w:eastAsia="Times New Roman"/>
          <w:b w:val="0"/>
          <w:bCs w:val="0"/>
          <w:sz w:val="24"/>
          <w:szCs w:val="24"/>
        </w:rPr>
      </w:pPr>
      <w:r w:rsidRPr="004875B8">
        <w:rPr>
          <w:rFonts w:eastAsia="Times New Roman"/>
          <w:b w:val="0"/>
          <w:bCs w:val="0"/>
          <w:sz w:val="24"/>
          <w:szCs w:val="24"/>
        </w:rPr>
        <w:t xml:space="preserve">This module has been used in </w:t>
      </w:r>
      <w:r>
        <w:rPr>
          <w:rFonts w:eastAsia="Times New Roman"/>
          <w:b w:val="0"/>
          <w:bCs w:val="0"/>
          <w:sz w:val="24"/>
          <w:szCs w:val="24"/>
        </w:rPr>
        <w:t xml:space="preserve">a variety of undergraduate </w:t>
      </w:r>
      <w:r w:rsidR="00542649">
        <w:rPr>
          <w:rFonts w:eastAsia="Times New Roman"/>
          <w:b w:val="0"/>
          <w:bCs w:val="0"/>
          <w:sz w:val="24"/>
          <w:szCs w:val="24"/>
        </w:rPr>
        <w:t xml:space="preserve">intermediate and introductory </w:t>
      </w:r>
      <w:r>
        <w:rPr>
          <w:rFonts w:eastAsia="Times New Roman"/>
          <w:b w:val="0"/>
          <w:bCs w:val="0"/>
          <w:sz w:val="24"/>
          <w:szCs w:val="24"/>
        </w:rPr>
        <w:t>economics</w:t>
      </w:r>
      <w:r w:rsidR="00542649">
        <w:rPr>
          <w:rFonts w:eastAsia="Times New Roman"/>
          <w:b w:val="0"/>
          <w:bCs w:val="0"/>
          <w:sz w:val="24"/>
          <w:szCs w:val="24"/>
        </w:rPr>
        <w:t xml:space="preserve"> courses</w:t>
      </w:r>
      <w:r>
        <w:rPr>
          <w:rFonts w:eastAsia="Times New Roman"/>
          <w:b w:val="0"/>
          <w:bCs w:val="0"/>
          <w:sz w:val="24"/>
          <w:szCs w:val="24"/>
        </w:rPr>
        <w:t xml:space="preserve"> and </w:t>
      </w:r>
      <w:r w:rsidR="00542649">
        <w:rPr>
          <w:rFonts w:eastAsia="Times New Roman"/>
          <w:b w:val="0"/>
          <w:bCs w:val="0"/>
          <w:sz w:val="24"/>
          <w:szCs w:val="24"/>
        </w:rPr>
        <w:t xml:space="preserve">an upper level </w:t>
      </w:r>
      <w:r>
        <w:rPr>
          <w:rFonts w:eastAsia="Times New Roman"/>
          <w:b w:val="0"/>
          <w:bCs w:val="0"/>
          <w:sz w:val="24"/>
          <w:szCs w:val="24"/>
        </w:rPr>
        <w:t>interdisciplinary course</w:t>
      </w:r>
      <w:r w:rsidR="00FA73A9">
        <w:rPr>
          <w:rFonts w:eastAsia="Times New Roman"/>
          <w:b w:val="0"/>
          <w:bCs w:val="0"/>
          <w:sz w:val="24"/>
          <w:szCs w:val="24"/>
        </w:rPr>
        <w:t xml:space="preserve"> with no economics pre-requisite.</w:t>
      </w:r>
      <w:r>
        <w:rPr>
          <w:rFonts w:eastAsia="Times New Roman"/>
          <w:b w:val="0"/>
          <w:bCs w:val="0"/>
          <w:sz w:val="24"/>
          <w:szCs w:val="24"/>
        </w:rPr>
        <w:t xml:space="preserve"> </w:t>
      </w:r>
      <w:r w:rsidR="00FA73A9">
        <w:rPr>
          <w:rFonts w:eastAsia="Times New Roman"/>
          <w:b w:val="0"/>
          <w:bCs w:val="0"/>
          <w:sz w:val="24"/>
          <w:szCs w:val="24"/>
        </w:rPr>
        <w:t>Cl</w:t>
      </w:r>
      <w:r>
        <w:rPr>
          <w:rFonts w:eastAsia="Times New Roman"/>
          <w:b w:val="0"/>
          <w:bCs w:val="0"/>
          <w:sz w:val="24"/>
          <w:szCs w:val="24"/>
        </w:rPr>
        <w:t>ass sizes rang</w:t>
      </w:r>
      <w:r w:rsidR="00FA73A9">
        <w:rPr>
          <w:rFonts w:eastAsia="Times New Roman"/>
          <w:b w:val="0"/>
          <w:bCs w:val="0"/>
          <w:sz w:val="24"/>
          <w:szCs w:val="24"/>
        </w:rPr>
        <w:t>ed</w:t>
      </w:r>
      <w:r>
        <w:rPr>
          <w:rFonts w:eastAsia="Times New Roman"/>
          <w:b w:val="0"/>
          <w:bCs w:val="0"/>
          <w:sz w:val="24"/>
          <w:szCs w:val="24"/>
        </w:rPr>
        <w:t xml:space="preserve"> from 12 to 40 students. The module uses both PowerPoint slides to guide the students through the analysis and an Excel spreadsheet for making calculations and graphing. Some basic economic concepts are required (e.g. marginal benefits and marginal costs) but these concepts could be covered in class prior to starting the module. </w:t>
      </w:r>
    </w:p>
    <w:p w14:paraId="7C5D4BF1" w14:textId="1EBD0BFF" w:rsidR="004875B8" w:rsidRPr="004875B8" w:rsidRDefault="004875B8" w:rsidP="009C13E7">
      <w:pPr>
        <w:pStyle w:val="Heading2"/>
        <w:rPr>
          <w:rFonts w:eastAsia="Times New Roman"/>
          <w:b w:val="0"/>
          <w:bCs w:val="0"/>
          <w:sz w:val="24"/>
          <w:szCs w:val="24"/>
        </w:rPr>
      </w:pPr>
      <w:r>
        <w:rPr>
          <w:rFonts w:eastAsia="Times New Roman"/>
          <w:b w:val="0"/>
          <w:bCs w:val="0"/>
          <w:sz w:val="24"/>
          <w:szCs w:val="24"/>
        </w:rPr>
        <w:t>The module contains three parts that can be completed in class over two shorter class</w:t>
      </w:r>
      <w:r w:rsidR="00AB41B9">
        <w:rPr>
          <w:rFonts w:eastAsia="Times New Roman"/>
          <w:b w:val="0"/>
          <w:bCs w:val="0"/>
          <w:sz w:val="24"/>
          <w:szCs w:val="24"/>
        </w:rPr>
        <w:t xml:space="preserve"> periods</w:t>
      </w:r>
      <w:r>
        <w:rPr>
          <w:rFonts w:eastAsia="Times New Roman"/>
          <w:b w:val="0"/>
          <w:bCs w:val="0"/>
          <w:sz w:val="24"/>
          <w:szCs w:val="24"/>
        </w:rPr>
        <w:t xml:space="preserve"> (</w:t>
      </w:r>
      <w:r w:rsidR="00AB41B9">
        <w:rPr>
          <w:rFonts w:eastAsia="Times New Roman"/>
          <w:b w:val="0"/>
          <w:bCs w:val="0"/>
          <w:sz w:val="24"/>
          <w:szCs w:val="24"/>
        </w:rPr>
        <w:t>~</w:t>
      </w:r>
      <w:r>
        <w:rPr>
          <w:rFonts w:eastAsia="Times New Roman"/>
          <w:b w:val="0"/>
          <w:bCs w:val="0"/>
          <w:sz w:val="24"/>
          <w:szCs w:val="24"/>
        </w:rPr>
        <w:t>50 min) or one longer class (</w:t>
      </w:r>
      <w:r w:rsidR="00AB41B9">
        <w:rPr>
          <w:rFonts w:eastAsia="Times New Roman"/>
          <w:b w:val="0"/>
          <w:bCs w:val="0"/>
          <w:sz w:val="24"/>
          <w:szCs w:val="24"/>
        </w:rPr>
        <w:t>~</w:t>
      </w:r>
      <w:r>
        <w:rPr>
          <w:rFonts w:eastAsia="Times New Roman"/>
          <w:b w:val="0"/>
          <w:bCs w:val="0"/>
          <w:sz w:val="24"/>
          <w:szCs w:val="24"/>
        </w:rPr>
        <w:t>80</w:t>
      </w:r>
      <w:r w:rsidR="00AB41B9">
        <w:rPr>
          <w:rFonts w:eastAsia="Times New Roman"/>
          <w:b w:val="0"/>
          <w:bCs w:val="0"/>
          <w:sz w:val="24"/>
          <w:szCs w:val="24"/>
        </w:rPr>
        <w:t>+</w:t>
      </w:r>
      <w:r>
        <w:rPr>
          <w:rFonts w:eastAsia="Times New Roman"/>
          <w:b w:val="0"/>
          <w:bCs w:val="0"/>
          <w:sz w:val="24"/>
          <w:szCs w:val="24"/>
        </w:rPr>
        <w:t xml:space="preserve"> min)</w:t>
      </w:r>
      <w:r w:rsidR="00542649">
        <w:rPr>
          <w:rFonts w:eastAsia="Times New Roman"/>
          <w:b w:val="0"/>
          <w:bCs w:val="0"/>
          <w:sz w:val="24"/>
          <w:szCs w:val="24"/>
        </w:rPr>
        <w:t>. The module can also be shortened at the instructor</w:t>
      </w:r>
      <w:r w:rsidR="00AB41B9">
        <w:rPr>
          <w:rFonts w:eastAsia="Times New Roman"/>
          <w:b w:val="0"/>
          <w:bCs w:val="0"/>
          <w:sz w:val="24"/>
          <w:szCs w:val="24"/>
        </w:rPr>
        <w:t>’</w:t>
      </w:r>
      <w:r w:rsidR="00542649">
        <w:rPr>
          <w:rFonts w:eastAsia="Times New Roman"/>
          <w:b w:val="0"/>
          <w:bCs w:val="0"/>
          <w:sz w:val="24"/>
          <w:szCs w:val="24"/>
        </w:rPr>
        <w:t xml:space="preserve">s discretion. Students also complete the introduction to the module before coming to class, which takes about 1 hour. </w:t>
      </w:r>
    </w:p>
    <w:p w14:paraId="405729CA" w14:textId="77777777" w:rsidR="00ED0C98" w:rsidRDefault="00ED0C98" w:rsidP="009C13E7">
      <w:pPr>
        <w:pStyle w:val="Heading2"/>
        <w:rPr>
          <w:rFonts w:eastAsia="Times New Roman"/>
        </w:rPr>
      </w:pPr>
    </w:p>
    <w:p w14:paraId="550810A3" w14:textId="77777777" w:rsidR="00ED0C98" w:rsidRDefault="00ED0C98" w:rsidP="009C13E7">
      <w:pPr>
        <w:pStyle w:val="Heading2"/>
        <w:rPr>
          <w:rFonts w:eastAsia="Times New Roman"/>
        </w:rPr>
      </w:pPr>
    </w:p>
    <w:p w14:paraId="13BA8A5F" w14:textId="77777777" w:rsidR="00AB41B9" w:rsidRDefault="009C13E7" w:rsidP="00AB41B9">
      <w:pPr>
        <w:pStyle w:val="Heading2"/>
        <w:rPr>
          <w:rFonts w:eastAsia="Times New Roman"/>
        </w:rPr>
      </w:pPr>
      <w:r>
        <w:rPr>
          <w:rFonts w:eastAsia="Times New Roman"/>
        </w:rPr>
        <w:lastRenderedPageBreak/>
        <w:t>Description and Teaching Materials</w:t>
      </w:r>
    </w:p>
    <w:p w14:paraId="00F9A525" w14:textId="77777777" w:rsidR="00ED0C98" w:rsidRPr="00957A59" w:rsidRDefault="00ED0C98" w:rsidP="009C13E7">
      <w:pPr>
        <w:rPr>
          <w:rFonts w:eastAsia="Times New Roman"/>
          <w:color w:val="FF0000"/>
        </w:rPr>
      </w:pPr>
    </w:p>
    <w:p w14:paraId="4872A9D4" w14:textId="3F2FBAD8" w:rsidR="00ED0C98" w:rsidRPr="00957A59" w:rsidRDefault="00957A59" w:rsidP="009C13E7">
      <w:pPr>
        <w:rPr>
          <w:rFonts w:eastAsia="Times New Roman"/>
          <w:color w:val="FF0000"/>
        </w:rPr>
      </w:pPr>
      <w:r>
        <w:rPr>
          <w:rFonts w:eastAsia="Times New Roman"/>
          <w:color w:val="FF0000"/>
        </w:rPr>
        <w:t>Outline of Module</w:t>
      </w:r>
    </w:p>
    <w:p w14:paraId="0E7BE50C" w14:textId="77777777" w:rsidR="00957A59" w:rsidRDefault="00957A59" w:rsidP="009C13E7">
      <w:pPr>
        <w:rPr>
          <w:rFonts w:eastAsia="Times New Roman"/>
        </w:rPr>
      </w:pPr>
    </w:p>
    <w:p w14:paraId="7603745D" w14:textId="714C1288" w:rsidR="00ED0C98" w:rsidRPr="00ED0C98" w:rsidRDefault="00ED0C98" w:rsidP="00ED0C98">
      <w:pPr>
        <w:pStyle w:val="ListParagraph"/>
        <w:numPr>
          <w:ilvl w:val="0"/>
          <w:numId w:val="2"/>
        </w:numPr>
        <w:rPr>
          <w:rFonts w:eastAsia="Times New Roman"/>
        </w:rPr>
      </w:pPr>
      <w:r w:rsidRPr="00ED0C98">
        <w:rPr>
          <w:rFonts w:eastAsia="Times New Roman"/>
        </w:rPr>
        <w:t xml:space="preserve">Introduction in PowerPoint – students complete this before class </w:t>
      </w:r>
    </w:p>
    <w:p w14:paraId="0E6FE219" w14:textId="2868D59A" w:rsidR="00ED0C98" w:rsidRPr="00ED0C98" w:rsidRDefault="00ED0C98" w:rsidP="00ED0C98">
      <w:pPr>
        <w:pStyle w:val="ListParagraph"/>
        <w:numPr>
          <w:ilvl w:val="0"/>
          <w:numId w:val="2"/>
        </w:numPr>
        <w:rPr>
          <w:rFonts w:eastAsia="Times New Roman"/>
        </w:rPr>
      </w:pPr>
      <w:r w:rsidRPr="00ED0C98">
        <w:rPr>
          <w:rFonts w:eastAsia="Times New Roman"/>
        </w:rPr>
        <w:t>Part I: Estimating Marginal Damage Costs from Flooding</w:t>
      </w:r>
    </w:p>
    <w:p w14:paraId="2B1A89AC" w14:textId="3D0A7690" w:rsidR="00ED0C98" w:rsidRPr="00ED0C98" w:rsidRDefault="00ED0C98" w:rsidP="00ED0C98">
      <w:pPr>
        <w:pStyle w:val="ListParagraph"/>
        <w:numPr>
          <w:ilvl w:val="0"/>
          <w:numId w:val="2"/>
        </w:numPr>
        <w:rPr>
          <w:rFonts w:eastAsia="Times New Roman"/>
        </w:rPr>
      </w:pPr>
      <w:r w:rsidRPr="00ED0C98">
        <w:rPr>
          <w:rFonts w:eastAsia="Times New Roman"/>
        </w:rPr>
        <w:t>Part II: Graphing Expected Marginal Damage Curves</w:t>
      </w:r>
    </w:p>
    <w:p w14:paraId="55734974" w14:textId="251FD82C" w:rsidR="00ED0C98" w:rsidRDefault="00ED0C98" w:rsidP="00ED0C98">
      <w:pPr>
        <w:pStyle w:val="ListParagraph"/>
        <w:numPr>
          <w:ilvl w:val="0"/>
          <w:numId w:val="2"/>
        </w:numPr>
        <w:rPr>
          <w:rFonts w:eastAsia="Times New Roman"/>
        </w:rPr>
      </w:pPr>
      <w:r w:rsidRPr="00ED0C98">
        <w:rPr>
          <w:rFonts w:eastAsia="Times New Roman"/>
        </w:rPr>
        <w:t xml:space="preserve">Part III: Making Decisions Under Uncertainty </w:t>
      </w:r>
    </w:p>
    <w:p w14:paraId="51B4D272" w14:textId="6A4AE800" w:rsidR="00957A59" w:rsidRDefault="00957A59" w:rsidP="00ED0C98">
      <w:pPr>
        <w:pStyle w:val="ListParagraph"/>
        <w:numPr>
          <w:ilvl w:val="0"/>
          <w:numId w:val="2"/>
        </w:numPr>
        <w:rPr>
          <w:rFonts w:eastAsia="Times New Roman"/>
        </w:rPr>
      </w:pPr>
      <w:r>
        <w:rPr>
          <w:rFonts w:eastAsia="Times New Roman"/>
        </w:rPr>
        <w:t>Discussion Questions</w:t>
      </w:r>
    </w:p>
    <w:p w14:paraId="56B34222" w14:textId="6D1C1321" w:rsidR="00957A59" w:rsidRDefault="00957A59" w:rsidP="00ED0C98">
      <w:pPr>
        <w:pStyle w:val="ListParagraph"/>
        <w:numPr>
          <w:ilvl w:val="0"/>
          <w:numId w:val="2"/>
        </w:numPr>
        <w:rPr>
          <w:rFonts w:eastAsia="Times New Roman"/>
        </w:rPr>
      </w:pPr>
      <w:r>
        <w:rPr>
          <w:rFonts w:eastAsia="Times New Roman"/>
        </w:rPr>
        <w:t>Follow-up Assignment Prompt</w:t>
      </w:r>
    </w:p>
    <w:p w14:paraId="165F488D" w14:textId="606EF940" w:rsidR="00ED0C98" w:rsidRDefault="00ED0C98" w:rsidP="00ED0C98">
      <w:pPr>
        <w:rPr>
          <w:rFonts w:eastAsia="Times New Roman"/>
        </w:rPr>
      </w:pPr>
    </w:p>
    <w:p w14:paraId="1C5CF6A7" w14:textId="290CEA71" w:rsidR="00ED0C98" w:rsidRPr="00ED0C98" w:rsidRDefault="00ED0C98" w:rsidP="00ED0C98">
      <w:pPr>
        <w:rPr>
          <w:rFonts w:eastAsia="Times New Roman"/>
          <w:color w:val="FF0000"/>
        </w:rPr>
      </w:pPr>
      <w:r w:rsidRPr="00ED0C98">
        <w:rPr>
          <w:rFonts w:eastAsia="Times New Roman"/>
          <w:color w:val="FF0000"/>
        </w:rPr>
        <w:t>Workflow of module</w:t>
      </w:r>
    </w:p>
    <w:p w14:paraId="25F64A55" w14:textId="77777777" w:rsidR="00ED0C98" w:rsidRDefault="00ED0C98" w:rsidP="009C13E7">
      <w:pPr>
        <w:rPr>
          <w:rFonts w:eastAsia="Times New Roman"/>
        </w:rPr>
      </w:pPr>
    </w:p>
    <w:p w14:paraId="13255CCB" w14:textId="15CC1138" w:rsidR="00ED0C98" w:rsidRDefault="00ED0C98" w:rsidP="009C13E7">
      <w:pPr>
        <w:rPr>
          <w:rFonts w:eastAsia="Times New Roman"/>
        </w:rPr>
      </w:pPr>
      <w:r>
        <w:rPr>
          <w:rFonts w:eastAsia="Times New Roman"/>
        </w:rPr>
        <w:t xml:space="preserve">1. Assign module introduction (in PowerPoint) </w:t>
      </w:r>
      <w:r w:rsidR="00177D5E">
        <w:rPr>
          <w:rFonts w:eastAsia="Times New Roman"/>
        </w:rPr>
        <w:t>to be completed before the first day of starting the module in class, which includes an article and video on polar ice melt.</w:t>
      </w:r>
    </w:p>
    <w:p w14:paraId="75220A56" w14:textId="35F36C45" w:rsidR="00177D5E" w:rsidRDefault="00177D5E" w:rsidP="009C13E7">
      <w:pPr>
        <w:rPr>
          <w:rFonts w:eastAsia="Times New Roman"/>
        </w:rPr>
      </w:pPr>
    </w:p>
    <w:p w14:paraId="568D639D" w14:textId="78B33D5E" w:rsidR="00177D5E" w:rsidRDefault="00177D5E" w:rsidP="009C13E7">
      <w:pPr>
        <w:rPr>
          <w:rFonts w:eastAsia="Times New Roman"/>
        </w:rPr>
      </w:pPr>
      <w:r>
        <w:rPr>
          <w:rFonts w:eastAsia="Times New Roman"/>
        </w:rPr>
        <w:t xml:space="preserve">2.  Instructor gives a brief PowerPoint presentation on sea level rise scenarios given extreme polar ice melt. </w:t>
      </w:r>
    </w:p>
    <w:p w14:paraId="46088A21" w14:textId="50A7DCF8" w:rsidR="00177D5E" w:rsidRDefault="00177D5E" w:rsidP="009C13E7">
      <w:pPr>
        <w:rPr>
          <w:rFonts w:eastAsia="Times New Roman"/>
        </w:rPr>
      </w:pPr>
    </w:p>
    <w:p w14:paraId="52D4ECC9" w14:textId="7FD1504D" w:rsidR="00177D5E" w:rsidRDefault="00177D5E" w:rsidP="009C13E7">
      <w:pPr>
        <w:rPr>
          <w:rFonts w:eastAsia="Times New Roman"/>
        </w:rPr>
      </w:pPr>
      <w:r>
        <w:rPr>
          <w:rFonts w:eastAsia="Times New Roman"/>
        </w:rPr>
        <w:t>3. Students start Part I of module with Excel. Students are encouraged to work in pairs or small groups and are prom</w:t>
      </w:r>
      <w:r w:rsidR="00405634">
        <w:rPr>
          <w:rFonts w:eastAsia="Times New Roman"/>
        </w:rPr>
        <w:t>p</w:t>
      </w:r>
      <w:r>
        <w:rPr>
          <w:rFonts w:eastAsia="Times New Roman"/>
        </w:rPr>
        <w:t xml:space="preserve">ted to answer “Pause for Analysis” questions throughout the module. </w:t>
      </w:r>
    </w:p>
    <w:p w14:paraId="7F382BAB" w14:textId="28F038BB" w:rsidR="00177D5E" w:rsidRDefault="00177D5E" w:rsidP="009C13E7">
      <w:pPr>
        <w:rPr>
          <w:rFonts w:eastAsia="Times New Roman"/>
        </w:rPr>
      </w:pPr>
    </w:p>
    <w:p w14:paraId="22BD3048" w14:textId="1285FA80" w:rsidR="00177D5E" w:rsidRDefault="00177D5E" w:rsidP="009C13E7">
      <w:pPr>
        <w:rPr>
          <w:rFonts w:eastAsia="Times New Roman"/>
        </w:rPr>
      </w:pPr>
      <w:r>
        <w:rPr>
          <w:rFonts w:eastAsia="Times New Roman"/>
        </w:rPr>
        <w:t>4. Students should be able to work through Parts I and II during a 50</w:t>
      </w:r>
      <w:r w:rsidR="00405634">
        <w:rPr>
          <w:rFonts w:eastAsia="Times New Roman"/>
        </w:rPr>
        <w:t>-</w:t>
      </w:r>
      <w:r>
        <w:rPr>
          <w:rFonts w:eastAsia="Times New Roman"/>
        </w:rPr>
        <w:t xml:space="preserve">minute class (depending on Excel skills). 5 minutes before class is over, the instructor can bring the group back together and go over selected Pause for Analysis questions. </w:t>
      </w:r>
    </w:p>
    <w:p w14:paraId="38E7B639" w14:textId="2C468B9D" w:rsidR="00405634" w:rsidRDefault="00405634" w:rsidP="009C13E7">
      <w:pPr>
        <w:rPr>
          <w:rFonts w:eastAsia="Times New Roman"/>
        </w:rPr>
      </w:pPr>
    </w:p>
    <w:p w14:paraId="2966D6E2" w14:textId="66C6275C" w:rsidR="00405634" w:rsidRDefault="00405634" w:rsidP="009C13E7">
      <w:pPr>
        <w:rPr>
          <w:rFonts w:eastAsia="Times New Roman"/>
        </w:rPr>
      </w:pPr>
      <w:r>
        <w:rPr>
          <w:rFonts w:eastAsia="Times New Roman"/>
        </w:rPr>
        <w:t xml:space="preserve">5. The instructor could either assign the rest of the module to complete outside of class as homework, or </w:t>
      </w:r>
      <w:r w:rsidR="003B182C">
        <w:rPr>
          <w:rFonts w:eastAsia="Times New Roman"/>
        </w:rPr>
        <w:t>have the students complete Part III of the module with a wrap up in the first part of the following class period.</w:t>
      </w:r>
      <w:bookmarkStart w:id="0" w:name="_GoBack"/>
      <w:bookmarkEnd w:id="0"/>
      <w:r>
        <w:rPr>
          <w:rFonts w:eastAsia="Times New Roman"/>
        </w:rPr>
        <w:t xml:space="preserve"> </w:t>
      </w:r>
    </w:p>
    <w:p w14:paraId="09884EEE" w14:textId="4D48AC85" w:rsidR="00177D5E" w:rsidRDefault="00177D5E" w:rsidP="009C13E7">
      <w:pPr>
        <w:rPr>
          <w:rFonts w:eastAsia="Times New Roman"/>
        </w:rPr>
      </w:pPr>
    </w:p>
    <w:p w14:paraId="780F3CA9" w14:textId="1B4ACA6D" w:rsidR="00177D5E" w:rsidRDefault="00405634" w:rsidP="009C13E7">
      <w:pPr>
        <w:rPr>
          <w:rFonts w:eastAsia="Times New Roman"/>
        </w:rPr>
      </w:pPr>
      <w:r>
        <w:rPr>
          <w:rFonts w:eastAsia="Times New Roman"/>
        </w:rPr>
        <w:t xml:space="preserve">6. Wrap up of the module concludes with a discussion on the assumptions and limitations of the analysis and an optional memo assignment. </w:t>
      </w:r>
    </w:p>
    <w:p w14:paraId="21AC6878" w14:textId="6C82DFC7" w:rsidR="00405634" w:rsidRDefault="00405634" w:rsidP="009C13E7">
      <w:pPr>
        <w:pStyle w:val="Heading2"/>
        <w:rPr>
          <w:rFonts w:ascii="Cambria" w:eastAsia="Times New Roman" w:hAnsi="Cambria"/>
          <w:b w:val="0"/>
          <w:bCs w:val="0"/>
          <w:color w:val="FF0000"/>
          <w:sz w:val="24"/>
          <w:szCs w:val="24"/>
        </w:rPr>
      </w:pPr>
      <w:r w:rsidRPr="00405634">
        <w:rPr>
          <w:rFonts w:ascii="Cambria" w:eastAsia="Times New Roman" w:hAnsi="Cambria"/>
          <w:b w:val="0"/>
          <w:bCs w:val="0"/>
          <w:color w:val="FF0000"/>
          <w:sz w:val="24"/>
          <w:szCs w:val="24"/>
        </w:rPr>
        <w:t xml:space="preserve">Teaching Materials </w:t>
      </w:r>
    </w:p>
    <w:p w14:paraId="73CFBD37" w14:textId="249C35F8" w:rsidR="00405634" w:rsidRDefault="00405634" w:rsidP="00405634">
      <w:pPr>
        <w:pStyle w:val="Heading2"/>
        <w:numPr>
          <w:ilvl w:val="0"/>
          <w:numId w:val="4"/>
        </w:numPr>
        <w:rPr>
          <w:rFonts w:ascii="Cambria" w:eastAsia="Times New Roman" w:hAnsi="Cambria"/>
          <w:b w:val="0"/>
          <w:bCs w:val="0"/>
          <w:color w:val="000000" w:themeColor="text1"/>
          <w:sz w:val="24"/>
          <w:szCs w:val="24"/>
        </w:rPr>
      </w:pPr>
      <w:r>
        <w:rPr>
          <w:rFonts w:ascii="Cambria" w:eastAsia="Times New Roman" w:hAnsi="Cambria"/>
          <w:b w:val="0"/>
          <w:bCs w:val="0"/>
          <w:color w:val="000000" w:themeColor="text1"/>
          <w:sz w:val="24"/>
          <w:szCs w:val="24"/>
        </w:rPr>
        <w:t xml:space="preserve">Student Module in PowerPoint </w:t>
      </w:r>
    </w:p>
    <w:p w14:paraId="62E62361" w14:textId="17CF43BD" w:rsidR="00405634" w:rsidRDefault="00405634" w:rsidP="00405634">
      <w:pPr>
        <w:pStyle w:val="Heading2"/>
        <w:numPr>
          <w:ilvl w:val="0"/>
          <w:numId w:val="4"/>
        </w:numPr>
        <w:rPr>
          <w:rFonts w:ascii="Cambria" w:eastAsia="Times New Roman" w:hAnsi="Cambria"/>
          <w:b w:val="0"/>
          <w:bCs w:val="0"/>
          <w:color w:val="000000" w:themeColor="text1"/>
          <w:sz w:val="24"/>
          <w:szCs w:val="24"/>
        </w:rPr>
      </w:pPr>
      <w:r>
        <w:rPr>
          <w:rFonts w:ascii="Cambria" w:eastAsia="Times New Roman" w:hAnsi="Cambria"/>
          <w:b w:val="0"/>
          <w:bCs w:val="0"/>
          <w:color w:val="000000" w:themeColor="text1"/>
          <w:sz w:val="24"/>
          <w:szCs w:val="24"/>
        </w:rPr>
        <w:t xml:space="preserve">Student Excel spreadsheet </w:t>
      </w:r>
    </w:p>
    <w:p w14:paraId="1BEE487A" w14:textId="2225E23D" w:rsidR="00405634" w:rsidRDefault="00405634" w:rsidP="00405634">
      <w:pPr>
        <w:pStyle w:val="Heading2"/>
        <w:numPr>
          <w:ilvl w:val="0"/>
          <w:numId w:val="4"/>
        </w:numPr>
        <w:rPr>
          <w:rFonts w:ascii="Cambria" w:eastAsia="Times New Roman" w:hAnsi="Cambria"/>
          <w:b w:val="0"/>
          <w:bCs w:val="0"/>
          <w:color w:val="000000" w:themeColor="text1"/>
          <w:sz w:val="24"/>
          <w:szCs w:val="24"/>
        </w:rPr>
      </w:pPr>
      <w:r>
        <w:rPr>
          <w:rFonts w:ascii="Cambria" w:eastAsia="Times New Roman" w:hAnsi="Cambria"/>
          <w:b w:val="0"/>
          <w:bCs w:val="0"/>
          <w:color w:val="000000" w:themeColor="text1"/>
          <w:sz w:val="24"/>
          <w:szCs w:val="24"/>
        </w:rPr>
        <w:t>Instructor Excel spreadsheet Key</w:t>
      </w:r>
    </w:p>
    <w:p w14:paraId="659F1973" w14:textId="59958ED2" w:rsidR="00405634" w:rsidRDefault="00405634" w:rsidP="00405634">
      <w:pPr>
        <w:pStyle w:val="Heading2"/>
        <w:numPr>
          <w:ilvl w:val="0"/>
          <w:numId w:val="4"/>
        </w:numPr>
        <w:rPr>
          <w:rFonts w:ascii="Cambria" w:eastAsia="Times New Roman" w:hAnsi="Cambria"/>
          <w:b w:val="0"/>
          <w:bCs w:val="0"/>
          <w:color w:val="000000" w:themeColor="text1"/>
          <w:sz w:val="24"/>
          <w:szCs w:val="24"/>
        </w:rPr>
      </w:pPr>
      <w:r>
        <w:rPr>
          <w:rFonts w:ascii="Cambria" w:eastAsia="Times New Roman" w:hAnsi="Cambria"/>
          <w:b w:val="0"/>
          <w:bCs w:val="0"/>
          <w:color w:val="000000" w:themeColor="text1"/>
          <w:sz w:val="24"/>
          <w:szCs w:val="24"/>
        </w:rPr>
        <w:t>Instructor PowerPoint lecture slides</w:t>
      </w:r>
    </w:p>
    <w:p w14:paraId="22651262" w14:textId="63EF1254" w:rsidR="00405634" w:rsidRPr="00405634" w:rsidRDefault="00405634" w:rsidP="00405634">
      <w:pPr>
        <w:pStyle w:val="Heading2"/>
        <w:numPr>
          <w:ilvl w:val="0"/>
          <w:numId w:val="4"/>
        </w:numPr>
        <w:rPr>
          <w:rFonts w:ascii="Cambria" w:eastAsia="Times New Roman" w:hAnsi="Cambria"/>
          <w:b w:val="0"/>
          <w:bCs w:val="0"/>
          <w:color w:val="000000" w:themeColor="text1"/>
          <w:sz w:val="24"/>
          <w:szCs w:val="24"/>
        </w:rPr>
      </w:pPr>
      <w:r>
        <w:rPr>
          <w:rFonts w:ascii="Cambria" w:eastAsia="Times New Roman" w:hAnsi="Cambria"/>
          <w:b w:val="0"/>
          <w:bCs w:val="0"/>
          <w:color w:val="000000" w:themeColor="text1"/>
          <w:sz w:val="24"/>
          <w:szCs w:val="24"/>
        </w:rPr>
        <w:t xml:space="preserve">Instructions for tailoring the module to different coastal regions </w:t>
      </w:r>
    </w:p>
    <w:p w14:paraId="5535EAEC" w14:textId="77777777" w:rsidR="00AB41B9" w:rsidRDefault="00AB41B9" w:rsidP="00AB41B9">
      <w:pPr>
        <w:pStyle w:val="Heading2"/>
        <w:rPr>
          <w:rFonts w:eastAsia="Times New Roman"/>
        </w:rPr>
      </w:pPr>
      <w:r>
        <w:rPr>
          <w:rFonts w:eastAsia="Times New Roman"/>
        </w:rPr>
        <w:t>Teaching Notes and Tips</w:t>
      </w:r>
    </w:p>
    <w:p w14:paraId="5F89ED70" w14:textId="77777777" w:rsidR="00AB41B9" w:rsidRDefault="00AB41B9" w:rsidP="00AB41B9">
      <w:pPr>
        <w:pStyle w:val="Heading2"/>
        <w:rPr>
          <w:rFonts w:ascii="Cambria" w:eastAsia="Times New Roman" w:hAnsi="Cambria" w:cs="Calibri"/>
          <w:b w:val="0"/>
          <w:bCs w:val="0"/>
          <w:sz w:val="24"/>
          <w:szCs w:val="24"/>
        </w:rPr>
      </w:pPr>
      <w:r w:rsidRPr="00AB41B9">
        <w:rPr>
          <w:rFonts w:ascii="Cambria" w:eastAsia="Times New Roman" w:hAnsi="Cambria" w:cs="Calibri"/>
          <w:b w:val="0"/>
          <w:bCs w:val="0"/>
          <w:sz w:val="24"/>
          <w:szCs w:val="24"/>
        </w:rPr>
        <w:lastRenderedPageBreak/>
        <w:t xml:space="preserve">For more details on implementing the module in class, see the paper: </w:t>
      </w:r>
    </w:p>
    <w:p w14:paraId="4A87C24D" w14:textId="75FBF115" w:rsidR="00AB41B9" w:rsidRPr="00334A9C" w:rsidRDefault="00AB41B9" w:rsidP="00334A9C">
      <w:pPr>
        <w:pStyle w:val="Heading2"/>
        <w:rPr>
          <w:rFonts w:ascii="Cambria" w:eastAsia="Times New Roman" w:hAnsi="Cambria" w:cs="Calibri"/>
        </w:rPr>
      </w:pPr>
      <w:r w:rsidRPr="00AB41B9">
        <w:rPr>
          <w:rFonts w:ascii="Cambria" w:eastAsia="Times New Roman" w:hAnsi="Cambria" w:cs="Calibri"/>
          <w:b w:val="0"/>
          <w:bCs w:val="0"/>
          <w:sz w:val="24"/>
          <w:szCs w:val="24"/>
        </w:rPr>
        <w:t xml:space="preserve">Fortmann, L. Beaudoin, J., </w:t>
      </w:r>
      <w:proofErr w:type="spellStart"/>
      <w:r w:rsidRPr="00AB41B9">
        <w:rPr>
          <w:rFonts w:ascii="Cambria" w:eastAsia="Times New Roman" w:hAnsi="Cambria" w:cs="Calibri"/>
          <w:b w:val="0"/>
          <w:bCs w:val="0"/>
          <w:sz w:val="24"/>
          <w:szCs w:val="24"/>
        </w:rPr>
        <w:t>Rajbhandari</w:t>
      </w:r>
      <w:proofErr w:type="spellEnd"/>
      <w:r w:rsidRPr="00AB41B9">
        <w:rPr>
          <w:rFonts w:ascii="Cambria" w:eastAsia="Times New Roman" w:hAnsi="Cambria" w:cs="Calibri"/>
          <w:b w:val="0"/>
          <w:bCs w:val="0"/>
          <w:sz w:val="24"/>
          <w:szCs w:val="24"/>
        </w:rPr>
        <w:t>, I., Wright, A., Neshyba, S., and Rowe, P. (2019). Teaching Modules for Estimating Climate Change Impacts in Economics Courses using Computational Guided Inquiry</w:t>
      </w:r>
      <w:r>
        <w:rPr>
          <w:rFonts w:ascii="Cambria" w:eastAsia="Times New Roman" w:hAnsi="Cambria" w:cs="Calibri"/>
          <w:b w:val="0"/>
          <w:bCs w:val="0"/>
          <w:sz w:val="24"/>
          <w:szCs w:val="24"/>
        </w:rPr>
        <w:t xml:space="preserve">. </w:t>
      </w:r>
      <w:r w:rsidRPr="00AB41B9">
        <w:rPr>
          <w:rFonts w:ascii="Cambria" w:eastAsia="Times New Roman" w:hAnsi="Cambria" w:cs="Calibri"/>
          <w:b w:val="0"/>
          <w:bCs w:val="0"/>
          <w:i/>
          <w:iCs/>
          <w:sz w:val="24"/>
          <w:szCs w:val="24"/>
        </w:rPr>
        <w:t>Journal of Economic Education</w:t>
      </w:r>
      <w:r>
        <w:rPr>
          <w:rFonts w:ascii="Cambria" w:eastAsia="Times New Roman" w:hAnsi="Cambria" w:cs="Calibri"/>
          <w:b w:val="0"/>
          <w:bCs w:val="0"/>
          <w:sz w:val="24"/>
          <w:szCs w:val="24"/>
        </w:rPr>
        <w:t xml:space="preserve">. 51(2). </w:t>
      </w:r>
    </w:p>
    <w:p w14:paraId="10A09E93" w14:textId="1F8BA00C" w:rsidR="009C13E7" w:rsidRDefault="009C13E7" w:rsidP="009C13E7">
      <w:pPr>
        <w:pStyle w:val="Heading2"/>
        <w:rPr>
          <w:rFonts w:eastAsia="Times New Roman"/>
        </w:rPr>
      </w:pPr>
      <w:r>
        <w:rPr>
          <w:rFonts w:eastAsia="Times New Roman"/>
        </w:rPr>
        <w:t>Assessment</w:t>
      </w:r>
    </w:p>
    <w:p w14:paraId="7CF02AFD" w14:textId="3AD12F69" w:rsidR="009C13E7" w:rsidRDefault="00405634" w:rsidP="009C13E7">
      <w:pPr>
        <w:rPr>
          <w:rFonts w:eastAsia="Times New Roman"/>
        </w:rPr>
      </w:pPr>
      <w:r>
        <w:rPr>
          <w:rFonts w:eastAsia="Times New Roman"/>
        </w:rPr>
        <w:t>Assessment of the module largely takes place during class time as the instructor walks around helping students work through the module. Additionally, class discussions on the Pause for Analysis and Discussion Questions at the end of the module allow the instructor to</w:t>
      </w:r>
      <w:r w:rsidR="009D253E">
        <w:rPr>
          <w:rFonts w:eastAsia="Times New Roman"/>
        </w:rPr>
        <w:t xml:space="preserve"> gauge student learning and</w:t>
      </w:r>
      <w:r>
        <w:rPr>
          <w:rFonts w:eastAsia="Times New Roman"/>
        </w:rPr>
        <w:t xml:space="preserve"> highlight the key takeaways.</w:t>
      </w:r>
    </w:p>
    <w:p w14:paraId="58670034" w14:textId="027FB298" w:rsidR="00405634" w:rsidRDefault="00405634" w:rsidP="009C13E7">
      <w:pPr>
        <w:rPr>
          <w:rFonts w:eastAsia="Times New Roman"/>
        </w:rPr>
      </w:pPr>
    </w:p>
    <w:p w14:paraId="77F333AD" w14:textId="24DAC985" w:rsidR="00405634" w:rsidRDefault="00405634" w:rsidP="009C13E7">
      <w:pPr>
        <w:rPr>
          <w:rFonts w:eastAsia="Times New Roman"/>
        </w:rPr>
      </w:pPr>
      <w:r>
        <w:rPr>
          <w:rFonts w:eastAsia="Times New Roman"/>
        </w:rPr>
        <w:t xml:space="preserve">A follow up assignment prompt is also included, which entails the students writing a memo to a local city official that synthesizes their analysis and provides recommendations for addressing rising sea levels based on their results. </w:t>
      </w:r>
    </w:p>
    <w:p w14:paraId="24AE37F4" w14:textId="77777777" w:rsidR="009C13E7" w:rsidRDefault="009C13E7" w:rsidP="009C13E7">
      <w:pPr>
        <w:pStyle w:val="Heading2"/>
        <w:rPr>
          <w:rFonts w:eastAsia="Times New Roman"/>
        </w:rPr>
      </w:pPr>
      <w:r>
        <w:rPr>
          <w:rFonts w:eastAsia="Times New Roman"/>
        </w:rPr>
        <w:t>References and Resources</w:t>
      </w:r>
    </w:p>
    <w:p w14:paraId="5F001B9C" w14:textId="77777777" w:rsidR="009D253E" w:rsidRDefault="009D253E" w:rsidP="00405634">
      <w:pPr>
        <w:rPr>
          <w:rFonts w:eastAsia="Times New Roman"/>
        </w:rPr>
      </w:pPr>
    </w:p>
    <w:p w14:paraId="54A25DF7" w14:textId="77777777" w:rsidR="009D253E" w:rsidRDefault="009D253E" w:rsidP="009D253E">
      <w:r>
        <w:rPr>
          <w:rFonts w:eastAsia="Times New Roman"/>
        </w:rPr>
        <w:t xml:space="preserve">Climate Central. Surging Seas Risk Finder Website: </w:t>
      </w:r>
      <w:hyperlink r:id="rId5" w:history="1">
        <w:r>
          <w:rPr>
            <w:rStyle w:val="Hyperlink"/>
          </w:rPr>
          <w:t>https://riskfinder.climatecentral.org/</w:t>
        </w:r>
      </w:hyperlink>
    </w:p>
    <w:p w14:paraId="293FC8E0" w14:textId="7A3C8683" w:rsidR="009D253E" w:rsidRDefault="009D253E" w:rsidP="00405634">
      <w:pPr>
        <w:rPr>
          <w:rFonts w:eastAsia="Times New Roman"/>
        </w:rPr>
      </w:pPr>
    </w:p>
    <w:p w14:paraId="1D8B51B7" w14:textId="2230126E" w:rsidR="00405634" w:rsidRDefault="00405634" w:rsidP="00405634">
      <w:pPr>
        <w:rPr>
          <w:rFonts w:eastAsia="Times New Roman"/>
        </w:rPr>
      </w:pPr>
      <w:r w:rsidRPr="00405634">
        <w:rPr>
          <w:rFonts w:eastAsia="Times New Roman"/>
        </w:rPr>
        <w:t>Hauer, M. E., J. M. Evans, and D R. Mishra. (2016). Millions projected to be at risk from sea-level rise in the continental United States. Nature Climate Change.</w:t>
      </w:r>
    </w:p>
    <w:p w14:paraId="6F1CCB06" w14:textId="77777777" w:rsidR="00405634" w:rsidRPr="00405634" w:rsidRDefault="00405634" w:rsidP="00405634">
      <w:pPr>
        <w:rPr>
          <w:rFonts w:eastAsia="Times New Roman"/>
        </w:rPr>
      </w:pPr>
    </w:p>
    <w:p w14:paraId="04CA9760" w14:textId="3EA5A8E7" w:rsidR="00405634" w:rsidRDefault="00405634" w:rsidP="00405634">
      <w:pPr>
        <w:rPr>
          <w:rFonts w:eastAsia="Times New Roman"/>
        </w:rPr>
      </w:pPr>
      <w:r w:rsidRPr="00405634">
        <w:rPr>
          <w:rFonts w:eastAsia="Times New Roman"/>
        </w:rPr>
        <w:t xml:space="preserve">Hudson, T., Keating, K., and Pettit, A. (2015). Cost estimation for coastal protection – summary of evidence. Environmental Agency. Report –SC080039/R7 </w:t>
      </w:r>
    </w:p>
    <w:p w14:paraId="744D8C58" w14:textId="77777777" w:rsidR="00405634" w:rsidRPr="00405634" w:rsidRDefault="00405634" w:rsidP="00405634">
      <w:pPr>
        <w:rPr>
          <w:rFonts w:eastAsia="Times New Roman"/>
        </w:rPr>
      </w:pPr>
    </w:p>
    <w:p w14:paraId="6B1DF2B2" w14:textId="77777777" w:rsidR="00405634" w:rsidRPr="00405634" w:rsidRDefault="00405634" w:rsidP="00405634">
      <w:pPr>
        <w:rPr>
          <w:rFonts w:eastAsia="Times New Roman"/>
        </w:rPr>
      </w:pPr>
      <w:r w:rsidRPr="00405634">
        <w:rPr>
          <w:rFonts w:eastAsia="Times New Roman"/>
        </w:rPr>
        <w:t xml:space="preserve">IPCC (2013): Summary for Policymakers. In: Climate Change 2013: The Physical Science Basis. Contribution of Working Group I to the Fifth Assessment Report of the Intergovernmental Panel on Climate Change [Stocker, T.F., D. Qin, G.-K. Plattner, M. </w:t>
      </w:r>
      <w:proofErr w:type="spellStart"/>
      <w:r w:rsidRPr="00405634">
        <w:rPr>
          <w:rFonts w:eastAsia="Times New Roman"/>
        </w:rPr>
        <w:t>Tignor</w:t>
      </w:r>
      <w:proofErr w:type="spellEnd"/>
      <w:r w:rsidRPr="00405634">
        <w:rPr>
          <w:rFonts w:eastAsia="Times New Roman"/>
        </w:rPr>
        <w:t xml:space="preserve">, S.K. Allen, J. </w:t>
      </w:r>
      <w:proofErr w:type="spellStart"/>
      <w:r w:rsidRPr="00405634">
        <w:rPr>
          <w:rFonts w:eastAsia="Times New Roman"/>
        </w:rPr>
        <w:t>Boschung</w:t>
      </w:r>
      <w:proofErr w:type="spellEnd"/>
      <w:r w:rsidRPr="00405634">
        <w:rPr>
          <w:rFonts w:eastAsia="Times New Roman"/>
        </w:rPr>
        <w:t xml:space="preserve">, A. </w:t>
      </w:r>
      <w:proofErr w:type="spellStart"/>
      <w:r w:rsidRPr="00405634">
        <w:rPr>
          <w:rFonts w:eastAsia="Times New Roman"/>
        </w:rPr>
        <w:t>Nauels</w:t>
      </w:r>
      <w:proofErr w:type="spellEnd"/>
      <w:r w:rsidRPr="00405634">
        <w:rPr>
          <w:rFonts w:eastAsia="Times New Roman"/>
        </w:rPr>
        <w:t>, Y. Xia, V. Bex and P.M. Midgley (eds.)]. Cambridge University Press, Cambridge, United Kingdom and New York, NY, USA.</w:t>
      </w:r>
    </w:p>
    <w:p w14:paraId="57F393F9" w14:textId="77777777" w:rsidR="00405634" w:rsidRDefault="00405634" w:rsidP="00405634">
      <w:pPr>
        <w:rPr>
          <w:rFonts w:eastAsia="Times New Roman"/>
        </w:rPr>
      </w:pPr>
    </w:p>
    <w:p w14:paraId="76F49909" w14:textId="5E0DF16C" w:rsidR="00405634" w:rsidRPr="00405634" w:rsidRDefault="00405634" w:rsidP="00405634">
      <w:pPr>
        <w:rPr>
          <w:rFonts w:eastAsia="Times New Roman"/>
        </w:rPr>
      </w:pPr>
      <w:r w:rsidRPr="00405634">
        <w:rPr>
          <w:rFonts w:eastAsia="Times New Roman"/>
        </w:rPr>
        <w:t>Kopp, R. E., R.M. Horton, C.M. Little, J.X. Mitrovica, M. Oppenheimer, D.J. Rasmussen, B. Strauss, C. Tebaldi. (2014). Probabilistic 21st and 22nd century sea-level projections at a global network of tide-gauge sites. Earth's Future, 2(8), 383-406.</w:t>
      </w:r>
    </w:p>
    <w:p w14:paraId="015AD3DB" w14:textId="77777777" w:rsidR="00405634" w:rsidRDefault="00405634" w:rsidP="00405634">
      <w:pPr>
        <w:rPr>
          <w:rFonts w:eastAsia="Times New Roman"/>
        </w:rPr>
      </w:pPr>
    </w:p>
    <w:p w14:paraId="209FF092" w14:textId="3680AC32" w:rsidR="00405634" w:rsidRPr="00405634" w:rsidRDefault="00405634" w:rsidP="00405634">
      <w:pPr>
        <w:rPr>
          <w:rFonts w:eastAsia="Times New Roman"/>
        </w:rPr>
      </w:pPr>
      <w:r w:rsidRPr="00405634">
        <w:rPr>
          <w:rFonts w:eastAsia="Times New Roman"/>
        </w:rPr>
        <w:t xml:space="preserve">Murphy, J. October 14, 2015. The Nation. Retrieved from: </w:t>
      </w:r>
      <w:hyperlink r:id="rId6" w:history="1">
        <w:r w:rsidRPr="00405634">
          <w:rPr>
            <w:rStyle w:val="Hyperlink"/>
            <w:rFonts w:eastAsia="Times New Roman"/>
          </w:rPr>
          <w:t>https://www.thenation.com/article/3-years-after-hurricane-sandy-is-new-york-prepared-for-the-next-great-storm/</w:t>
        </w:r>
      </w:hyperlink>
    </w:p>
    <w:p w14:paraId="49DBEAE1" w14:textId="77777777" w:rsidR="00405634" w:rsidRDefault="00405634" w:rsidP="00405634">
      <w:pPr>
        <w:rPr>
          <w:rFonts w:eastAsia="Times New Roman"/>
        </w:rPr>
      </w:pPr>
    </w:p>
    <w:p w14:paraId="32DCE615" w14:textId="147E3C4C" w:rsidR="00405634" w:rsidRPr="00405634" w:rsidRDefault="00405634" w:rsidP="00405634">
      <w:pPr>
        <w:rPr>
          <w:rFonts w:eastAsia="Times New Roman"/>
        </w:rPr>
      </w:pPr>
      <w:r w:rsidRPr="00405634">
        <w:rPr>
          <w:rFonts w:eastAsia="Times New Roman"/>
        </w:rPr>
        <w:lastRenderedPageBreak/>
        <w:t xml:space="preserve">NOAA 2017: Sweet, W. V., Kopp, R. E., Weaver, C. P., </w:t>
      </w:r>
      <w:proofErr w:type="spellStart"/>
      <w:r w:rsidRPr="00405634">
        <w:rPr>
          <w:rFonts w:eastAsia="Times New Roman"/>
        </w:rPr>
        <w:t>Obeysekara</w:t>
      </w:r>
      <w:proofErr w:type="spellEnd"/>
      <w:r w:rsidRPr="00405634">
        <w:rPr>
          <w:rFonts w:eastAsia="Times New Roman"/>
        </w:rPr>
        <w:t xml:space="preserve">, J., Horton, R. M., </w:t>
      </w:r>
      <w:proofErr w:type="spellStart"/>
      <w:r w:rsidRPr="00405634">
        <w:rPr>
          <w:rFonts w:eastAsia="Times New Roman"/>
        </w:rPr>
        <w:t>Thieler</w:t>
      </w:r>
      <w:proofErr w:type="spellEnd"/>
      <w:r w:rsidRPr="00405634">
        <w:rPr>
          <w:rFonts w:eastAsia="Times New Roman"/>
        </w:rPr>
        <w:t xml:space="preserve">, E. R., and </w:t>
      </w:r>
      <w:proofErr w:type="spellStart"/>
      <w:r w:rsidRPr="00405634">
        <w:rPr>
          <w:rFonts w:eastAsia="Times New Roman"/>
        </w:rPr>
        <w:t>Zervas</w:t>
      </w:r>
      <w:proofErr w:type="spellEnd"/>
      <w:r w:rsidRPr="00405634">
        <w:rPr>
          <w:rFonts w:eastAsia="Times New Roman"/>
        </w:rPr>
        <w:t>, C. (2017). Global and Regional Sea Level Rise Scenarios for the United States. NOAA Technical Report NOS CO-OPS 083</w:t>
      </w:r>
    </w:p>
    <w:p w14:paraId="53DF57E3" w14:textId="77777777" w:rsidR="00405634" w:rsidRDefault="00405634" w:rsidP="00405634">
      <w:pPr>
        <w:rPr>
          <w:rFonts w:eastAsia="Times New Roman"/>
        </w:rPr>
      </w:pPr>
    </w:p>
    <w:p w14:paraId="5F7393AF" w14:textId="0831AE42" w:rsidR="00405634" w:rsidRDefault="00405634" w:rsidP="00405634">
      <w:pPr>
        <w:rPr>
          <w:rFonts w:eastAsia="Times New Roman"/>
        </w:rPr>
      </w:pPr>
      <w:r w:rsidRPr="00405634">
        <w:rPr>
          <w:rFonts w:eastAsia="Times New Roman"/>
        </w:rPr>
        <w:t xml:space="preserve">Sweet, W. V., Kopp, R. E., Weaver, C. P., </w:t>
      </w:r>
      <w:proofErr w:type="spellStart"/>
      <w:r w:rsidRPr="00405634">
        <w:rPr>
          <w:rFonts w:eastAsia="Times New Roman"/>
        </w:rPr>
        <w:t>Obeysekera</w:t>
      </w:r>
      <w:proofErr w:type="spellEnd"/>
      <w:r w:rsidRPr="00405634">
        <w:rPr>
          <w:rFonts w:eastAsia="Times New Roman"/>
        </w:rPr>
        <w:t xml:space="preserve">, J., Horton, R. M., </w:t>
      </w:r>
      <w:proofErr w:type="spellStart"/>
      <w:r w:rsidRPr="00405634">
        <w:rPr>
          <w:rFonts w:eastAsia="Times New Roman"/>
        </w:rPr>
        <w:t>Thieler</w:t>
      </w:r>
      <w:proofErr w:type="spellEnd"/>
      <w:r w:rsidRPr="00405634">
        <w:rPr>
          <w:rFonts w:eastAsia="Times New Roman"/>
        </w:rPr>
        <w:t xml:space="preserve">, E. R., &amp; </w:t>
      </w:r>
      <w:proofErr w:type="spellStart"/>
      <w:r w:rsidRPr="00405634">
        <w:rPr>
          <w:rFonts w:eastAsia="Times New Roman"/>
        </w:rPr>
        <w:t>Zervas</w:t>
      </w:r>
      <w:proofErr w:type="spellEnd"/>
      <w:r w:rsidRPr="00405634">
        <w:rPr>
          <w:rFonts w:eastAsia="Times New Roman"/>
        </w:rPr>
        <w:t xml:space="preserve">, C. (2017). Global and regional sea level rise scenarios for the United States. NOAA. </w:t>
      </w:r>
    </w:p>
    <w:p w14:paraId="74F6C7E8" w14:textId="77777777" w:rsidR="00957A59" w:rsidRPr="00405634" w:rsidRDefault="00957A59" w:rsidP="00405634">
      <w:pPr>
        <w:rPr>
          <w:rFonts w:eastAsia="Times New Roman"/>
        </w:rPr>
      </w:pPr>
    </w:p>
    <w:p w14:paraId="6FF59B87" w14:textId="77777777" w:rsidR="00405634" w:rsidRPr="00405634" w:rsidRDefault="00405634" w:rsidP="00405634">
      <w:pPr>
        <w:rPr>
          <w:rFonts w:eastAsia="Times New Roman"/>
        </w:rPr>
      </w:pPr>
      <w:r w:rsidRPr="00405634">
        <w:rPr>
          <w:rFonts w:eastAsia="Times New Roman"/>
        </w:rPr>
        <w:t xml:space="preserve">Memos: General Introduction (n.d.) Purdue Online Writing Lab. Retrieved from: </w:t>
      </w:r>
      <w:hyperlink r:id="rId7" w:history="1">
        <w:r w:rsidRPr="00405634">
          <w:rPr>
            <w:rStyle w:val="Hyperlink"/>
            <w:rFonts w:eastAsia="Times New Roman"/>
          </w:rPr>
          <w:t>https://owl.purdue.edu/owl/subject_specific_writing/professional_technical_writing/memos/index.html</w:t>
        </w:r>
      </w:hyperlink>
    </w:p>
    <w:p w14:paraId="4341D33D" w14:textId="77777777" w:rsidR="00050ACF" w:rsidRDefault="00050ACF"/>
    <w:sectPr w:rsidR="00050ACF" w:rsidSect="00163C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846"/>
    <w:multiLevelType w:val="hybridMultilevel"/>
    <w:tmpl w:val="4AD0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E61FA"/>
    <w:multiLevelType w:val="hybridMultilevel"/>
    <w:tmpl w:val="EA6E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26617"/>
    <w:multiLevelType w:val="hybridMultilevel"/>
    <w:tmpl w:val="A826529A"/>
    <w:lvl w:ilvl="0" w:tplc="0CDA721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F0054"/>
    <w:multiLevelType w:val="hybridMultilevel"/>
    <w:tmpl w:val="AE045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13E7"/>
    <w:rsid w:val="000268B8"/>
    <w:rsid w:val="00050ACF"/>
    <w:rsid w:val="00163CE7"/>
    <w:rsid w:val="00177D5E"/>
    <w:rsid w:val="0018080C"/>
    <w:rsid w:val="00334A9C"/>
    <w:rsid w:val="003B182C"/>
    <w:rsid w:val="00405634"/>
    <w:rsid w:val="00451000"/>
    <w:rsid w:val="004875B8"/>
    <w:rsid w:val="00493CE0"/>
    <w:rsid w:val="00542649"/>
    <w:rsid w:val="00887C91"/>
    <w:rsid w:val="00957A59"/>
    <w:rsid w:val="009C13E7"/>
    <w:rsid w:val="009D253E"/>
    <w:rsid w:val="00A04A9A"/>
    <w:rsid w:val="00A90E1C"/>
    <w:rsid w:val="00AB41B9"/>
    <w:rsid w:val="00E1462E"/>
    <w:rsid w:val="00E151B8"/>
    <w:rsid w:val="00ED0C98"/>
    <w:rsid w:val="00FA73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F739E2"/>
  <w14:defaultImageDpi w14:val="300"/>
  <w15:docId w15:val="{F67ACD4B-D5DD-914D-93B6-06E3828E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13E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C13E7"/>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link w:val="Heading4Char"/>
    <w:uiPriority w:val="9"/>
    <w:qFormat/>
    <w:rsid w:val="009C13E7"/>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E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13E7"/>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9C13E7"/>
    <w:rPr>
      <w:rFonts w:ascii="Times New Roman" w:hAnsi="Times New Roman" w:cs="Times New Roman"/>
      <w:b/>
      <w:bCs/>
    </w:rPr>
  </w:style>
  <w:style w:type="paragraph" w:styleId="NormalWeb">
    <w:name w:val="Normal (Web)"/>
    <w:basedOn w:val="Normal"/>
    <w:uiPriority w:val="99"/>
    <w:unhideWhenUsed/>
    <w:rsid w:val="00E1462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D0C98"/>
    <w:pPr>
      <w:ind w:left="720"/>
      <w:contextualSpacing/>
    </w:pPr>
  </w:style>
  <w:style w:type="character" w:styleId="Hyperlink">
    <w:name w:val="Hyperlink"/>
    <w:basedOn w:val="DefaultParagraphFont"/>
    <w:uiPriority w:val="99"/>
    <w:unhideWhenUsed/>
    <w:rsid w:val="00405634"/>
    <w:rPr>
      <w:color w:val="0000FF" w:themeColor="hyperlink"/>
      <w:u w:val="single"/>
    </w:rPr>
  </w:style>
  <w:style w:type="character" w:styleId="UnresolvedMention">
    <w:name w:val="Unresolved Mention"/>
    <w:basedOn w:val="DefaultParagraphFont"/>
    <w:uiPriority w:val="99"/>
    <w:semiHidden/>
    <w:unhideWhenUsed/>
    <w:rsid w:val="00405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268738">
      <w:bodyDiv w:val="1"/>
      <w:marLeft w:val="0"/>
      <w:marRight w:val="0"/>
      <w:marTop w:val="0"/>
      <w:marBottom w:val="0"/>
      <w:divBdr>
        <w:top w:val="none" w:sz="0" w:space="0" w:color="auto"/>
        <w:left w:val="none" w:sz="0" w:space="0" w:color="auto"/>
        <w:bottom w:val="none" w:sz="0" w:space="0" w:color="auto"/>
        <w:right w:val="none" w:sz="0" w:space="0" w:color="auto"/>
      </w:divBdr>
    </w:div>
    <w:div w:id="1550260237">
      <w:bodyDiv w:val="1"/>
      <w:marLeft w:val="0"/>
      <w:marRight w:val="0"/>
      <w:marTop w:val="0"/>
      <w:marBottom w:val="0"/>
      <w:divBdr>
        <w:top w:val="none" w:sz="0" w:space="0" w:color="auto"/>
        <w:left w:val="none" w:sz="0" w:space="0" w:color="auto"/>
        <w:bottom w:val="none" w:sz="0" w:space="0" w:color="auto"/>
        <w:right w:val="none" w:sz="0" w:space="0" w:color="auto"/>
      </w:divBdr>
    </w:div>
    <w:div w:id="1718233873">
      <w:bodyDiv w:val="1"/>
      <w:marLeft w:val="0"/>
      <w:marRight w:val="0"/>
      <w:marTop w:val="0"/>
      <w:marBottom w:val="0"/>
      <w:divBdr>
        <w:top w:val="none" w:sz="0" w:space="0" w:color="auto"/>
        <w:left w:val="none" w:sz="0" w:space="0" w:color="auto"/>
        <w:bottom w:val="none" w:sz="0" w:space="0" w:color="auto"/>
        <w:right w:val="none" w:sz="0" w:space="0" w:color="auto"/>
      </w:divBdr>
      <w:divsChild>
        <w:div w:id="1614437642">
          <w:marLeft w:val="0"/>
          <w:marRight w:val="0"/>
          <w:marTop w:val="0"/>
          <w:marBottom w:val="0"/>
          <w:divBdr>
            <w:top w:val="none" w:sz="0" w:space="0" w:color="auto"/>
            <w:left w:val="none" w:sz="0" w:space="0" w:color="auto"/>
            <w:bottom w:val="none" w:sz="0" w:space="0" w:color="auto"/>
            <w:right w:val="none" w:sz="0" w:space="0" w:color="auto"/>
          </w:divBdr>
          <w:divsChild>
            <w:div w:id="193084549">
              <w:marLeft w:val="0"/>
              <w:marRight w:val="0"/>
              <w:marTop w:val="0"/>
              <w:marBottom w:val="0"/>
              <w:divBdr>
                <w:top w:val="none" w:sz="0" w:space="0" w:color="auto"/>
                <w:left w:val="none" w:sz="0" w:space="0" w:color="auto"/>
                <w:bottom w:val="none" w:sz="0" w:space="0" w:color="auto"/>
                <w:right w:val="none" w:sz="0" w:space="0" w:color="auto"/>
              </w:divBdr>
            </w:div>
          </w:divsChild>
        </w:div>
        <w:div w:id="47270819">
          <w:marLeft w:val="0"/>
          <w:marRight w:val="0"/>
          <w:marTop w:val="0"/>
          <w:marBottom w:val="0"/>
          <w:divBdr>
            <w:top w:val="none" w:sz="0" w:space="0" w:color="auto"/>
            <w:left w:val="none" w:sz="0" w:space="0" w:color="auto"/>
            <w:bottom w:val="none" w:sz="0" w:space="0" w:color="auto"/>
            <w:right w:val="none" w:sz="0" w:space="0" w:color="auto"/>
          </w:divBdr>
          <w:divsChild>
            <w:div w:id="1846095295">
              <w:marLeft w:val="0"/>
              <w:marRight w:val="0"/>
              <w:marTop w:val="0"/>
              <w:marBottom w:val="0"/>
              <w:divBdr>
                <w:top w:val="none" w:sz="0" w:space="0" w:color="auto"/>
                <w:left w:val="none" w:sz="0" w:space="0" w:color="auto"/>
                <w:bottom w:val="none" w:sz="0" w:space="0" w:color="auto"/>
                <w:right w:val="none" w:sz="0" w:space="0" w:color="auto"/>
              </w:divBdr>
            </w:div>
          </w:divsChild>
        </w:div>
        <w:div w:id="1564680083">
          <w:marLeft w:val="0"/>
          <w:marRight w:val="0"/>
          <w:marTop w:val="0"/>
          <w:marBottom w:val="0"/>
          <w:divBdr>
            <w:top w:val="none" w:sz="0" w:space="0" w:color="auto"/>
            <w:left w:val="none" w:sz="0" w:space="0" w:color="auto"/>
            <w:bottom w:val="none" w:sz="0" w:space="0" w:color="auto"/>
            <w:right w:val="none" w:sz="0" w:space="0" w:color="auto"/>
          </w:divBdr>
        </w:div>
        <w:div w:id="1483496661">
          <w:marLeft w:val="0"/>
          <w:marRight w:val="0"/>
          <w:marTop w:val="0"/>
          <w:marBottom w:val="0"/>
          <w:divBdr>
            <w:top w:val="none" w:sz="0" w:space="0" w:color="auto"/>
            <w:left w:val="none" w:sz="0" w:space="0" w:color="auto"/>
            <w:bottom w:val="none" w:sz="0" w:space="0" w:color="auto"/>
            <w:right w:val="none" w:sz="0" w:space="0" w:color="auto"/>
          </w:divBdr>
        </w:div>
        <w:div w:id="70852956">
          <w:marLeft w:val="0"/>
          <w:marRight w:val="0"/>
          <w:marTop w:val="0"/>
          <w:marBottom w:val="0"/>
          <w:divBdr>
            <w:top w:val="none" w:sz="0" w:space="0" w:color="auto"/>
            <w:left w:val="none" w:sz="0" w:space="0" w:color="auto"/>
            <w:bottom w:val="none" w:sz="0" w:space="0" w:color="auto"/>
            <w:right w:val="none" w:sz="0" w:space="0" w:color="auto"/>
          </w:divBdr>
        </w:div>
        <w:div w:id="1787891219">
          <w:marLeft w:val="0"/>
          <w:marRight w:val="0"/>
          <w:marTop w:val="0"/>
          <w:marBottom w:val="0"/>
          <w:divBdr>
            <w:top w:val="none" w:sz="0" w:space="0" w:color="auto"/>
            <w:left w:val="none" w:sz="0" w:space="0" w:color="auto"/>
            <w:bottom w:val="none" w:sz="0" w:space="0" w:color="auto"/>
            <w:right w:val="none" w:sz="0" w:space="0" w:color="auto"/>
          </w:divBdr>
        </w:div>
        <w:div w:id="2105682787">
          <w:marLeft w:val="0"/>
          <w:marRight w:val="0"/>
          <w:marTop w:val="0"/>
          <w:marBottom w:val="0"/>
          <w:divBdr>
            <w:top w:val="none" w:sz="0" w:space="0" w:color="auto"/>
            <w:left w:val="none" w:sz="0" w:space="0" w:color="auto"/>
            <w:bottom w:val="none" w:sz="0" w:space="0" w:color="auto"/>
            <w:right w:val="none" w:sz="0" w:space="0" w:color="auto"/>
          </w:divBdr>
        </w:div>
        <w:div w:id="2843608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l.purdue.edu/owl/subject_specific_writing/professional_technical_writing/memo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nation.com/article/3-years-after-hurricane-sandy-is-new-york-prepared-for-the-next-great-storm/" TargetMode="External"/><Relationship Id="rId5" Type="http://schemas.openxmlformats.org/officeDocument/2006/relationships/hyperlink" Target="https://riskfinder.climatecentral.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Rowe</dc:creator>
  <cp:keywords/>
  <dc:description/>
  <cp:lastModifiedBy>Lea Fortmann</cp:lastModifiedBy>
  <cp:revision>11</cp:revision>
  <dcterms:created xsi:type="dcterms:W3CDTF">2020-02-09T00:35:00Z</dcterms:created>
  <dcterms:modified xsi:type="dcterms:W3CDTF">2020-02-13T22:54:00Z</dcterms:modified>
</cp:coreProperties>
</file>