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Percentage of herd predicted to survive under ten theoretical culling strategies associated with different production strategies, as presented by Marom and Bar-Oz (2009a). Survival probabilities derived from aRedding (1981), bPayne (1973), and cVigne and Helmer (2007) correspond to Payne's age class system.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Age 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Energy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Security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Meat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Milk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Wool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Meat A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Meat B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Milk A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Milk B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Fleece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vertAlign w:val="superscript"/>
                <w:sz w:val="20"/>
                <w:szCs w:val="20"/>
                <w:color w:val="000000"/>
              </w:rPr>
              <w:t xml:space="preserve">c</w:t>
            </w:r>
          </w:p>
        </w:tc>
      </w:tr>
      <w:tr>
        <w:trPr>
          <w:trHeight w:val="438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 (0-2m)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</w:t>
            </w:r>
          </w:p>
        </w:tc>
      </w:tr>
      <w:tr>
        <w:trPr>
          <w:trHeight w:val="43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 (2-6m)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</w:tr>
      <w:tr>
        <w:trPr>
          <w:trHeight w:val="438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 (6-12m)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43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 (1-2y)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</w:tr>
      <w:tr>
        <w:trPr>
          <w:trHeight w:val="438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 (2-3y)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</w:tr>
      <w:tr>
        <w:trPr>
          <w:trHeight w:val="438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 (3-4y)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38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 (4-6y)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438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 (6-8y)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438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 (&gt;8y)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footer1
        <w:tc>
          <w:tcPr>
            <w:gridSpan w:val="11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vertAlign w:val="superscript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Redding (1981)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; 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vertAlign w:val="superscript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Payne (1973)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; 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vertAlign w:val="superscript"/>
                <w:sz w:val="20"/>
                <w:szCs w:val="20"/>
                <w:color w:val="000000"/>
              </w:rPr>
              <w:t xml:space="preserve">c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Vigne and Helmer (2007)</w:t>
            </w: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; </w:t>
            </w:r>
          </w:p>
        </w:tc>
      </w:tr>
    </w:tbl>
    <w:sectPr w:officer="true"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2025-05-08T13:19:05Z</dcterms:modified>
  <cp:category/>
</cp:coreProperties>
</file>