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Percentage of herd predicted to survive under ten theoretical culling strategies associated with different production strategies, as presented by Marom and Bar-Oz (2009a). Survival probabilities derived from aRedding (1981), bPayne (1973), and cVigne and Helmer (2007) correspond to Payne's age class system.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Energy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Security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Meat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Milk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Wool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Meat A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Meat B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Milk A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Milk B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Fleece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trHeight w:val="43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 (0-2m)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43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 (2-6m)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43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 (6-12m)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43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 (1-2y)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43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 (2-3y)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438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 (3-4y)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438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 (4-6y)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438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 (6-8y)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438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 (&gt;8y)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footer1
        <w:tc>
          <w:tcPr>
            <w:gridSpan w:val="11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Redding (1981)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; 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Payne (1973)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; 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c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Vigne and Helmer (2007)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; </w:t>
            </w:r>
          </w:p>
        </w:tc>
      </w:tr>
    </w:tbl>
    <w:sectPr w:officer="true"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2025-11-20T17:26:15Z</dcterms:modified>
  <cp:category/>
</cp:coreProperties>
</file>