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2A6A" w14:textId="6B6C46F9" w:rsidR="006072BE" w:rsidRPr="00F963F4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Thesis:</w:t>
      </w:r>
    </w:p>
    <w:p w14:paraId="718BDE5A" w14:textId="6D9506C3" w:rsidR="006072BE" w:rsidRPr="00F963F4" w:rsidRDefault="006072BE" w:rsidP="00175D89">
      <w:pPr>
        <w:spacing w:line="360" w:lineRule="auto"/>
        <w:rPr>
          <w:rFonts w:ascii="Calibri" w:hAnsi="Calibri" w:cs="Calibri"/>
        </w:rPr>
      </w:pPr>
      <w:r w:rsidRPr="00F963F4">
        <w:rPr>
          <w:rFonts w:ascii="Calibri" w:hAnsi="Calibri" w:cs="Calibri"/>
        </w:rPr>
        <w:tab/>
        <w:t>By banning books of LGBTQ+ authors, it deprives the youth—not just the queer youth—of useful and essential information required to grow and develop the empathy necessary to make positive changes in the world.</w:t>
      </w:r>
    </w:p>
    <w:p w14:paraId="61F55B5D" w14:textId="6396CF0F" w:rsidR="003063D3" w:rsidRPr="00F8644F" w:rsidRDefault="006072BE" w:rsidP="00175D89">
      <w:pPr>
        <w:spacing w:line="360" w:lineRule="auto"/>
        <w:rPr>
          <w:rFonts w:ascii="Calibri" w:hAnsi="Calibri" w:cs="Calibri"/>
          <w:u w:val="single"/>
        </w:rPr>
      </w:pPr>
      <w:r w:rsidRPr="00F963F4">
        <w:rPr>
          <w:rFonts w:ascii="Calibri" w:hAnsi="Calibri" w:cs="Calibri"/>
          <w:u w:val="single"/>
        </w:rPr>
        <w:t>Introduction:</w:t>
      </w:r>
    </w:p>
    <w:p w14:paraId="56D8F88C" w14:textId="3DC12E35" w:rsidR="00F963F4" w:rsidRPr="00F963F4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 recent years, there’s</w:t>
      </w:r>
      <w:r w:rsidR="003063D3" w:rsidRPr="00F963F4">
        <w:rPr>
          <w:rFonts w:ascii="Calibri" w:hAnsi="Calibri" w:cs="Calibri"/>
        </w:rPr>
        <w:t xml:space="preserve"> been a growing number of books banned that contain LGBTQ+ themes.</w:t>
      </w:r>
    </w:p>
    <w:p w14:paraId="066B2885" w14:textId="0722959B" w:rsidR="003063D3" w:rsidRDefault="00F963F4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Diverse literature is incredibly important for developing empathy in students.</w:t>
      </w:r>
    </w:p>
    <w:p w14:paraId="35A25469" w14:textId="6C739E43" w:rsidR="00F963F4" w:rsidRDefault="008E62D9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Empathy is one of the most important traits of a student</w:t>
      </w:r>
      <w:r w:rsidR="00A745DC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developmental malleability is crucial for efficient learning.</w:t>
      </w:r>
    </w:p>
    <w:p w14:paraId="0D21F762" w14:textId="6C61B221" w:rsidR="00EE79F2" w:rsidRDefault="00EE79F2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Over these past few years, there’s been a lot of </w:t>
      </w:r>
      <w:proofErr w:type="gramStart"/>
      <w:r>
        <w:rPr>
          <w:rFonts w:ascii="Calibri" w:hAnsi="Calibri" w:cs="Calibri"/>
        </w:rPr>
        <w:t>protest against</w:t>
      </w:r>
      <w:proofErr w:type="gramEnd"/>
      <w:r>
        <w:rPr>
          <w:rFonts w:ascii="Calibri" w:hAnsi="Calibri" w:cs="Calibri"/>
        </w:rPr>
        <w:t xml:space="preserve"> </w:t>
      </w:r>
      <w:proofErr w:type="gramStart"/>
      <w:r w:rsidR="00A745DC">
        <w:rPr>
          <w:rFonts w:ascii="Calibri" w:hAnsi="Calibri" w:cs="Calibri"/>
        </w:rPr>
        <w:t>the censorship</w:t>
      </w:r>
      <w:proofErr w:type="gramEnd"/>
      <w:r>
        <w:rPr>
          <w:rFonts w:ascii="Calibri" w:hAnsi="Calibri" w:cs="Calibri"/>
        </w:rPr>
        <w:t>.</w:t>
      </w:r>
    </w:p>
    <w:p w14:paraId="1C8AD044" w14:textId="60ADFE85" w:rsidR="00A745DC" w:rsidRDefault="00A745DC" w:rsidP="00175D8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Many school board meetings have been held whether books on LGBTQ+ topics should be kept in their libraries.</w:t>
      </w:r>
    </w:p>
    <w:p w14:paraId="6F109BD3" w14:textId="77777777" w:rsidR="00175D89" w:rsidRDefault="00175D89" w:rsidP="00175D89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B6F8498" w14:textId="1DB1A0F3" w:rsidR="00A745DC" w:rsidRDefault="00175D89" w:rsidP="00175D89">
      <w:pPr>
        <w:spacing w:line="360" w:lineRule="auto"/>
        <w:ind w:firstLine="408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 recent years, there’s been a growing number of books banned that contain LGBTQ+ themes. The “Don’t Say Gay” and “Stop W.O.K.E.</w:t>
      </w:r>
      <w:r w:rsidR="001C0DB3">
        <w:rPr>
          <w:rFonts w:ascii="Calibri" w:hAnsi="Calibri" w:cs="Calibri"/>
        </w:rPr>
        <w:t>” acts have caused over 1.6 million books in classrooms and school libraries to be reviewed. The process for reviewing a book typically is to keep the book on the shelf until proven guilty, but with a lack of enforcement this is not always the case.</w:t>
      </w:r>
      <w:r>
        <w:rPr>
          <w:rFonts w:ascii="Calibri" w:hAnsi="Calibri" w:cs="Calibri"/>
        </w:rPr>
        <w:t xml:space="preserve"> Diverse literature </w:t>
      </w:r>
      <w:r w:rsidR="00812C87">
        <w:rPr>
          <w:rFonts w:ascii="Calibri" w:hAnsi="Calibri" w:cs="Calibri"/>
        </w:rPr>
        <w:t>has proven important</w:t>
      </w:r>
      <w:r>
        <w:rPr>
          <w:rFonts w:ascii="Calibri" w:hAnsi="Calibri" w:cs="Calibri"/>
        </w:rPr>
        <w:t xml:space="preserve"> for developing empathy in students</w:t>
      </w:r>
      <w:r w:rsidR="00812C87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</w:t>
      </w:r>
      <w:r w:rsidR="00812C87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evelopmental malleability is crucial for efficient learning. Over these past few years, there’s been a lot of </w:t>
      </w:r>
      <w:proofErr w:type="gramStart"/>
      <w:r>
        <w:rPr>
          <w:rFonts w:ascii="Calibri" w:hAnsi="Calibri" w:cs="Calibri"/>
        </w:rPr>
        <w:t>protest against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the censorship</w:t>
      </w:r>
      <w:proofErr w:type="gramEnd"/>
      <w:r>
        <w:rPr>
          <w:rFonts w:ascii="Calibri" w:hAnsi="Calibri" w:cs="Calibri"/>
        </w:rPr>
        <w:t xml:space="preserve">. Many school board meetings have been held whether books on LGBTQ+ topics should be kept in the classroom. </w:t>
      </w:r>
      <w:r w:rsidR="001C0DB3">
        <w:rPr>
          <w:rFonts w:ascii="Calibri" w:hAnsi="Calibri" w:cs="Calibri"/>
        </w:rPr>
        <w:t>By banning books of LGBTQ+ authors, it deprives the youth—not just the queer youth—of useful and essential information required to grow and develop the empathy necessary to make positive changes in the world.</w:t>
      </w:r>
    </w:p>
    <w:p w14:paraId="1F54B646" w14:textId="77777777" w:rsidR="00B073C6" w:rsidRDefault="00B073C6" w:rsidP="00175D89">
      <w:pPr>
        <w:spacing w:line="360" w:lineRule="auto"/>
        <w:ind w:firstLine="408"/>
        <w:rPr>
          <w:rFonts w:ascii="Calibri" w:hAnsi="Calibri" w:cs="Calibri"/>
        </w:rPr>
      </w:pPr>
    </w:p>
    <w:p w14:paraId="5616EDAE" w14:textId="41EC2284" w:rsidR="008B1FAB" w:rsidRDefault="00B073C6" w:rsidP="00677745">
      <w:pPr>
        <w:spacing w:line="360" w:lineRule="auto"/>
        <w:ind w:firstLine="408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past few years, there’s been a growing number of books banned that contain LGBTQ+ themes. </w:t>
      </w:r>
      <w:r w:rsidR="006A3CA5">
        <w:rPr>
          <w:rFonts w:ascii="Calibri" w:hAnsi="Calibri" w:cs="Calibri"/>
        </w:rPr>
        <w:t>In Duval County, Florida alone</w:t>
      </w:r>
      <w:r w:rsidR="00F46B9B">
        <w:rPr>
          <w:rFonts w:ascii="Calibri" w:hAnsi="Calibri" w:cs="Calibri"/>
        </w:rPr>
        <w:t>,</w:t>
      </w:r>
      <w:r w:rsidR="006A3CA5">
        <w:rPr>
          <w:rFonts w:ascii="Calibri" w:hAnsi="Calibri" w:cs="Calibri"/>
        </w:rPr>
        <w:t xml:space="preserve"> 1.6 million books in classroom</w:t>
      </w:r>
      <w:r w:rsidR="00F46B9B">
        <w:rPr>
          <w:rFonts w:ascii="Calibri" w:hAnsi="Calibri" w:cs="Calibri"/>
        </w:rPr>
        <w:t xml:space="preserve">s </w:t>
      </w:r>
      <w:r w:rsidR="006A3CA5">
        <w:rPr>
          <w:rFonts w:ascii="Calibri" w:hAnsi="Calibri" w:cs="Calibri"/>
        </w:rPr>
        <w:t xml:space="preserve">and school libraries were reviewed </w:t>
      </w:r>
      <w:r w:rsidR="001E13A8">
        <w:rPr>
          <w:rFonts w:ascii="Calibri" w:hAnsi="Calibri" w:cs="Calibri"/>
        </w:rPr>
        <w:t>to</w:t>
      </w:r>
      <w:r w:rsidR="006A3CA5">
        <w:rPr>
          <w:rFonts w:ascii="Calibri" w:hAnsi="Calibri" w:cs="Calibri"/>
        </w:rPr>
        <w:t xml:space="preserve"> keep </w:t>
      </w:r>
      <w:r w:rsidR="00E33C09">
        <w:rPr>
          <w:rFonts w:ascii="Calibri" w:hAnsi="Calibri" w:cs="Calibri"/>
        </w:rPr>
        <w:t xml:space="preserve">to standards </w:t>
      </w:r>
      <w:r w:rsidR="006A3CA5">
        <w:rPr>
          <w:rFonts w:ascii="Calibri" w:hAnsi="Calibri" w:cs="Calibri"/>
        </w:rPr>
        <w:t>with t</w:t>
      </w:r>
      <w:r>
        <w:rPr>
          <w:rFonts w:ascii="Calibri" w:hAnsi="Calibri" w:cs="Calibri"/>
        </w:rPr>
        <w:t>he “Don’t Say Gay”</w:t>
      </w:r>
      <w:r w:rsidR="006A3CA5">
        <w:rPr>
          <w:rFonts w:ascii="Calibri" w:hAnsi="Calibri" w:cs="Calibri"/>
        </w:rPr>
        <w:t xml:space="preserve"> law</w:t>
      </w:r>
      <w:r>
        <w:rPr>
          <w:rFonts w:ascii="Calibri" w:hAnsi="Calibri" w:cs="Calibri"/>
        </w:rPr>
        <w:t xml:space="preserve"> and</w:t>
      </w:r>
      <w:r w:rsidR="006A3CA5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“Stop W.O.K.E.” ac</w:t>
      </w:r>
      <w:r w:rsidR="006A3CA5">
        <w:rPr>
          <w:rFonts w:ascii="Calibri" w:hAnsi="Calibri" w:cs="Calibri"/>
        </w:rPr>
        <w:t>t</w:t>
      </w:r>
      <w:r>
        <w:rPr>
          <w:rFonts w:ascii="Calibri" w:hAnsi="Calibri" w:cs="Calibri"/>
        </w:rPr>
        <w:t>.</w:t>
      </w:r>
      <w:r w:rsidR="008B1FAB">
        <w:rPr>
          <w:rFonts w:ascii="Calibri" w:hAnsi="Calibri" w:cs="Calibri"/>
        </w:rPr>
        <w:t xml:space="preserve"> An ACLU article summarizes </w:t>
      </w:r>
      <w:r w:rsidR="004A338C">
        <w:rPr>
          <w:rFonts w:ascii="Calibri" w:hAnsi="Calibri" w:cs="Calibri"/>
        </w:rPr>
        <w:t>the “Stop W.O.K.E.” act nicely, “</w:t>
      </w:r>
      <w:r w:rsidR="004A338C" w:rsidRPr="004A338C">
        <w:rPr>
          <w:rFonts w:ascii="Calibri" w:hAnsi="Calibri" w:cs="Calibri"/>
        </w:rPr>
        <w:t>a classroom censorship law which severely restricts Florida educators and students from learning and talking about issues related to race and gender in higher education classrooms</w:t>
      </w:r>
      <w:r w:rsidR="004A338C">
        <w:rPr>
          <w:rFonts w:ascii="Calibri" w:hAnsi="Calibri" w:cs="Calibri"/>
        </w:rPr>
        <w:t>”</w:t>
      </w:r>
      <w:r w:rsidR="004D6CDC">
        <w:rPr>
          <w:rFonts w:ascii="Calibri" w:hAnsi="Calibri" w:cs="Calibri"/>
        </w:rPr>
        <w:t xml:space="preserve"> [1]</w:t>
      </w:r>
      <w:r w:rsidR="00D05BBD">
        <w:rPr>
          <w:rFonts w:ascii="Calibri" w:hAnsi="Calibri" w:cs="Calibri"/>
        </w:rPr>
        <w:t>.</w:t>
      </w:r>
      <w:r w:rsidR="00CB42D1">
        <w:rPr>
          <w:rFonts w:ascii="Calibri" w:hAnsi="Calibri" w:cs="Calibri"/>
        </w:rPr>
        <w:t xml:space="preserve"> </w:t>
      </w:r>
      <w:r w:rsidR="002E56B8">
        <w:rPr>
          <w:rFonts w:ascii="Calibri" w:hAnsi="Calibri" w:cs="Calibri"/>
        </w:rPr>
        <w:t>The Nation</w:t>
      </w:r>
      <w:r w:rsidR="00EF5B61">
        <w:rPr>
          <w:rFonts w:ascii="Calibri" w:hAnsi="Calibri" w:cs="Calibri"/>
        </w:rPr>
        <w:t>al</w:t>
      </w:r>
      <w:r w:rsidR="002E56B8">
        <w:rPr>
          <w:rFonts w:ascii="Calibri" w:hAnsi="Calibri" w:cs="Calibri"/>
        </w:rPr>
        <w:t xml:space="preserve"> Education Association includes the purpose of the “Don’t Say Gay” law in a digital article, “</w:t>
      </w:r>
      <w:r w:rsidR="00EF5B61">
        <w:rPr>
          <w:rFonts w:ascii="Calibri" w:hAnsi="Calibri" w:cs="Calibri"/>
        </w:rPr>
        <w:t xml:space="preserve">[to] </w:t>
      </w:r>
      <w:r w:rsidR="005C2408" w:rsidRPr="005C2408">
        <w:rPr>
          <w:rFonts w:ascii="Calibri" w:hAnsi="Calibri" w:cs="Calibri"/>
        </w:rPr>
        <w:t>prohibit classroom discussion about sexual orientation or gender identity in certain grade levels or in a specified manner</w:t>
      </w:r>
      <w:r w:rsidR="005C2408">
        <w:rPr>
          <w:rFonts w:ascii="Calibri" w:hAnsi="Calibri" w:cs="Calibri"/>
        </w:rPr>
        <w:t>” [2]</w:t>
      </w:r>
      <w:r w:rsidR="00D05BBD">
        <w:rPr>
          <w:rFonts w:ascii="Calibri" w:hAnsi="Calibri" w:cs="Calibri"/>
        </w:rPr>
        <w:t>.</w:t>
      </w:r>
      <w:r w:rsidR="006777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When a book is reviewed, typically the process is to keep it on the shelf until proven guilty, but with a lack of enforcement this is not always the case. </w:t>
      </w:r>
      <w:r w:rsidR="002412B5">
        <w:rPr>
          <w:rFonts w:ascii="Calibri" w:hAnsi="Calibri" w:cs="Calibri"/>
        </w:rPr>
        <w:t>Diverse literature has proven important for developing empathy in students and developmental malleability is crucial for efficient learning. By banning books on LGBTQ+ themes—or by LGBTQ+ authors due to their sexual orientation/gender identity—it deprives the public perspective of necessary stories required to develop empathy.</w:t>
      </w:r>
    </w:p>
    <w:p w14:paraId="5AB07F0A" w14:textId="40068923" w:rsidR="008B1FAB" w:rsidRDefault="008B1FA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B382807" w14:textId="5A245591" w:rsidR="002B4E66" w:rsidRPr="002B4E66" w:rsidRDefault="002B4E66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lastRenderedPageBreak/>
        <w:t>Works cited:</w:t>
      </w:r>
    </w:p>
    <w:p w14:paraId="55C7C9C6" w14:textId="74BEA2A6" w:rsidR="008B1FAB" w:rsidRDefault="008B1FAB" w:rsidP="00753285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753285">
        <w:rPr>
          <w:rFonts w:ascii="Calibri" w:hAnsi="Calibri" w:cs="Calibri"/>
        </w:rPr>
        <w:t xml:space="preserve">“Pernell v. Lamb.” American Civil Liberties Union, 16 May 2024, </w:t>
      </w:r>
      <w:hyperlink r:id="rId7" w:anchor="summary" w:history="1">
        <w:r w:rsidR="003E6E14" w:rsidRPr="0068512E">
          <w:rPr>
            <w:rStyle w:val="Hyperlink"/>
            <w:rFonts w:ascii="Calibri" w:hAnsi="Calibri" w:cs="Calibri"/>
          </w:rPr>
          <w:t>www.aclu.org/cases/pernell-v-lamb#summary</w:t>
        </w:r>
      </w:hyperlink>
      <w:r w:rsidRPr="00753285">
        <w:rPr>
          <w:rFonts w:ascii="Calibri" w:hAnsi="Calibri" w:cs="Calibri"/>
        </w:rPr>
        <w:t>.</w:t>
      </w:r>
    </w:p>
    <w:p w14:paraId="05121A16" w14:textId="77777777" w:rsidR="003E6E14" w:rsidRPr="00CC54B6" w:rsidRDefault="003E6E14" w:rsidP="003E6E14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CC54B6">
        <w:rPr>
          <w:rFonts w:ascii="Calibri" w:hAnsi="Calibri" w:cs="Calibri"/>
        </w:rPr>
        <w:t xml:space="preserve">“What You Need to Know about Florida’s ‘Don’t Say Gay’ and ‘Don’t Say They’ Laws, Book Bans, and Other Curricula Restrictions.” National Education Association, 12 June 2023. </w:t>
      </w:r>
    </w:p>
    <w:p w14:paraId="6FB86969" w14:textId="4FE67553" w:rsidR="003E6E14" w:rsidRPr="00CC54B6" w:rsidRDefault="003E6E14" w:rsidP="003E6E14">
      <w:pPr>
        <w:pStyle w:val="NormalWeb"/>
        <w:ind w:left="720"/>
        <w:rPr>
          <w:rFonts w:ascii="Calibri" w:hAnsi="Calibri" w:cs="Calibri"/>
        </w:rPr>
      </w:pPr>
      <w:hyperlink r:id="rId8" w:history="1">
        <w:r w:rsidRPr="00CC54B6">
          <w:rPr>
            <w:rStyle w:val="Hyperlink"/>
            <w:rFonts w:ascii="Calibri" w:hAnsi="Calibri" w:cs="Calibri"/>
          </w:rPr>
          <w:t>https://www.nea.org/sites/default/files/2023-06/30424-know-your-rights_web_v4.pdf</w:t>
        </w:r>
      </w:hyperlink>
    </w:p>
    <w:p w14:paraId="4BC0AFBC" w14:textId="77777777" w:rsidR="003E6E14" w:rsidRPr="003E6E14" w:rsidRDefault="003E6E14" w:rsidP="003E6E14">
      <w:pPr>
        <w:pStyle w:val="NormalWeb"/>
        <w:numPr>
          <w:ilvl w:val="0"/>
          <w:numId w:val="3"/>
        </w:numPr>
      </w:pPr>
    </w:p>
    <w:sectPr w:rsidR="003E6E14" w:rsidRPr="003E6E14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B7CC6" w14:textId="77777777" w:rsidR="00A54800" w:rsidRDefault="00A54800" w:rsidP="006072BE">
      <w:pPr>
        <w:spacing w:after="0" w:line="240" w:lineRule="auto"/>
      </w:pPr>
      <w:r>
        <w:separator/>
      </w:r>
    </w:p>
  </w:endnote>
  <w:endnote w:type="continuationSeparator" w:id="0">
    <w:p w14:paraId="107533F2" w14:textId="77777777" w:rsidR="00A54800" w:rsidRDefault="00A54800" w:rsidP="0060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CDA0E" w14:textId="77777777" w:rsidR="00A54800" w:rsidRDefault="00A54800" w:rsidP="006072BE">
      <w:pPr>
        <w:spacing w:after="0" w:line="240" w:lineRule="auto"/>
      </w:pPr>
      <w:r>
        <w:separator/>
      </w:r>
    </w:p>
  </w:footnote>
  <w:footnote w:type="continuationSeparator" w:id="0">
    <w:p w14:paraId="09E1B27F" w14:textId="77777777" w:rsidR="00A54800" w:rsidRDefault="00A54800" w:rsidP="00607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56C0C"/>
    <w:multiLevelType w:val="hybridMultilevel"/>
    <w:tmpl w:val="4CEE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4FE"/>
    <w:multiLevelType w:val="hybridMultilevel"/>
    <w:tmpl w:val="A0D0F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76A94"/>
    <w:multiLevelType w:val="hybridMultilevel"/>
    <w:tmpl w:val="286894F0"/>
    <w:lvl w:ilvl="0" w:tplc="6C5C89E2">
      <w:numFmt w:val="bullet"/>
      <w:lvlText w:val="-"/>
      <w:lvlJc w:val="left"/>
      <w:pPr>
        <w:ind w:left="408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9735728">
    <w:abstractNumId w:val="2"/>
  </w:num>
  <w:num w:numId="2" w16cid:durableId="1743796591">
    <w:abstractNumId w:val="0"/>
  </w:num>
  <w:num w:numId="3" w16cid:durableId="130550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A6"/>
    <w:rsid w:val="000274CD"/>
    <w:rsid w:val="00070769"/>
    <w:rsid w:val="000F2C93"/>
    <w:rsid w:val="00143655"/>
    <w:rsid w:val="00175D89"/>
    <w:rsid w:val="00185F44"/>
    <w:rsid w:val="001C0DB3"/>
    <w:rsid w:val="001E13A8"/>
    <w:rsid w:val="001F0FB4"/>
    <w:rsid w:val="002412B5"/>
    <w:rsid w:val="00246073"/>
    <w:rsid w:val="002B4E66"/>
    <w:rsid w:val="002E56B8"/>
    <w:rsid w:val="003063D3"/>
    <w:rsid w:val="003A7A0D"/>
    <w:rsid w:val="003B6045"/>
    <w:rsid w:val="003E6E14"/>
    <w:rsid w:val="004A338C"/>
    <w:rsid w:val="004D6CDC"/>
    <w:rsid w:val="004F5F32"/>
    <w:rsid w:val="0058132F"/>
    <w:rsid w:val="005B4D6B"/>
    <w:rsid w:val="005C2408"/>
    <w:rsid w:val="006072BE"/>
    <w:rsid w:val="006119B2"/>
    <w:rsid w:val="00630718"/>
    <w:rsid w:val="00677745"/>
    <w:rsid w:val="006A3CA5"/>
    <w:rsid w:val="006C62BE"/>
    <w:rsid w:val="006E7DD9"/>
    <w:rsid w:val="00716A7C"/>
    <w:rsid w:val="00753285"/>
    <w:rsid w:val="007A3C5C"/>
    <w:rsid w:val="00812C87"/>
    <w:rsid w:val="00894494"/>
    <w:rsid w:val="008A1F30"/>
    <w:rsid w:val="008B1FAB"/>
    <w:rsid w:val="008C3520"/>
    <w:rsid w:val="008E62D9"/>
    <w:rsid w:val="009271F0"/>
    <w:rsid w:val="00A54800"/>
    <w:rsid w:val="00A745DC"/>
    <w:rsid w:val="00AA37CB"/>
    <w:rsid w:val="00B073C6"/>
    <w:rsid w:val="00B63B7E"/>
    <w:rsid w:val="00C23941"/>
    <w:rsid w:val="00C81154"/>
    <w:rsid w:val="00CB42D1"/>
    <w:rsid w:val="00CC54B6"/>
    <w:rsid w:val="00D05BBD"/>
    <w:rsid w:val="00D35E35"/>
    <w:rsid w:val="00D606B8"/>
    <w:rsid w:val="00DD1B40"/>
    <w:rsid w:val="00E33C09"/>
    <w:rsid w:val="00EA5527"/>
    <w:rsid w:val="00EB52CE"/>
    <w:rsid w:val="00EC5AF9"/>
    <w:rsid w:val="00ED04A6"/>
    <w:rsid w:val="00EE1596"/>
    <w:rsid w:val="00EE79F2"/>
    <w:rsid w:val="00EF5B61"/>
    <w:rsid w:val="00F370EE"/>
    <w:rsid w:val="00F46B9B"/>
    <w:rsid w:val="00F8644F"/>
    <w:rsid w:val="00F9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441C5"/>
  <w15:chartTrackingRefBased/>
  <w15:docId w15:val="{9A7A69CB-59DA-42FD-8BE2-2A478DB2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4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BE"/>
  </w:style>
  <w:style w:type="paragraph" w:styleId="Footer">
    <w:name w:val="footer"/>
    <w:basedOn w:val="Normal"/>
    <w:link w:val="FooterChar"/>
    <w:uiPriority w:val="99"/>
    <w:unhideWhenUsed/>
    <w:rsid w:val="00607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BE"/>
  </w:style>
  <w:style w:type="character" w:styleId="Hyperlink">
    <w:name w:val="Hyperlink"/>
    <w:basedOn w:val="DefaultParagraphFont"/>
    <w:uiPriority w:val="99"/>
    <w:unhideWhenUsed/>
    <w:rsid w:val="003E6E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E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a.org/sites/default/files/2023-06/30424-know-your-rights_web_v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lu.org/cases/pernell-v-la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44</cp:revision>
  <dcterms:created xsi:type="dcterms:W3CDTF">2024-11-22T01:25:00Z</dcterms:created>
  <dcterms:modified xsi:type="dcterms:W3CDTF">2024-12-03T01:26:00Z</dcterms:modified>
</cp:coreProperties>
</file>