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Según los organizadores del reto PENGWIN (Sang et al., 2026), 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La demo aplica el mismo paso leyendo la cabecera de cada archivo.</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384 px por corte (el enunciado recomienda 224–256)</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Hay fragmentos desde 9 cortes y menos de 500 mm³; a 256 px ocupan muy pocos píxeles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Fue parte de los cambios que subieron el Dice por fragmento de 0.667 a ~0.82 en la primera versión de la Semana 10; batch 16 con precisión mixta cabe en una GPU T4</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spacing w:after="80"/>
      </w:pPr>
    </w:p>
    <w:p>
      <w:pPr>
        <w:spacing w:after="120" w:line="288"/>
        <w:jc w:val="both"/>
      </w:pPr>
      <w:r>
        <w:rPr>
          <w:b/>
          <w:bCs/>
        </w:rPr>
        <w:t xml:space="preserve">Fuentes consultadas. </w:t>
      </w:r>
      <w:r>
        <w:t xml:space="preserve">Para la cabeza de detección se consultó el principio de grid de YOLO (Redmon et al., 2016): cada celda predice la caja del objeto cuyo centro cae en ella. La supresión de no máximos sigue el algoritmo estándar por IoU. Ambas están implementadas por el equipo (src/week9_detection.py), sin código, pesos ni librerías de YOLO, Detectron2 o Mask R-CNN, y se verificaron con 19 pruebas unitarias.</w:t>
      </w:r>
    </w:p>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Cada semilla de H6 tardó entre 97 y 124 min en una GPU L4 de Colab con dos entrenamientos a la vez; la receta anterior (D5) tardaba unos 65 min en una T4 de Kaggle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2"/>
      </w:pPr>
      <w:r>
        <w:t xml:space="preserve">Calibración de los pesos de la pérdida</w:t>
      </w:r>
    </w:p>
    <w:p>
      <w:pPr>
        <w:spacing w:after="120" w:line="288"/>
        <w:jc w:val="both"/>
      </w:pPr>
      <w:r>
        <w:t xml:space="preserve">Los pesos no se copiaron de otra implementación: cada uno responde a una propiedad medida de los datos o del entrenamiento, y las alternativas se probaron una a una sobre la receta base (validación, Dice por fragmento de referencia 0.849).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260"/>
        <w:gridCol w:w="3000"/>
      </w:tblGrid>
      <w:tr>
        <w:trPr>
          <w:tblHeader/>
        </w:trPr>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Término</w:t>
            </w:r>
          </w:p>
        </w:tc>
        <w:tc>
          <w:tcPr>
            <w:tcW w:type="dxa" w:w="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Peso</w:t>
            </w:r>
          </w:p>
        </w:tc>
        <w:tc>
          <w:tcPr>
            <w:tcW w:type="dxa" w:w="3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Por qué</w:t>
            </w:r>
          </w:p>
        </w:tc>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Clasificación (BCE)</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Es la tarea más fácil: converge primero y, con peso 1, sus gradientes competirían con tareas que aún no aprenden</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En la época 1 de H6 el F1 ya es 0.907, mientras la detección va en mAP@0.5 0.287 y la instancia en 0.529</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Semántica (CE)</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Es la primera etapa de la lógica de dos etapas: un error de región arrastra a todos sus fragmentos</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Bajar su peso relativo (λ×2 en instancia) no mejora los fragmentos</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Detección, instancia, Dice semántico y Dice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1.0</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Peso de referencia; los términos Dice no dependen de la cantidad de píxeles y compensan el desbalance</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λ×2 (instancia y borde ×2, detección ×0.5): fragmentos 0.849, sin cambio; detección cruda de 0.868 a 0.832</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Fondo en la CE semántica / de instancia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0.2 / 0.1</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El fondo es el 98.1 % de los vóxeles de train (≈ 97.5 % en los cortes con hueso)</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Proporción medida en los 70 casos de train</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secundarios en la 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Son el 47.9 % de los fragmentos pero solo el 10.1 % de los vóxeles de hueso (≈ 9:1). Compensar del todo (×9) sobrepondera; ×3 es el compromiso</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Barrido: ×3 (B1) frente a ×6 (B2, peor detección; 0.820 en otra receta) y sobremuestreo ×3 (D6: 0.837, peor)</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Peso por fractura, focal, Tversky, supervisión profunda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Alternativas para los secundarios y los bordes de fractura</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Ninguna supera el ruido: 0.832, 0.846, 0.846 y 0.846</w:t>
            </w:r>
          </w:p>
        </w:tc>
      </w:tr>
    </w:tbl>
    <w:p>
      <w:pPr>
        <w:spacing w:after="80"/>
      </w:pPr>
    </w:p>
    <w:p>
      <w:pPr>
        <w:spacing w:after="120" w:line="288"/>
        <w:jc w:val="both"/>
      </w:pPr>
      <w:r>
        <w:t xml:space="preserve">Dos términos auxiliares no tuvieron barrido propio y se declaran así: el mapa de centros pondera sus píxeles positivos por 21 (1 + 20 × objetivo), la práctica habitual para mapas de calor con muy pocos positivos; y la pérdida de bordes usa pos_weight 3.0 con un Dice suavizado. </w:t>
      </w:r>
      <w:r>
        <w:rPr>
          <w:b/>
          <w:bCs/>
        </w:rPr>
        <w:t xml:space="preserve">El diagnóstico mostró que la cabeza de bordes quedaba inactiva en todos los modelos</w:t>
      </w:r>
      <w:r>
        <w:t xml:space="preserve"> (probabilidad máxima 0.0005), porque esa combinación premia predecir cero. Reentrenarla con un peso calculado del desbalance la reactivó, pero el Dice por fragmento solo cambió +0.001, así que H6 la conserva sin efecto práctico.</w:t>
      </w:r>
    </w:p>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corte de 384 × 384 px, con lote de 1, sobre 60 cortes reales de validación y 5 pasadas de calentamiento descartadas (mediana, en ms). D5 y H6 tienen la misma arquitectura (2.74 M de parámetros), así que su latencia es la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Configuración</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GPU (NVIDIA L4)</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CPU (12 hilos)</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 modelo</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63.7</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161.7</w:t>
            </w:r>
          </w:p>
        </w:tc>
      </w:tr>
      <w:tr>
        <w:tc>
          <w:tcPr>
            <w:tcW w:type="dxa" w:w="3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 modelo + TTA de espejo</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71.6</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249.6</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Ensamble de 3 semillas + TTA</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87.4</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518.0</w:t>
            </w:r>
          </w:p>
        </w:tc>
      </w:tr>
    </w:tbl>
    <w:p>
      <w:pPr>
        <w:spacing w:after="80"/>
      </w:pPr>
    </w:p>
    <w:p>
      <w:pPr>
        <w:spacing w:after="120" w:line="288"/>
        <w:jc w:val="both"/>
      </w:pPr>
      <w:r>
        <w:t xml:space="preserve">El modelo entregado (un modelo con TTA) procesa un corte en 72 ms en GPU y en 250 ms en CPU: un volumen de 300 cortes tarda unos 22 s en GPU y 75 s en CPU. El ensamble mejora apenas el Dice por fragmento (0.879 frente a 0.875) y duplica el tiempo en CPU, por eso no se usa.</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t xml:space="preserve">La cabeza de clasificación decide en cada corte si cada región está presente. Sobre los 4 664 cortes de test (15 casos), con H6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050"/>
        <w:gridCol w:w="1050"/>
        <w:gridCol w:w="1050"/>
        <w:gridCol w:w="1050"/>
        <w:gridCol w:w="1020"/>
        <w:gridCol w:w="1020"/>
        <w:gridCol w:w="1020"/>
      </w:tblGrid>
      <w:tr>
        <w:trPr>
          <w:tblHeader/>
        </w:trPr>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Precisión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Recall</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F1</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2 238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37</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2 333</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0.984</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0.980</w:t>
            </w:r>
          </w:p>
        </w:tc>
      </w:tr>
      <w:tr>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3 372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11</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1 269</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3 316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4</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1 316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0.992</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0.999</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0.995</w:t>
            </w:r>
          </w:p>
        </w:tc>
      </w:tr>
    </w:tbl>
    <w:p>
      <w:pPr>
        <w:spacing w:after="80"/>
      </w:pPr>
    </w:p>
    <w:p>
      <w:pPr>
        <w:spacing w:after="120" w:line="288"/>
        <w:jc w:val="both"/>
      </w:pPr>
      <w:r>
        <w:t xml:space="preserve">A nivel de píxel, la matriz de la salida semántica (filas: clase real; columnas: clase predicha, en % de la fila) muestra que casi todo el error es hueso que se predice como fondo, sobre todo en el sacro. La confusión entre coxal izquierdo y derecho, que en el modelo previo afectaba al 30 % del coxal izquierdo del caso 012, quedó por debajo del 0.1 %.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Real \ Predicho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Fondo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Sacro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izq.</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der.</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Fondo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99.93</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3.28</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96.65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1.52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98.47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1.45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0.06</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98.47</w:t>
            </w:r>
          </w:p>
        </w:tc>
      </w:tr>
    </w:tbl>
    <w:p>
      <w:pPr>
        <w:pStyle w:val="Heading2"/>
      </w:pPr>
      <w:r>
        <w:t xml:space="preserve">Los cinco peores casos</w:t>
      </w:r>
    </w:p>
    <w:p>
      <w:pPr>
        <w:spacing w:after="120" w:line="288"/>
        <w:jc w:val="both"/>
      </w:pPr>
      <w:r>
        <w:t xml:space="preserve">Los cinco casos de test con menor Dice por fragmento con H6 comparten un patrón: el fragmento principal se segmenta bien (Dice 0.87 a 0.91) y el error se concentra en los fragmentos secundarios. Cada figura muestra el corte del décimo percentil y el corte mediano del caso (tono claro: fragmento secundario).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100"/>
        <w:gridCol w:w="1150"/>
        <w:gridCol w:w="1300"/>
        <w:gridCol w:w="1250"/>
        <w:gridCol w:w="2660"/>
      </w:tblGrid>
      <w:tr>
        <w:trPr>
          <w:tblHeader/>
        </w:trPr>
        <w:tc>
          <w:tcPr>
            <w:tcW w:type="dxa" w:w="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Caso</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Primario</w:t>
            </w:r>
          </w:p>
        </w:tc>
        <w:tc>
          <w:tcPr>
            <w:tcW w:type="dxa" w:w="11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sin pareja</w:t>
            </w:r>
          </w:p>
        </w:tc>
        <w:tc>
          <w:tcPr>
            <w:tcW w:type="dxa" w:w="12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Hueso → fondo</w:t>
            </w:r>
          </w:p>
        </w:tc>
        <w:tc>
          <w:tcPr>
            <w:tcW w:type="dxa" w:w="26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Hipótesis</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039</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0.784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0.890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7.7 %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3.2 %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Volumen de 154 × 322 px con el espaciado más grueso del dataset: al estirarlo a 384 px el sacro se sobrefragmenta (10 fragmentos predichos frente a 5 reales)</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061</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0.822</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0.891</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17.4 %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1.2 %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Dos fragmentos del coxal derecho de tamaño parecido: el modelo elige como principal el que en el corte parece más grande, que no es el mayor del volumen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007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0.831</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0.913</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0.545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24.5 %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1.6 %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Fragmentos secundarios pequeños y en contacto: uno de cada cuatro no se encuentra</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054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0.834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0.899</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0.663</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16.2 %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2.9 %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Mismo intercambio principal/secundario que en 061, en los cortes donde los dos fragmentos se tocan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047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0.854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0.870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0.753</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17.1 %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5.4 %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Hueso fino y poco denso en los extremos del volumen (Dice 0.745 en extremos contra 0.888 en el centro), que se predice como fondo</w:t>
            </w:r>
          </w:p>
        </w:tc>
      </w:tr>
    </w:tbl>
    <w:p>
      <w:pPr>
        <w:spacing w:after="80"/>
      </w:pPr>
    </w:p>
    <w:p>
      <w:pPr>
        <w:spacing w:after="60" w:before="120"/>
        <w:jc w:val="center"/>
      </w:pPr>
      <w:r>
        <w:drawing>
          <wp:inline distT="0" distB="0" distL="0" distR="0">
            <wp:extent cx="4000500" cy="2724150"/>
            <wp:effectExtent t="0" r="0" b="0" l="0"/>
            <wp:docPr id="1" name="peor_039.png" descr="peor_039.png" title="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8. Caso 039 (Dice por fragmento 0.784): el sacro aparece dividido en más fragmentos de los reales.</w:t>
      </w:r>
    </w:p>
    <w:p>
      <w:pPr>
        <w:spacing w:after="60" w:before="120"/>
        <w:jc w:val="center"/>
      </w:pPr>
      <w:r>
        <w:drawing>
          <wp:inline distT="0" distB="0" distL="0" distR="0">
            <wp:extent cx="4000500" cy="2724150"/>
            <wp:effectExtent t="0" r="0" b="0" l="0"/>
            <wp:docPr id="1" name="peor_061.png" descr="peor_061.png" title="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9. Caso 061 (0.822): en el coxal derecho el principal y el secundario quedan intercambiados.</w:t>
      </w:r>
    </w:p>
    <w:p>
      <w:pPr>
        <w:spacing w:after="60" w:before="120"/>
        <w:jc w:val="center"/>
      </w:pPr>
      <w:r>
        <w:drawing>
          <wp:inline distT="0" distB="0" distL="0" distR="0">
            <wp:extent cx="4000500" cy="2724150"/>
            <wp:effectExtent t="0" r="0" b="0" l="0"/>
            <wp:docPr id="1" name="peor_007.png" descr="peor_007.png" title="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10. Caso 007 (0.831): fragmentos secundarios pequeños que se pierden o se fusionan.</w:t>
      </w:r>
    </w:p>
    <w:p>
      <w:pPr>
        <w:spacing w:after="60" w:before="120"/>
        <w:jc w:val="center"/>
      </w:pPr>
      <w:r>
        <w:drawing>
          <wp:inline distT="0" distB="0" distL="0" distR="0">
            <wp:extent cx="4000500" cy="2724150"/>
            <wp:effectExtent t="0" r="0" b="0" l="0"/>
            <wp:docPr id="1" name="peor_054.png" descr="peor_054.png" title="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11. Caso 054 (0.834): intercambio principal/secundario en fragmentos que se tocan.</w:t>
      </w:r>
    </w:p>
    <w:p>
      <w:pPr>
        <w:spacing w:after="60" w:before="120"/>
        <w:jc w:val="center"/>
      </w:pPr>
      <w:r>
        <w:drawing>
          <wp:inline distT="0" distB="0" distL="0" distR="0">
            <wp:extent cx="4000500" cy="2724150"/>
            <wp:effectExtent t="0" r="0" b="0" l="0"/>
            <wp:docPr id="1" name="peor_047.png" descr="peor_047.png" title="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12. Caso 047 (0.854): pérdida de hueso fino en los extremos del volumen.</w:t>
      </w:r>
    </w:p>
    <w:p>
      <w:pPr>
        <w:spacing w:after="120" w:line="288"/>
        <w:jc w:val="both"/>
      </w:pPr>
      <w:r>
        <w:t xml:space="preserve">Con el modelo previo (D5), el peor caso era 012, con el paciente girado unos 26°. Con H6 pasa a 0.865: el centro del volumen sube a 0.932, aunque los extremos siguen débiles (0.621). El análisis que llevó a la orientación canónica se resume en las Figuras 13 a 15.</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13.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eran puntuales: en 012 y 039 había tramos largos del hueso por debajo de 0.6 (Figura 14). Al girar la imagen del caso 012 antes de pasarla al modelo, el Dice pasaba de 0.69 (sin giro) a 0.83 (−45°) y caía hasta 0.03 con otros giros (Figura 15):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14.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15.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t xml:space="preserve">La distancia de cada fragmento secundario a su principal se mide borde a borde en 3D, con distance_transform_edt y el espaciado de la cabecera, sobre la máscara predicha y sobre el ground truth del mismo caso. Como métricas adicionales del challenge se reportan ASSD y HD95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5"/>
        <w:gridCol w:w="1615"/>
        <w:gridCol w:w="1615"/>
        <w:gridCol w:w="1615"/>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(41 secundarios)</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H6</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H6</w:t>
            </w:r>
          </w:p>
        </w:tc>
      </w:tr>
      <w:tr>
        <w:tc>
          <w:tcPr>
            <w:tcW w:type="dxa" w:w="29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Error medio de distancia (mm)</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0.518</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0.185</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2.956</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1.277</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Error p90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0.388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0.000</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3.453</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0.556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Correlación con la distancia real</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0.543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0.818</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Secundarios con distancia predicha</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Dice 3D principal / secundario</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0.911 / 0.605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 / 0.701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0.909 / 0.682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0.931 / 0.756</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ASSD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5.11</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4.08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3.02</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2.06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HD95 (mm)</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22.81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17.99</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16.33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11.55</w:t>
            </w:r>
          </w:p>
        </w:tc>
      </w:tr>
    </w:tbl>
    <w:p>
      <w:pPr>
        <w:spacing w:after="80"/>
      </w:pPr>
    </w:p>
    <w:p>
      <w:pPr>
        <w:spacing w:after="120" w:line="288"/>
        <w:jc w:val="both"/>
      </w:pPr>
      <w:r>
        <w:t xml:space="preserve">En test, H6 reduce el error medio de 2.96 a 1.28 mm y sube la correlación de 0.54 a 0.82. De los 36 secundarios con distancia predicha, solo 4 tienen un error mayor a 1 mm, y </w:t>
      </w:r>
      <w:r>
        <w:rPr>
          <w:b/>
          <w:bCs/>
        </w:rPr>
        <w:t xml:space="preserve">uno solo concentra el 79 % del error</w:t>
      </w:r>
      <w:r>
        <w:t xml:space="preserve">: en el caso 007, un fragmento del coxal derecho a 9.4 mm del principal se mide a 45.8 mm, porque la predicción le agrega un componente aislado lejos del hueso. Los otros errores grandes son del caso 054, con fragmentos en contacto (distancia real 0 mm) que la predicción separa por unos milímetros, la situación que el enunciado pide declarar como limitación.</w:t>
      </w:r>
    </w:p>
    <w:p>
      <w:pPr>
        <w:pStyle w:val="Heading2"/>
      </w:pPr>
      <w:r>
        <w:t xml:space="preserve">Comparación con SAM</w:t>
      </w:r>
    </w:p>
    <w:p>
      <w:pPr>
        <w:spacing w:after="120" w:line="288"/>
        <w:jc w:val="both"/>
      </w:pPr>
      <w:r>
        <w:t xml:space="preserve">SAM ViT-B se ejecutó en modo zero-shot sobre test, con la caja que predice nuestro detector como prompt, y se comparó región por región con la máscara semántica de H6 dentro de la misma caja (1 181 cortes, uno de cada tres; 3 002 pares corte-región). SAM no forma parte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H6</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H6</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0.792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0.884</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0.690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0.820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0.915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0.947</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0.859</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0.905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0.879</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w:t>
            </w:r>
          </w:p>
        </w:tc>
      </w:tr>
      <w:tr>
        <w:tc>
          <w:tcPr>
            <w:tcW w:type="dxa" w:w="24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Global</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0.935</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0.823</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r>
    </w:tbl>
    <w:p>
      <w:pPr>
        <w:spacing w:after="80"/>
      </w:pPr>
    </w:p>
    <w:p>
      <w:pPr>
        <w:spacing w:after="120" w:line="288"/>
        <w:jc w:val="both"/>
      </w:pPr>
      <w:r>
        <w:t xml:space="preserve">El modelo propio supera a SAM en las tres regiones, y la diferencia es mayor en el sacro, la región con forma más irregular y bordes menos nítidos. SAM, entrenado con imágenes naturales, delimita bien los coxales cuando la caja es buena, pero no distingue fragmentos ni regiones, y en la misma GPU L4 tarda unos 259 ms por corte solo en su parte, frente a unos 64 ms de todo el modelo propio.</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w:t>
      </w:r>
      <w:r>
        <w:t xml:space="preserve">El modelo depende de la cabecera del archivo. En el entrenamiento y la evaluación los 34 volúmenes LPI se enderezaron con una lista derivada de sus cabeceras, y la demo lee la cabecera de cada archivo, así que también sirve para un paciente nuevo. Solo se contempla el giro de 180° en el plano: un volumen sin esa información, o un paciente girado más de lo que cubre el aumento de ±35°, entra mal orientado.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Otros cinco checkpoints, junto con D5 (D5 semillas 43 y 44, E2 en dos semillas y F2)</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0.841 a 0.848</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Solo para medir la variación entre semillas y ablaciones, con la regla escrita de antemano de que no servían para elegir modelo</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Bitácora de la Semana 10</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docs/decisiones_semana10.md</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Demo y despliegue</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docs/semana11_dashboard.md, docs/despliegue_aws_streamlit.md y docs/cicd_github_actions.md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Vóxeles de metal (más de 3000 HU) en 41 casos, 25 de ellos con más de 100 mm³, casi siempre fuera del hueso pélvico. Máscara del visualizador: recall de 0.57 a 0.92.</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demo con H6 y orientación leída de la cabecera; dashboard en Streamlit Community Cloud y API de inferencia en AWS Lambda, con pruebas y despliegue automáticos.</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Latencia: 72 ms por corte en GPU y 250 ms en CPU. El túnel de Cloudflare quedó como opción y no se montó. Pendiente: probar el dashboard publicado desde un celular.</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Redmon, J. et al. You Only Look Once: Unified, Real-Time Object Detection. CVPR, 2016 (consultado solo como principio del grid; implementación propia).</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99b9a55200241cd501ce7ad52b00ca5658eca7ea.png"/><Relationship Id="rId16" Type="http://schemas.openxmlformats.org/officeDocument/2006/relationships/image" Target="media/6fbe0ab526af1b057391dd670cea2af7aa0fe614.png"/><Relationship Id="rId17" Type="http://schemas.openxmlformats.org/officeDocument/2006/relationships/image" Target="media/1fba08b81a53a08a9abf7816a2492e2d47d3a4fc.png"/><Relationship Id="rId18" Type="http://schemas.openxmlformats.org/officeDocument/2006/relationships/image" Target="media/c208f21c2d010d4569270b0ebd9fec033397b66f.png"/><Relationship Id="rId19" Type="http://schemas.openxmlformats.org/officeDocument/2006/relationships/image" Target="media/b79fe26b22f8630b27d86461b27f6b8b8de72ced.png"/><Relationship Id="rId20" Type="http://schemas.openxmlformats.org/officeDocument/2006/relationships/image" Target="media/d8e2318089704abc6b447a360b4664bbed71efe1.png"/><Relationship Id="rId21" Type="http://schemas.openxmlformats.org/officeDocument/2006/relationships/image" Target="media/33efc1cbb829ef34bef565366076c3130063750b.png"/><Relationship Id="rId22" Type="http://schemas.openxmlformats.org/officeDocument/2006/relationships/image" Target="media/476fdb1980f352d9c9530c2d25289389c32ea0b6.png"/><Relationship Id="rId23" Type="http://schemas.openxmlformats.org/officeDocument/2006/relationships/image" Target="media/6071eae5115bf441e7e8e6dd89ce1d8c4ecdd981.png"/><Relationship Id="rId24" Type="http://schemas.openxmlformats.org/officeDocument/2006/relationships/image" Target="media/05f6ab71186234df3d580c5a774742387f0f10aa.png"/><Relationship Id="rId25" Type="http://schemas.openxmlformats.org/officeDocument/2006/relationships/image" Target="media/8bff5ea7d9570262c771bd1438ab85134e8c0587.png"/><Relationship Id="rId26" Type="http://schemas.openxmlformats.org/officeDocument/2006/relationships/image" Target="media/a41e68022519c64bbdebe31fdb125eb9d798024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2026-10-07T04:01:51.580Z</dcterms:created>
  <dcterms:modified xsi:type="dcterms:W3CDTF">2026-10-07T04:01:51.581Z</dcterms:modified>
</cp:coreProperties>
</file>

<file path=docProps/custom.xml><?xml version="1.0" encoding="utf-8"?>
<Properties xmlns="http://schemas.openxmlformats.org/officeDocument/2006/custom-properties" xmlns:vt="http://schemas.openxmlformats.org/officeDocument/2006/docPropsVTypes"/>
</file>