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left"/>
      </w:pPr>
      <w:r>
        <w:rPr>
          <w:b/>
          <w:bCs/>
          <w:color w:val="2A9D8F"/>
          <w:sz w:val="22"/>
          <w:szCs w:val="22"/>
        </w:rPr>
        <w:t xml:space="preserve">PROYECTO INTEGRADOR · CORTE 2</w:t>
      </w:r>
    </w:p>
    <w:p>
      <w:pPr>
        <w:spacing w:after="300"/>
      </w:pPr>
      <w:r>
        <w:rPr>
          <w:b/>
          <w:bCs/>
          <w:color w:val="1F3A5F"/>
          <w:sz w:val="48"/>
          <w:szCs w:val="48"/>
        </w:rPr>
        <w:t xml:space="preserve">Detección, segmentación y clasificación de fragmentos de fractura pélvica en CT</w:t>
      </w:r>
    </w:p>
    <w:p>
      <w:pPr>
        <w:spacing w:after="600"/>
      </w:pPr>
      <w:r>
        <w:rPr>
          <w:color w:val="5C677D"/>
          <w:sz w:val="26"/>
          <w:szCs w:val="26"/>
        </w:rPr>
        <w:t xml:space="preserve">Un modelo multitarea 2D propio con atención CBAM, entrenado sobre el dataset PENGWIN 2024</w:t>
      </w:r>
    </w:p>
    <w:p>
      <w:pPr>
        <w:pBdr>
          <w:top w:val="single" w:color="2A9D8F" w:sz="8" w:space="8"/>
        </w:pBdr>
        <w:spacing w:after="120"/>
      </w:pPr>
      <w:r>
        <w:rPr>
          <w:sz w:val="22"/>
          <w:szCs w:val="22"/>
        </w:rPr>
        <w:t xml:space="preserve">Analítica de Datos · Universidad Autónoma de Occidente · 2026-2</w:t>
      </w:r>
    </w:p>
    <w:p>
      <w:pPr>
        <w:spacing w:after="120" w:line="288"/>
        <w:jc w:val="left"/>
      </w:pPr>
      <w:r>
        <w:rPr>
          <w:b/>
          <w:bCs/>
        </w:rPr>
        <w:t xml:space="preserve">Profesor: </w:t>
      </w:r>
      <w:r>
        <w:t xml:space="preserve">Carlos Ferro</w:t>
      </w:r>
    </w:p>
    <w:p>
      <w:pPr>
        <w:spacing w:after="60"/>
      </w:pPr>
      <w:r>
        <w:rPr>
          <w:b/>
          <w:bCs/>
        </w:rPr>
        <w:t xml:space="preserve">Equipo</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5600"/>
        <w:gridCol w:w="2000"/>
      </w:tblGrid>
      <w:tr>
        <w:trPr>
          <w:tblHeader/>
        </w:trPr>
        <w:tc>
          <w:tcPr>
            <w:tcW w:type="dxa" w:w="56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8"/>
                <w:szCs w:val="18"/>
              </w:rPr>
              <w:t xml:space="preserve">Integrante</w:t>
            </w:r>
          </w:p>
        </w:tc>
        <w:tc>
          <w:tcPr>
            <w:tcW w:type="dxa" w:w="2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Código</w:t>
            </w:r>
          </w:p>
        </w:tc>
      </w:tr>
      <w:tr>
        <w:tc>
          <w:tcPr>
            <w:tcW w:type="dxa" w:w="5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color w:val="1B1B1B"/>
                <w:sz w:val="18"/>
                <w:szCs w:val="18"/>
              </w:rPr>
              <w:t xml:space="preserve">Gustavo Adolfo Chipantiza</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color w:val="1B1B1B"/>
                <w:sz w:val="18"/>
                <w:szCs w:val="18"/>
              </w:rPr>
              <w:t xml:space="preserve">2222022</w:t>
            </w:r>
          </w:p>
        </w:tc>
      </w:tr>
      <w:tr>
        <w:tc>
          <w:tcPr>
            <w:tcW w:type="dxa" w:w="56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color w:val="1B1B1B"/>
                <w:sz w:val="18"/>
                <w:szCs w:val="18"/>
              </w:rPr>
              <w:t xml:space="preserve">Federico Gonzales Cárdenas</w:t>
            </w:r>
          </w:p>
        </w:tc>
        <w:tc>
          <w:tcPr>
            <w:tcW w:type="dxa" w:w="20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color w:val="1B1B1B"/>
                <w:sz w:val="18"/>
                <w:szCs w:val="18"/>
              </w:rPr>
              <w:t xml:space="preserve">2225657</w:t>
            </w:r>
          </w:p>
        </w:tc>
      </w:tr>
      <w:tr>
        <w:tc>
          <w:tcPr>
            <w:tcW w:type="dxa" w:w="5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color w:val="1B1B1B"/>
                <w:sz w:val="18"/>
                <w:szCs w:val="18"/>
              </w:rPr>
              <w:t xml:space="preserve">Juan Jacobo Delgado Melo</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color w:val="1B1B1B"/>
                <w:sz w:val="18"/>
                <w:szCs w:val="18"/>
              </w:rPr>
              <w:t xml:space="preserve">2230110</w:t>
            </w:r>
          </w:p>
        </w:tc>
      </w:tr>
      <w:tr>
        <w:tc>
          <w:tcPr>
            <w:tcW w:type="dxa" w:w="56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color w:val="1B1B1B"/>
                <w:sz w:val="18"/>
                <w:szCs w:val="18"/>
              </w:rPr>
              <w:t xml:space="preserve">María de los Ángeles Valencia Hurtado</w:t>
            </w:r>
          </w:p>
        </w:tc>
        <w:tc>
          <w:tcPr>
            <w:tcW w:type="dxa" w:w="20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color w:val="1B1B1B"/>
                <w:sz w:val="18"/>
                <w:szCs w:val="18"/>
              </w:rPr>
              <w:t xml:space="preserve">2235112</w:t>
            </w:r>
          </w:p>
        </w:tc>
      </w:tr>
    </w:tbl>
    <w:p>
      <w:pPr>
        <w:spacing w:after="80"/>
      </w:pPr>
    </w:p>
    <w:p>
      <w:pPr>
        <w:spacing w:after="120" w:line="288"/>
        <w:jc w:val="left"/>
      </w:pPr>
      <w:r>
        <w:rPr>
          <w:b/>
          <w:bCs/>
        </w:rPr>
        <w:t xml:space="preserve">Repositorio: </w:t>
      </w:r>
      <w:r>
        <w:t xml:space="preserve">github.com/pengwin-analitica-2026/proyecto2-analitica-datos</w:t>
      </w:r>
    </w:p>
    <w:p>
      <w:pPr>
        <w:pBdr>
          <w:left w:val="single" w:color="E76F51" w:sz="18" w:space="8"/>
        </w:pBdr>
        <w:shd w:fill="FDF1EC" w:color="auto" w:val="clear"/>
        <w:spacing w:before="900"/>
      </w:pPr>
      <w:r>
        <w:rPr>
          <w:b/>
          <w:bCs/>
        </w:rPr>
        <w:t xml:space="preserve">Uso exclusivamente académico. </w:t>
      </w:r>
      <w:r>
        <w:t xml:space="preserve">Este sistema no es un dispositivo médico, no ha sido validado clínicamente y no debe usarse para apoyar decisiones quirúrgicas reales.</w:t>
      </w:r>
    </w:p>
    <w:p>
      <w:r>
        <w:br w:type="page"/>
      </w:r>
    </w:p>
    <w:p>
      <w:pPr>
        <w:pStyle w:val="Heading1"/>
      </w:pPr>
      <w:r>
        <w:t xml:space="preserve">Resumen</w:t>
      </w:r>
    </w:p>
    <w:p>
      <w:pPr>
        <w:spacing w:after="120" w:line="288"/>
        <w:jc w:val="both"/>
      </w:pPr>
      <w:r>
        <w:t xml:space="preserve">Presentamos un sistema que, en cada corte de una tomografía pélvica, clasifica la presencia del sacro y de los dos coxales, los localiza con cajas, segmenta sus fragmentos y mide su separación en milímetros. Usa una red 2D con un backbone convolucional propio de 32 canales, atención CBAM y tres cabezas entrenadas desde cero, sin frameworks de detección ni de segmentación. </w:t>
      </w:r>
      <w:r>
        <w:t xml:space="preserve">Tras una investigación sistemática de la métrica más exigente, el Dice por fragmento, encontramos que un tercio de los volúmenes estaba almacenado girado 180°. Corregir la orientación desde la cabecera del archivo y entrenar con aumento geométrico llevó el modelo final (H6) a </w:t>
      </w:r>
      <w:r>
        <w:rPr>
          <w:b/>
          <w:bCs/>
        </w:rPr>
        <w:t xml:space="preserve">cumplir las 9 métricas del enunciado en test</w:t>
      </w:r>
      <w:r>
        <w:t xml:space="preserve">, con un Dice por fragmento de </w:t>
      </w:r>
      <w:r>
        <w:rPr>
          <w:b/>
          <w:bCs/>
        </w:rPr>
        <w:t xml:space="preserve">0.875 ± 0.001</w:t>
      </w:r>
      <w:r>
        <w:t xml:space="preserve"> en tres semillas (objetivo 0.85). Esta cifra es una segunda evaluación en test, posterior al análisis de fallos; la primera evaluación oficial, con el modelo anterior, dio 0.845. Ambas se reportan.</w:t>
      </w:r>
    </w:p>
    <w:p>
      <w:r>
        <w:br w:type="page"/>
      </w:r>
    </w:p>
    <w:p>
      <w:pPr>
        <w:pStyle w:val="Heading1"/>
      </w:pPr>
      <w:r>
        <w:t xml:space="preserve">1. Introducción</w:t>
      </w:r>
    </w:p>
    <w:p>
      <w:pPr>
        <w:spacing w:after="120" w:line="288"/>
        <w:jc w:val="both"/>
      </w:pPr>
      <w:r>
        <w:t xml:space="preserve">Las fracturas pélvicas de alta energía tienen una discapacidad superior al 50 % y una mortalidad superior al 13 %. Para planear su reducción quirúrgica hay que saber cuántos fragmentos hay, a qué hueso pertenece cada uno y cuánto se separó del fragmento principal. El proyecto automatiza esa lectura con cuatro restricciones del curso: </w:t>
      </w:r>
      <w:r>
        <w:rPr>
          <w:b/>
          <w:bCs/>
        </w:rPr>
        <w:t xml:space="preserve">arquitectura 2D</w:t>
      </w:r>
      <w:r>
        <w:t xml:space="preserve"> corte a corte, </w:t>
      </w:r>
      <w:r>
        <w:rPr>
          <w:b/>
          <w:bCs/>
        </w:rPr>
        <w:t xml:space="preserve">backbone propio con CBAM</w:t>
      </w:r>
      <w:r>
        <w:t xml:space="preserve">, </w:t>
      </w:r>
      <w:r>
        <w:rPr>
          <w:b/>
          <w:bCs/>
        </w:rPr>
        <w:t xml:space="preserve">tres cabezas entrenadas desde cero</w:t>
      </w:r>
      <w:r>
        <w:t xml:space="preserve"> y </w:t>
      </w:r>
      <w:r>
        <w:rPr>
          <w:b/>
          <w:bCs/>
        </w:rPr>
        <w:t xml:space="preserve">ningún framework de alto nivel</w:t>
      </w:r>
      <w:r>
        <w:t xml:space="preserve"> (SAM solo como línea base).</w:t>
      </w:r>
    </w:p>
    <w:p>
      <w:pPr>
        <w:pStyle w:val="Heading1"/>
      </w:pPr>
      <w:r>
        <w:t xml:space="preserve">2. Datos y preprocesamiento</w:t>
      </w:r>
    </w:p>
    <w:p>
      <w:pPr>
        <w:spacing w:after="120" w:line="288"/>
        <w:jc w:val="both"/>
      </w:pPr>
      <w:r>
        <w:t xml:space="preserve">Se usaron los 100 volúmenes de entrenamiento de PENGWIN 2024 (Task 1, CT), en formato .mha y con máscaras validadas por expertos. La partición es por paciente, nunca por corte, y está estratificada por número de fragmentos (semilla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8"/>
                <w:szCs w:val="18"/>
              </w:rPr>
              <w:t xml:space="preserve">Aspecto</w:t>
            </w:r>
          </w:p>
        </w:tc>
        <w:tc>
          <w:tcPr>
            <w:tcW w:type="dxa" w:w="59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Valor</w:t>
            </w:r>
          </w:p>
        </w:tc>
      </w:tr>
      <w:tr>
        <w:tc>
          <w:tcPr>
            <w:tcW w:type="dxa" w:w="3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Partición</w:t>
            </w:r>
          </w:p>
        </w:tc>
        <w:tc>
          <w:tcPr>
            <w:tcW w:type="dxa" w:w="59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70 entrenamiento · 15 validación · 15 test</w:t>
            </w:r>
          </w:p>
        </w:tc>
      </w:tr>
      <w:tr>
        <w:tc>
          <w:tcPr>
            <w:tcW w:type="dxa" w:w="34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bCs/>
                <w:color w:val="1B1B1B"/>
                <w:sz w:val="18"/>
                <w:szCs w:val="18"/>
              </w:rPr>
              <w:t xml:space="preserve">Etiquetas</w:t>
            </w:r>
          </w:p>
        </w:tc>
        <w:tc>
          <w:tcPr>
            <w:tcW w:type="dxa" w:w="59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 fondo · 1–10 sacro · 11–20 coxal izquierdo · 21–30 coxal derecho</w:t>
            </w:r>
          </w:p>
        </w:tc>
      </w:tr>
      <w:tr>
        <w:tc>
          <w:tcPr>
            <w:tcW w:type="dxa" w:w="3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Fragmentos por caso</w:t>
            </w:r>
          </w:p>
        </w:tc>
        <w:tc>
          <w:tcPr>
            <w:tcW w:type="dxa" w:w="59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3 a 9 (media 5.75); el ID 1/11/21 es el más grande en 300 de 300 regiones</w:t>
            </w:r>
          </w:p>
        </w:tc>
      </w:tr>
      <w:tr>
        <w:tc>
          <w:tcPr>
            <w:tcW w:type="dxa" w:w="34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bCs/>
                <w:color w:val="1B1B1B"/>
                <w:sz w:val="18"/>
                <w:szCs w:val="18"/>
              </w:rPr>
              <w:t xml:space="preserve">Spacing</w:t>
            </w:r>
          </w:p>
        </w:tc>
        <w:tc>
          <w:tcPr>
            <w:tcW w:type="dxa" w:w="59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0.66–1.22 mm en el plano · 0.625–1.25 mm entre cortes</w:t>
            </w:r>
          </w:p>
        </w:tc>
      </w:tr>
      <w:tr>
        <w:tc>
          <w:tcPr>
            <w:tcW w:type="dxa" w:w="3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Orientación</w:t>
            </w:r>
          </w:p>
        </w:tc>
        <w:tc>
          <w:tcPr>
            <w:tcW w:type="dxa" w:w="59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Un tercio de los volúmenes viene almacenado girado 180° según su cabecera</w:t>
            </w:r>
          </w:p>
        </w:tc>
      </w:tr>
    </w:tbl>
    <w:p>
      <w:pPr>
        <w:spacing w:after="80"/>
      </w:pPr>
    </w:p>
    <w:p>
      <w:pPr>
        <w:spacing w:after="60" w:before="120"/>
        <w:jc w:val="center"/>
      </w:pPr>
      <w:r>
        <w:drawing>
          <wp:inline distT="0" distB="0" distL="0" distR="0">
            <wp:extent cx="5715000" cy="1476375"/>
            <wp:effectExtent t="0" r="0" b="0" l="0"/>
            <wp:docPr id="1" name="nb_fragmentos.png" descr="nb_fragmentos.png" title="nb_fragmen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476375"/>
                    </a:xfrm>
                    <a:prstGeom prst="rect">
                      <a:avLst/>
                    </a:prstGeom>
                  </pic:spPr>
                </pic:pic>
              </a:graphicData>
            </a:graphic>
          </wp:inline>
        </w:drawing>
      </w:r>
    </w:p>
    <w:p>
      <w:pPr>
        <w:spacing w:after="200"/>
        <w:jc w:val="center"/>
      </w:pPr>
      <w:r>
        <w:rPr>
          <w:i/>
          <w:iCs/>
          <w:color w:val="5C677D"/>
          <w:sz w:val="18"/>
          <w:szCs w:val="18"/>
        </w:rPr>
        <w:t xml:space="preserve">Figura 1. Fragmentos por caso y por región (1 = sin fractura) y volumen de hueso por caso.</w:t>
      </w:r>
    </w:p>
    <w:p>
      <w:pPr>
        <w:pStyle w:val="Heading2"/>
      </w:pPr>
      <w:r>
        <w:t xml:space="preserve">Cadena de preprocesamiento</w:t>
      </w:r>
    </w:p>
    <w:p>
      <w:pPr>
        <w:spacing w:after="120" w:line="288"/>
        <w:jc w:val="both"/>
      </w:pPr>
      <w:r>
        <w:t xml:space="preserve">Cada volumen pasa por cuatro pasos fijos, idénticos en entrenamiento y evaluación: </w:t>
      </w:r>
      <w:r>
        <w:rPr>
          <w:b/>
          <w:bCs/>
        </w:rPr>
        <w:t xml:space="preserve">(1) orientación canónica</w:t>
      </w:r>
      <w:r>
        <w:t xml:space="preserve"> según la cabecera, </w:t>
      </w:r>
      <w:r>
        <w:rPr>
          <w:b/>
          <w:bCs/>
        </w:rPr>
        <w:t xml:space="preserve">(2) recorte de HU</w:t>
      </w:r>
      <w:r>
        <w:t xml:space="preserve"> a [−1024, 3000], </w:t>
      </w:r>
      <w:r>
        <w:rPr>
          <w:b/>
          <w:bCs/>
        </w:rPr>
        <w:t xml:space="preserve">(3) ventana ósea C400/W1800</w:t>
      </w:r>
      <w:r>
        <w:t xml:space="preserve"> y </w:t>
      </w:r>
      <w:r>
        <w:rPr>
          <w:b/>
          <w:bCs/>
        </w:rPr>
        <w:t xml:space="preserve">(4) corrección gamma 1.5</w:t>
      </w:r>
      <w:r>
        <w:t xml:space="preserve">, seguida del reescalado a 384 × 384. La orientación canónica no usa etiquetas: los 34 volúmenes guardados en orientación LPI se giran 180° en el plano, igual en la imagen y en la máscara y en todos los splits. En la demo todavía falta aplicarla (sección 9).</w:t>
      </w:r>
    </w:p>
    <w:p>
      <w:pPr>
        <w:spacing w:after="60" w:before="120"/>
        <w:jc w:val="center"/>
      </w:pPr>
      <w:r>
        <w:drawing>
          <wp:inline distT="0" distB="0" distL="0" distR="0">
            <wp:extent cx="4095750" cy="3057525"/>
            <wp:effectExtent t="0" r="0" b="0" l="0"/>
            <wp:docPr id="1" name="nb_preproc_ejemplos.png" descr="nb_preproc_ejemplos.png" title="nb_preproc_ejempl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057525"/>
                    </a:xfrm>
                    <a:prstGeom prst="rect">
                      <a:avLst/>
                    </a:prstGeom>
                  </pic:spPr>
                </pic:pic>
              </a:graphicData>
            </a:graphic>
          </wp:inline>
        </w:drawing>
      </w:r>
    </w:p>
    <w:p>
      <w:pPr>
        <w:spacing w:after="200"/>
        <w:jc w:val="center"/>
      </w:pPr>
      <w:r>
        <w:rPr>
          <w:i/>
          <w:iCs/>
          <w:color w:val="5C677D"/>
          <w:sz w:val="18"/>
          <w:szCs w:val="18"/>
        </w:rPr>
        <w:t xml:space="preserve">Figura 2. HU crudo, ventana ósea y entrada final al modelo (ventana + gamma 1.5) en tres casos: con más hueso, con metal y con relleno del escáner.</w:t>
      </w:r>
    </w:p>
    <w:p>
      <w:pPr>
        <w:spacing w:after="120" w:line="288"/>
        <w:jc w:val="both"/>
      </w:pPr>
      <w:r>
        <w:t xml:space="preserve">Gamma 1.5 reemplazó a CLAHE tras compararlos con dos criterios independientes (Figura 3): el contraste-ruido entre hueso y tejido blando y la calidad de una máscara de Otsu frente a la etiqueta. CLAHE triplicaba el ruido del tejido blando; gamma no pierde información y separa mejor el hueso.</w:t>
      </w:r>
    </w:p>
    <w:p>
      <w:pPr>
        <w:spacing w:after="60" w:before="120"/>
        <w:jc w:val="center"/>
      </w:pPr>
      <w:r>
        <w:drawing>
          <wp:inline distT="0" distB="0" distL="0" distR="0">
            <wp:extent cx="5715000" cy="1943100"/>
            <wp:effectExtent t="0" r="0" b="0" l="0"/>
            <wp:docPr id="1" name="fig_preproc.png" descr="fig_preproc.png" title="fig_prep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943100"/>
                    </a:xfrm>
                    <a:prstGeom prst="rect">
                      <a:avLst/>
                    </a:prstGeom>
                  </pic:spPr>
                </pic:pic>
              </a:graphicData>
            </a:graphic>
          </wp:inline>
        </w:drawing>
      </w:r>
    </w:p>
    <w:p>
      <w:pPr>
        <w:spacing w:after="200"/>
        <w:jc w:val="center"/>
      </w:pPr>
      <w:r>
        <w:rPr>
          <w:i/>
          <w:iCs/>
          <w:color w:val="5C677D"/>
          <w:sz w:val="18"/>
          <w:szCs w:val="18"/>
        </w:rPr>
        <w:t xml:space="preserve">Figura 3. Comparación de preprocesamientos en 5 casos de referencia.</w:t>
      </w:r>
    </w:p>
    <w:p>
      <w:pPr>
        <w:pStyle w:val="Heading1"/>
      </w:pPr>
      <w:r>
        <w:t xml:space="preserve">3. Arquitectura y decisiones de diseño</w:t>
      </w:r>
    </w:p>
    <w:p>
      <w:pPr>
        <w:spacing w:after="120" w:line="288"/>
        <w:jc w:val="both"/>
      </w:pPr>
      <w:r>
        <w:t xml:space="preserve">Un backbone convolucional propio alimenta tres cabezas en un solo paso hacia adelante (Figura 4). La segmentación tiene dos salidas: una semántica, que define cada hueso, y una de instancia, que separa el fragmento principal de los secundarios dentro de cada hueso.</w:t>
      </w:r>
    </w:p>
    <w:p>
      <w:pPr>
        <w:spacing w:after="60" w:before="120"/>
        <w:jc w:val="center"/>
      </w:pPr>
      <w:r>
        <w:drawing>
          <wp:inline distT="0" distB="0" distL="0" distR="0">
            <wp:extent cx="5905500" cy="2476500"/>
            <wp:effectExtent t="0" r="0" b="0" l="0"/>
            <wp:docPr id="1" name="fig_arquitectura.png" descr="fig_arquitectura.png" title="fig_arquite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476500"/>
                    </a:xfrm>
                    <a:prstGeom prst="rect">
                      <a:avLst/>
                    </a:prstGeom>
                  </pic:spPr>
                </pic:pic>
              </a:graphicData>
            </a:graphic>
          </wp:inline>
        </w:drawing>
      </w:r>
    </w:p>
    <w:p>
      <w:pPr>
        <w:spacing w:after="200"/>
        <w:jc w:val="center"/>
      </w:pPr>
      <w:r>
        <w:rPr>
          <w:i/>
          <w:iCs/>
          <w:color w:val="5C677D"/>
          <w:sz w:val="18"/>
          <w:szCs w:val="18"/>
        </w:rPr>
        <w:t xml:space="preserve">Figura 4. Arquitectura del modelo final (2.74 M de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8"/>
                <w:szCs w:val="18"/>
              </w:rPr>
              <w:t xml:space="preserve">Decisión</w:t>
            </w:r>
          </w:p>
        </w:tc>
        <w:tc>
          <w:tcPr>
            <w:tcW w:type="dxa" w:w="38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Motivo</w:t>
            </w:r>
          </w:p>
        </w:tc>
        <w:tc>
          <w:tcPr>
            <w:tcW w:type="dxa" w:w="29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Evidencia</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32 canales base</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Más capacidad para separar fragmentos</w:t>
            </w:r>
          </w:p>
        </w:tc>
        <w:tc>
          <w:tcPr>
            <w:tcW w:type="dxa" w:w="29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Dice por fragmento: 8 → 16 → 32 canales = 0.829 → 0.839 → 0.849; 48 canales no mejora</w:t>
            </w:r>
          </w:p>
        </w:tc>
      </w:tr>
      <w:tr>
        <w:tc>
          <w:tcPr>
            <w:tcW w:type="dxa" w:w="26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bCs/>
                <w:color w:val="1B1B1B"/>
                <w:sz w:val="18"/>
                <w:szCs w:val="18"/>
              </w:rPr>
              <w:t xml:space="preserve">CBAM en 1 etapa</w:t>
            </w:r>
          </w:p>
        </w:tc>
        <w:tc>
          <w:tcPr>
            <w:tcW w:type="dxa" w:w="38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Atención antes de las cabezas</w:t>
            </w:r>
          </w:p>
        </w:tc>
        <w:tc>
          <w:tcPr>
            <w:tcW w:type="dxa" w:w="29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Mejor detección que sin CBAM y que en 3 etapas (sección 6)</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Instancia primario / secundario</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Tarea acotada por hueso</w:t>
            </w:r>
          </w:p>
        </w:tc>
        <w:tc>
          <w:tcPr>
            <w:tcW w:type="dxa" w:w="29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Con 31 IDs se perdía el 45 % de los secundarios (0.787)</w:t>
            </w:r>
          </w:p>
        </w:tc>
      </w:tr>
      <w:tr>
        <w:tc>
          <w:tcPr>
            <w:tcW w:type="dxa" w:w="26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bCs/>
                <w:color w:val="1B1B1B"/>
                <w:sz w:val="18"/>
                <w:szCs w:val="18"/>
              </w:rPr>
              <w:t xml:space="preserve">Grid y NMS propios</w:t>
            </w:r>
          </w:p>
        </w:tc>
        <w:tc>
          <w:tcPr>
            <w:tcW w:type="dxa" w:w="38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Restricción del curso</w:t>
            </w:r>
          </w:p>
        </w:tc>
        <w:tc>
          <w:tcPr>
            <w:tcW w:type="dxa" w:w="29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Overfit intencional: pérdida de 1.687 a 0.002 (758×)</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384 px por corte (el enunciado recomienda 224–256)</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Hay fragmentos desde 9 cortes y menos de 500 mm³; a 256 px ocupan muy pocos píxeles</w:t>
            </w:r>
          </w:p>
        </w:tc>
        <w:tc>
          <w:tcPr>
            <w:tcW w:type="dxa" w:w="29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Fue parte de los cambios que subieron el Dice por fragmento de 0.667 a ~0.82 en la primera versión de la Semana 10; batch 16 con precisión mixta cabe en una GPU T4</w:t>
            </w:r>
          </w:p>
        </w:tc>
      </w:tr>
      <w:tr>
        <w:tc>
          <w:tcPr>
            <w:tcW w:type="dxa" w:w="26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bCs/>
                <w:color w:val="1B1B1B"/>
                <w:sz w:val="18"/>
                <w:szCs w:val="18"/>
              </w:rPr>
              <w:t xml:space="preserve">EMA de pesos (0.999)</w:t>
            </w:r>
          </w:p>
        </w:tc>
        <w:tc>
          <w:tcPr>
            <w:tcW w:type="dxa" w:w="38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Estabiliza el entrenamiento</w:t>
            </w:r>
          </w:p>
        </w:tc>
        <w:tc>
          <w:tcPr>
            <w:tcW w:type="dxa" w:w="29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+0.004 de media en 3 semillas</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Orientación canónica + aumento geométrico</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Robustez a la posición del paciente</w:t>
            </w:r>
          </w:p>
        </w:tc>
        <w:tc>
          <w:tcPr>
            <w:tcW w:type="dxa" w:w="29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+0.016 en validación y +0.028 en test (sección 7)</w:t>
            </w:r>
          </w:p>
        </w:tc>
      </w:tr>
    </w:tbl>
    <w:p>
      <w:pPr>
        <w:spacing w:after="80"/>
      </w:pPr>
    </w:p>
    <w:p>
      <w:pPr>
        <w:spacing w:after="120" w:line="288"/>
        <w:jc w:val="both"/>
      </w:pPr>
      <w:r>
        <w:rPr>
          <w:b/>
          <w:bCs/>
        </w:rPr>
        <w:t xml:space="preserve">Fuentes consultadas. </w:t>
      </w:r>
      <w:r>
        <w:t xml:space="preserve">Para la cabeza de detección se consultó el principio de grid de YOLO (Redmon et al., 2016): cada celda predice la caja del objeto cuyo centro cae en ella. La supresión de no máximos sigue el algoritmo estándar por IoU. Ambas están implementadas por el equipo (src/week9_detection.py), sin código, pesos ni librerías de YOLO, Detectron2 o Mask R-CNN, y se verificaron con 19 pruebas unitarias.</w:t>
      </w:r>
    </w:p>
    <w:p>
      <w:pPr>
        <w:pStyle w:val="Heading1"/>
      </w:pPr>
      <w:r>
        <w:t xml:space="preserve">4. Entrenamiento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8"/>
                <w:szCs w:val="18"/>
              </w:rPr>
              <w:t xml:space="preserve">Parámetro</w:t>
            </w:r>
          </w:p>
        </w:tc>
        <w:tc>
          <w:tcPr>
            <w:tcW w:type="dxa" w:w="59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Valor (modelo H6)</w:t>
            </w:r>
          </w:p>
        </w:tc>
      </w:tr>
      <w:tr>
        <w:tc>
          <w:tcPr>
            <w:tcW w:type="dxa" w:w="3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Optimizador</w:t>
            </w:r>
          </w:p>
        </w:tc>
        <w:tc>
          <w:tcPr>
            <w:tcW w:type="dxa" w:w="59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AdamW, lr 2×10⁻³ con decaimiento coseno, batch 16, precisión mixta</w:t>
            </w:r>
          </w:p>
        </w:tc>
      </w:tr>
      <w:tr>
        <w:tc>
          <w:tcPr>
            <w:tcW w:type="dxa" w:w="34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bCs/>
                <w:color w:val="1B1B1B"/>
                <w:sz w:val="18"/>
                <w:szCs w:val="18"/>
              </w:rPr>
              <w:t xml:space="preserve">Duración</w:t>
            </w:r>
          </w:p>
        </w:tc>
        <w:tc>
          <w:tcPr>
            <w:tcW w:type="dxa" w:w="59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60 épocas × 2 500 cortes (≈ 65 min por modelo en una GPU T4)</w:t>
            </w:r>
          </w:p>
        </w:tc>
      </w:tr>
      <w:tr>
        <w:tc>
          <w:tcPr>
            <w:tcW w:type="dxa" w:w="3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Aumento de datos</w:t>
            </w:r>
          </w:p>
        </w:tc>
        <w:tc>
          <w:tcPr>
            <w:tcW w:type="dxa" w:w="59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Espejo sagital con intercambio de coxales; rotación hasta ±35°, escala, estiramiento y desplazamiento</w:t>
            </w:r>
          </w:p>
        </w:tc>
      </w:tr>
      <w:tr>
        <w:tc>
          <w:tcPr>
            <w:tcW w:type="dxa" w:w="34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bCs/>
                <w:color w:val="1B1B1B"/>
                <w:sz w:val="18"/>
                <w:szCs w:val="18"/>
              </w:rPr>
              <w:t xml:space="preserve">Pérdida</w:t>
            </w:r>
          </w:p>
        </w:tc>
        <w:tc>
          <w:tcPr>
            <w:tcW w:type="dxa" w:w="59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Detección + clasificación (0.5) + semántica CE/Dice (2.0 / 1.0) + instancia CE (secundarios ×3) / Dice + borde</w:t>
            </w:r>
          </w:p>
        </w:tc>
      </w:tr>
      <w:tr>
        <w:tc>
          <w:tcPr>
            <w:tcW w:type="dxa" w:w="3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Promedio de pesos</w:t>
            </w:r>
          </w:p>
        </w:tc>
        <w:tc>
          <w:tcPr>
            <w:tcW w:type="dxa" w:w="59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EMA con decaimiento 0.999</w:t>
            </w:r>
          </w:p>
        </w:tc>
      </w:tr>
      <w:tr>
        <w:tc>
          <w:tcPr>
            <w:tcW w:type="dxa" w:w="34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bCs/>
                <w:color w:val="1B1B1B"/>
                <w:sz w:val="18"/>
                <w:szCs w:val="18"/>
              </w:rPr>
              <w:t xml:space="preserve">Semillas</w:t>
            </w:r>
          </w:p>
        </w:tc>
        <w:tc>
          <w:tcPr>
            <w:tcW w:type="dxa" w:w="59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42, 43 y 44 (todas reportadas)</w:t>
            </w:r>
          </w:p>
        </w:tc>
      </w:tr>
    </w:tbl>
    <w:p>
      <w:pPr>
        <w:pStyle w:val="Heading2"/>
      </w:pPr>
      <w:r>
        <w:t xml:space="preserve">Calibración de los pesos de la pérdida</w:t>
      </w:r>
    </w:p>
    <w:p>
      <w:pPr>
        <w:spacing w:after="120" w:line="288"/>
        <w:jc w:val="both"/>
      </w:pPr>
      <w:r>
        <w:t xml:space="preserve">Los pesos no se copiaron de otra implementación: cada uno responde a una propiedad medida de los datos o del entrenamiento, y las alternativas se probaron una a una sobre la receta base (validación, Dice por fragmento de referencia 0.849).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3260"/>
        <w:gridCol w:w="3000"/>
      </w:tblGrid>
      <w:tr>
        <w:trPr>
          <w:tblHeader/>
        </w:trPr>
        <w:tc>
          <w:tcPr>
            <w:tcW w:type="dxa" w:w="22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8"/>
                <w:szCs w:val="18"/>
              </w:rPr>
              <w:t xml:space="preserve">Término</w:t>
            </w:r>
          </w:p>
        </w:tc>
        <w:tc>
          <w:tcPr>
            <w:tcW w:type="dxa" w:w="9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Peso</w:t>
            </w:r>
          </w:p>
        </w:tc>
        <w:tc>
          <w:tcPr>
            <w:tcW w:type="dxa" w:w="32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Por qué</w:t>
            </w:r>
          </w:p>
        </w:tc>
        <w:tc>
          <w:tcPr>
            <w:tcW w:type="dxa" w:w="3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Evidencia</w:t>
            </w:r>
          </w:p>
        </w:tc>
      </w:tr>
      <w:tr>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Clasificación (BCE)</w:t>
            </w:r>
          </w:p>
        </w:tc>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0.5</w:t>
            </w:r>
          </w:p>
        </w:tc>
        <w:tc>
          <w:tcPr>
            <w:tcW w:type="dxa" w:w="3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Es la tarea más fácil: converge primero y, con peso 1, sus gradientes competirían con tareas que aún no aprenden</w:t>
            </w:r>
          </w:p>
        </w:tc>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En la época 1 de H6 el F1 ya es 0.907, mientras la detección va en mAP@0.5 0.287 y la instancia en 0.529</w:t>
            </w:r>
          </w:p>
        </w:tc>
      </w:tr>
      <w:tr>
        <w:tc>
          <w:tcPr>
            <w:tcW w:type="dxa" w:w="22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bCs/>
                <w:color w:val="1B1B1B"/>
                <w:sz w:val="18"/>
                <w:szCs w:val="18"/>
              </w:rPr>
              <w:t xml:space="preserve">Semántica (CE)</w:t>
            </w:r>
          </w:p>
        </w:tc>
        <w:tc>
          <w:tcPr>
            <w:tcW w:type="dxa" w:w="9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val="false"/>
                <w:bCs w:val="false"/>
                <w:color w:val="1B1B1B"/>
                <w:sz w:val="18"/>
                <w:szCs w:val="18"/>
              </w:rPr>
              <w:t xml:space="preserve">2.0</w:t>
            </w:r>
          </w:p>
        </w:tc>
        <w:tc>
          <w:tcPr>
            <w:tcW w:type="dxa" w:w="32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val="false"/>
                <w:bCs w:val="false"/>
                <w:color w:val="1B1B1B"/>
                <w:sz w:val="18"/>
                <w:szCs w:val="18"/>
              </w:rPr>
              <w:t xml:space="preserve">Es la primera etapa de la lógica de dos etapas: un error de región arrastra a todos sus fragmentos</w:t>
            </w:r>
          </w:p>
        </w:tc>
        <w:tc>
          <w:tcPr>
            <w:tcW w:type="dxa" w:w="30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val="false"/>
                <w:bCs w:val="false"/>
                <w:color w:val="1B1B1B"/>
                <w:sz w:val="18"/>
                <w:szCs w:val="18"/>
              </w:rPr>
              <w:t xml:space="preserve">Bajar su peso relativo (λ×2 en instancia) no mejora los fragmentos</w:t>
            </w:r>
          </w:p>
        </w:tc>
      </w:tr>
      <w:tr>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Detección, instancia, Dice semántico y Dice de instancia</w:t>
            </w:r>
          </w:p>
        </w:tc>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1.0</w:t>
            </w:r>
          </w:p>
        </w:tc>
        <w:tc>
          <w:tcPr>
            <w:tcW w:type="dxa" w:w="3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Peso de referencia; los términos Dice no dependen de la cantidad de píxeles y compensan el desbalance</w:t>
            </w:r>
          </w:p>
        </w:tc>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λ×2 (instancia y borde ×2, detección ×0.5): fragmentos 0.849, sin cambio; detección cruda de 0.868 a 0.832</w:t>
            </w:r>
          </w:p>
        </w:tc>
      </w:tr>
      <w:tr>
        <w:tc>
          <w:tcPr>
            <w:tcW w:type="dxa" w:w="22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bCs/>
                <w:color w:val="1B1B1B"/>
                <w:sz w:val="18"/>
                <w:szCs w:val="18"/>
              </w:rPr>
              <w:t xml:space="preserve">Fondo en la CE semántica / de instancia</w:t>
            </w:r>
          </w:p>
        </w:tc>
        <w:tc>
          <w:tcPr>
            <w:tcW w:type="dxa" w:w="9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val="false"/>
                <w:bCs w:val="false"/>
                <w:color w:val="1B1B1B"/>
                <w:sz w:val="18"/>
                <w:szCs w:val="18"/>
              </w:rPr>
              <w:t xml:space="preserve">0.2 / 0.1</w:t>
            </w:r>
          </w:p>
        </w:tc>
        <w:tc>
          <w:tcPr>
            <w:tcW w:type="dxa" w:w="32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val="false"/>
                <w:bCs w:val="false"/>
                <w:color w:val="1B1B1B"/>
                <w:sz w:val="18"/>
                <w:szCs w:val="18"/>
              </w:rPr>
              <w:t xml:space="preserve">El fondo es el 98.1 % de los vóxeles de train (≈ 97.5 % en los cortes con hueso)</w:t>
            </w:r>
          </w:p>
        </w:tc>
        <w:tc>
          <w:tcPr>
            <w:tcW w:type="dxa" w:w="30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val="false"/>
                <w:bCs w:val="false"/>
                <w:color w:val="1B1B1B"/>
                <w:sz w:val="18"/>
                <w:szCs w:val="18"/>
              </w:rPr>
              <w:t xml:space="preserve">Proporción medida en los 70 casos de train</w:t>
            </w:r>
          </w:p>
        </w:tc>
      </w:tr>
      <w:tr>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Fragmentos secundarios en la CE de instancia</w:t>
            </w:r>
          </w:p>
        </w:tc>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×3</w:t>
            </w:r>
          </w:p>
        </w:tc>
        <w:tc>
          <w:tcPr>
            <w:tcW w:type="dxa" w:w="3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Son el 47.9 % de los fragmentos pero solo el 10.1 % de los vóxeles de hueso (≈ 9:1). Compensar del todo (×9) sobrepondera; ×3 es el compromiso</w:t>
            </w:r>
          </w:p>
        </w:tc>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Barrido: ×3 (B1) frente a ×6 (B2, peor detección; 0.820 en otra receta) y sobremuestreo ×3 (D6: 0.837, peor)</w:t>
            </w:r>
          </w:p>
        </w:tc>
      </w:tr>
      <w:tr>
        <w:tc>
          <w:tcPr>
            <w:tcW w:type="dxa" w:w="22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bCs/>
                <w:color w:val="1B1B1B"/>
                <w:sz w:val="18"/>
                <w:szCs w:val="18"/>
              </w:rPr>
              <w:t xml:space="preserve">Peso por fractura, focal, Tversky, supervisión profunda</w:t>
            </w:r>
          </w:p>
        </w:tc>
        <w:tc>
          <w:tcPr>
            <w:tcW w:type="dxa" w:w="9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val="false"/>
                <w:bCs w:val="false"/>
                <w:color w:val="1B1B1B"/>
                <w:sz w:val="18"/>
                <w:szCs w:val="18"/>
              </w:rPr>
              <w:t xml:space="preserve">0</w:t>
            </w:r>
          </w:p>
        </w:tc>
        <w:tc>
          <w:tcPr>
            <w:tcW w:type="dxa" w:w="32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val="false"/>
                <w:bCs w:val="false"/>
                <w:color w:val="1B1B1B"/>
                <w:sz w:val="18"/>
                <w:szCs w:val="18"/>
              </w:rPr>
              <w:t xml:space="preserve">Alternativas para los secundarios y los bordes de fractura</w:t>
            </w:r>
          </w:p>
        </w:tc>
        <w:tc>
          <w:tcPr>
            <w:tcW w:type="dxa" w:w="30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val="false"/>
                <w:bCs w:val="false"/>
                <w:color w:val="1B1B1B"/>
                <w:sz w:val="18"/>
                <w:szCs w:val="18"/>
              </w:rPr>
              <w:t xml:space="preserve">Ninguna supera el ruido: 0.832, 0.846, 0.846 y 0.846</w:t>
            </w:r>
          </w:p>
        </w:tc>
      </w:tr>
    </w:tbl>
    <w:p>
      <w:pPr>
        <w:spacing w:after="80"/>
      </w:pPr>
    </w:p>
    <w:p>
      <w:pPr>
        <w:spacing w:after="120" w:line="288"/>
        <w:jc w:val="both"/>
      </w:pPr>
      <w:r>
        <w:t xml:space="preserve">Dos términos auxiliares no tuvieron barrido propio y se declaran así: el mapa de centros pondera sus píxeles positivos por 21 (1 + 20 × objetivo), la práctica habitual para mapas de calor con muy pocos positivos; y la pérdida de bordes usa pos_weight 3.0 con un Dice suavizado. </w:t>
      </w:r>
      <w:r>
        <w:rPr>
          <w:b/>
          <w:bCs/>
        </w:rPr>
        <w:t xml:space="preserve">El diagnóstico mostró que la cabeza de bordes quedaba inactiva en todos los modelos</w:t>
      </w:r>
      <w:r>
        <w:t xml:space="preserve"> (probabilidad máxima 0.0005), porque esa combinación premia predecir cero. Reentrenarla con un peso calculado del desbalance la reactivó, pero el Dice por fragmento solo cambió +0.001, así que H6 la conserva sin efecto práctico.</w:t>
      </w:r>
    </w:p>
    <w:p>
      <w:pPr>
        <w:pStyle w:val="Heading1"/>
      </w:pPr>
      <w:r>
        <w:t xml:space="preserve">5. Resultados</w:t>
      </w:r>
    </w:p>
    <w:p>
      <w:pPr>
        <w:spacing w:after="120" w:line="288"/>
        <w:jc w:val="both"/>
      </w:pPr>
      <w:r>
        <w:t xml:space="preserve">Todas las métricas se calculan sobre todos los cortes del volumen de cada caso (no sobre una muestra), con TTA de espejo. El modelo final cumple los nueve objetivos del enunciado con margen (Figura 5).</w:t>
      </w:r>
    </w:p>
    <w:p>
      <w:pPr>
        <w:spacing w:after="60" w:before="120"/>
        <w:jc w:val="center"/>
      </w:pPr>
      <w:r>
        <w:drawing>
          <wp:inline distT="0" distB="0" distL="0" distR="0">
            <wp:extent cx="5334000" cy="2847975"/>
            <wp:effectExtent t="0" r="0" b="0" l="0"/>
            <wp:docPr id="1" name="fig_metricas.png" descr="fig_metricas.png" title="fig_metric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47975"/>
                    </a:xfrm>
                    <a:prstGeom prst="rect">
                      <a:avLst/>
                    </a:prstGeom>
                  </pic:spPr>
                </pic:pic>
              </a:graphicData>
            </a:graphic>
          </wp:inline>
        </w:drawing>
      </w:r>
    </w:p>
    <w:p>
      <w:pPr>
        <w:spacing w:after="200"/>
        <w:jc w:val="center"/>
      </w:pPr>
      <w:r>
        <w:rPr>
          <w:i/>
          <w:iCs/>
          <w:color w:val="5C677D"/>
          <w:sz w:val="18"/>
          <w:szCs w:val="18"/>
        </w:rPr>
        <w:t xml:space="preserve">Figura 5. Métricas del modelo final en test frente al objetivo del enunciado.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1400"/>
        <w:gridCol w:w="1400"/>
        <w:gridCol w:w="2260"/>
      </w:tblGrid>
      <w:tr>
        <w:trPr>
          <w:tblHeader/>
        </w:trPr>
        <w:tc>
          <w:tcPr>
            <w:tcW w:type="dxa" w:w="29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8"/>
                <w:szCs w:val="18"/>
              </w:rPr>
              <w:t xml:space="preserve">Métrica (test, 15 casos)</w:t>
            </w:r>
          </w:p>
        </w:tc>
        <w:tc>
          <w:tcPr>
            <w:tcW w:type="dxa" w:w="14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H6 s42</w:t>
            </w:r>
          </w:p>
        </w:tc>
        <w:tc>
          <w:tcPr>
            <w:tcW w:type="dxa" w:w="14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H6 s43</w:t>
            </w:r>
          </w:p>
        </w:tc>
        <w:tc>
          <w:tcPr>
            <w:tcW w:type="dxa" w:w="14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H6 s44</w:t>
            </w:r>
          </w:p>
        </w:tc>
        <w:tc>
          <w:tcPr>
            <w:tcW w:type="dxa" w:w="22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Objetivo</w:t>
            </w:r>
          </w:p>
        </w:tc>
      </w:tr>
      <w:tr>
        <w:tc>
          <w:tcPr>
            <w:tcW w:type="dxa" w:w="2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F1 / AUC clasificación</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0.990 / 0.999</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0.986 / 0.998</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0.989 / 0.999</w:t>
            </w:r>
          </w:p>
        </w:tc>
        <w:tc>
          <w:tcPr>
            <w:tcW w:type="dxa" w:w="2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 0.85 </w:t>
            </w:r>
            <w:r>
              <w:rPr>
                <w:b/>
                <w:bCs/>
                <w:color w:val="1E7F4F"/>
                <w:sz w:val="18"/>
                <w:szCs w:val="18"/>
              </w:rPr>
              <w:t xml:space="preserve">✓</w:t>
            </w:r>
          </w:p>
        </w:tc>
      </w:tr>
      <w:tr>
        <w:tc>
          <w:tcPr>
            <w:tcW w:type="dxa" w:w="29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bCs/>
                <w:color w:val="1B1B1B"/>
                <w:sz w:val="18"/>
                <w:szCs w:val="18"/>
              </w:rPr>
              <w:t xml:space="preserve">IoU de detección</w:t>
            </w:r>
          </w:p>
        </w:tc>
        <w:tc>
          <w:tcPr>
            <w:tcW w:type="dxa" w:w="14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0.943</w:t>
            </w:r>
          </w:p>
        </w:tc>
        <w:tc>
          <w:tcPr>
            <w:tcW w:type="dxa" w:w="14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0.938</w:t>
            </w:r>
          </w:p>
        </w:tc>
        <w:tc>
          <w:tcPr>
            <w:tcW w:type="dxa" w:w="14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0.942</w:t>
            </w:r>
          </w:p>
        </w:tc>
        <w:tc>
          <w:tcPr>
            <w:tcW w:type="dxa" w:w="22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 0.65 </w:t>
            </w:r>
            <w:r>
              <w:rPr>
                <w:b/>
                <w:bCs/>
                <w:color w:val="1E7F4F"/>
                <w:sz w:val="18"/>
                <w:szCs w:val="18"/>
              </w:rPr>
              <w:t xml:space="preserve">✓</w:t>
            </w:r>
          </w:p>
        </w:tc>
      </w:tr>
      <w:tr>
        <w:tc>
          <w:tcPr>
            <w:tcW w:type="dxa" w:w="2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mAP@0.5 / mAP@[0.5:0.95]</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0.961 / 0.902</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0.952 / 0.894</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0.960 / 0.902</w:t>
            </w:r>
          </w:p>
        </w:tc>
        <w:tc>
          <w:tcPr>
            <w:tcW w:type="dxa" w:w="2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 0.65 / 0.40 </w:t>
            </w:r>
            <w:r>
              <w:rPr>
                <w:b/>
                <w:bCs/>
                <w:color w:val="1E7F4F"/>
                <w:sz w:val="18"/>
                <w:szCs w:val="18"/>
              </w:rPr>
              <w:t xml:space="preserve">✓</w:t>
            </w:r>
          </w:p>
        </w:tc>
      </w:tr>
      <w:tr>
        <w:tc>
          <w:tcPr>
            <w:tcW w:type="dxa" w:w="29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bCs/>
                <w:color w:val="1B1B1B"/>
                <w:sz w:val="18"/>
                <w:szCs w:val="18"/>
              </w:rPr>
              <w:t xml:space="preserve">Dice / IoU semántico</w:t>
            </w:r>
          </w:p>
        </w:tc>
        <w:tc>
          <w:tcPr>
            <w:tcW w:type="dxa" w:w="14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0.971 / 0.943</w:t>
            </w:r>
          </w:p>
        </w:tc>
        <w:tc>
          <w:tcPr>
            <w:tcW w:type="dxa" w:w="14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0.970 / 0.943</w:t>
            </w:r>
          </w:p>
        </w:tc>
        <w:tc>
          <w:tcPr>
            <w:tcW w:type="dxa" w:w="14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0.970 / 0.942</w:t>
            </w:r>
          </w:p>
        </w:tc>
        <w:tc>
          <w:tcPr>
            <w:tcW w:type="dxa" w:w="22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 0.85 / 0.70 </w:t>
            </w:r>
            <w:r>
              <w:rPr>
                <w:b/>
                <w:bCs/>
                <w:color w:val="1E7F4F"/>
                <w:sz w:val="18"/>
                <w:szCs w:val="18"/>
              </w:rPr>
              <w:t xml:space="preserve">✓</w:t>
            </w:r>
          </w:p>
        </w:tc>
      </w:tr>
      <w:tr>
        <w:tc>
          <w:tcPr>
            <w:tcW w:type="dxa" w:w="2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IoU por fragmento</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0.816</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0.814</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0.815</w:t>
            </w:r>
          </w:p>
        </w:tc>
        <w:tc>
          <w:tcPr>
            <w:tcW w:type="dxa" w:w="2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 0.70 </w:t>
            </w:r>
            <w:r>
              <w:rPr>
                <w:b/>
                <w:bCs/>
                <w:color w:val="1E7F4F"/>
                <w:sz w:val="18"/>
                <w:szCs w:val="18"/>
              </w:rPr>
              <w:t xml:space="preserve">✓</w:t>
            </w:r>
          </w:p>
        </w:tc>
      </w:tr>
      <w:tr>
        <w:tc>
          <w:tcPr>
            <w:tcW w:type="dxa" w:w="29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bCs/>
                <w:color w:val="1B1B1B"/>
                <w:sz w:val="18"/>
                <w:szCs w:val="18"/>
              </w:rPr>
              <w:t xml:space="preserve">Dice por fragmento</w:t>
            </w:r>
          </w:p>
        </w:tc>
        <w:tc>
          <w:tcPr>
            <w:tcW w:type="dxa" w:w="14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0.875</w:t>
            </w:r>
          </w:p>
        </w:tc>
        <w:tc>
          <w:tcPr>
            <w:tcW w:type="dxa" w:w="14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0.875</w:t>
            </w:r>
          </w:p>
        </w:tc>
        <w:tc>
          <w:tcPr>
            <w:tcW w:type="dxa" w:w="14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0.876</w:t>
            </w:r>
          </w:p>
        </w:tc>
        <w:tc>
          <w:tcPr>
            <w:tcW w:type="dxa" w:w="22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 0.85 </w:t>
            </w:r>
            <w:r>
              <w:rPr>
                <w:b/>
                <w:bCs/>
                <w:color w:val="1E7F4F"/>
                <w:sz w:val="18"/>
                <w:szCs w:val="18"/>
              </w:rPr>
              <w:t xml:space="preserve">✓</w:t>
            </w:r>
          </w:p>
        </w:tc>
      </w:tr>
    </w:tbl>
    <w:p>
      <w:pPr>
        <w:spacing w:after="80"/>
      </w:pPr>
    </w:p>
    <w:p>
      <w:pPr>
        <w:spacing w:after="120" w:line="288"/>
        <w:jc w:val="both"/>
      </w:pPr>
      <w:r>
        <w:t xml:space="preserve">En validación, la misma medición da 0.869, 0.868 y 0.872. </w:t>
      </w:r>
      <w:r>
        <w:rPr>
          <w:b/>
          <w:bCs/>
        </w:rPr>
        <w:t xml:space="preserve">Modelo entregado: </w:t>
      </w:r>
      <w:r>
        <w:t xml:space="preserve">H6 semilla 42, la de referencia, fijada por escrito antes de evaluar test (docs/decisiones_semana10.md, sección 12.4). Las tres semillas son equivalentes en test (±0.001).</w:t>
      </w:r>
      <w:r>
        <w:t xml:space="preserve"> El ensamble de las tres alcanza 0.879, pero triplica el costo de inferencia, por lo que no se usa en la demo en tiempo real.</w:t>
      </w:r>
    </w:p>
    <w:p>
      <w:pPr>
        <w:spacing w:after="120" w:line="288"/>
        <w:jc w:val="both"/>
      </w:pPr>
      <w:r>
        <w:t xml:space="preserve">La detección se mide con cajas refinadas con la máscara semántica. Con la cabeza grid sola, en validación (H6 s42), el mAP@0.5 es 0.887, el mAP@[0.5:0.95] 0.506 y el IoU 0.766 (0.971, 0.904 y 0.949 refinados): la cabeza cruda también cumple los objetivos, y el refinamiento es un post-proceso.</w:t>
      </w:r>
    </w:p>
    <w:p>
      <w:pPr>
        <w:pStyle w:val="Heading2"/>
      </w:pPr>
      <w:r>
        <w:t xml:space="preserve">Desempeño computacional</w:t>
      </w:r>
    </w:p>
    <w:p>
      <w:pPr>
        <w:spacing w:after="120" w:line="288"/>
        <w:jc w:val="both"/>
      </w:pPr>
      <w:r>
        <w:t xml:space="preserve">Latencia por imagen en GPU y CPU: </w:t>
      </w:r>
      <w:r>
        <w:rPr>
          <w:i/>
          <w:iCs/>
          <w:highlight w:val="yellow"/>
          <w:highlightCs w:val="yellow"/>
        </w:rPr>
        <w:t xml:space="preserve">[pendiente: medir y completar]</w:t>
      </w:r>
      <w:r>
        <w:t xml:space="preserve">.</w:t>
      </w:r>
    </w:p>
    <w:p>
      <w:pPr>
        <w:pStyle w:val="Heading1"/>
      </w:pPr>
      <w:r>
        <w:t xml:space="preserve">6. Estudio de ablación</w:t>
      </w:r>
    </w:p>
    <w:p>
      <w:pPr>
        <w:spacing w:after="120" w:line="288"/>
        <w:jc w:val="both"/>
      </w:pPr>
      <w:r>
        <w:t xml:space="preserve">Las ablaciones obligatorias se hicieron sobre la receta de 32 canales con EMA (validación, semilla 42 salvo que se indique), cambiando una sola cosa a la vez.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160"/>
      </w:tblGrid>
      <w:tr>
        <w:trPr>
          <w:tblHeader/>
        </w:trPr>
        <w:tc>
          <w:tcPr>
            <w:tcW w:type="dxa" w:w="26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8"/>
                <w:szCs w:val="18"/>
              </w:rPr>
              <w:t xml:space="preserve">Ablación</w:t>
            </w:r>
          </w:p>
        </w:tc>
        <w:tc>
          <w:tcPr>
            <w:tcW w:type="dxa" w:w="23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Con</w:t>
            </w:r>
          </w:p>
        </w:tc>
        <w:tc>
          <w:tcPr>
            <w:tcW w:type="dxa" w:w="23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Sin</w:t>
            </w:r>
          </w:p>
        </w:tc>
        <w:tc>
          <w:tcPr>
            <w:tcW w:type="dxa" w:w="21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Conclusión</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CBAM</w:t>
            </w:r>
          </w:p>
        </w:tc>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F1 0.988 · mAP50:95 0.883</w:t>
            </w:r>
          </w:p>
        </w:tc>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F1 0.975 · mAP50:95 0.872</w:t>
            </w:r>
          </w:p>
        </w:tc>
        <w:tc>
          <w:tcPr>
            <w:tcW w:type="dxa" w:w="21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Mejora clasificación y detección; no cambia la segmentación</w:t>
            </w:r>
          </w:p>
        </w:tc>
      </w:tr>
      <w:tr>
        <w:tc>
          <w:tcPr>
            <w:tcW w:type="dxa" w:w="26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bCs/>
                <w:color w:val="1B1B1B"/>
                <w:sz w:val="18"/>
                <w:szCs w:val="18"/>
              </w:rPr>
              <w:t xml:space="preserve">Transfer learning (backbone preentrenado en Intel Image Classification)</w:t>
            </w:r>
          </w:p>
        </w:tc>
        <w:tc>
          <w:tcPr>
            <w:tcW w:type="dxa" w:w="23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Dice frag. 0.851 / 0.856 (s42 / s43)</w:t>
            </w:r>
          </w:p>
        </w:tc>
        <w:tc>
          <w:tcPr>
            <w:tcW w:type="dxa" w:w="23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0.851 / 0.855</w:t>
            </w:r>
          </w:p>
        </w:tc>
        <w:tc>
          <w:tcPr>
            <w:tcW w:type="dxa" w:w="21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Neutral: no se usa</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λ instancia ×2</w:t>
            </w:r>
          </w:p>
        </w:tc>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Dice frag. 0.855</w:t>
            </w:r>
          </w:p>
        </w:tc>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0.851</w:t>
            </w:r>
          </w:p>
        </w:tc>
        <w:tc>
          <w:tcPr>
            <w:tcW w:type="dxa" w:w="21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Sin mejora clara; empeora la detección</w:t>
            </w:r>
          </w:p>
        </w:tc>
      </w:tr>
    </w:tbl>
    <w:p>
      <w:pPr>
        <w:spacing w:after="80"/>
      </w:pPr>
    </w:p>
    <w:p>
      <w:pPr>
        <w:pStyle w:val="Heading2"/>
      </w:pPr>
      <w:r>
        <w:t xml:space="preserve">Ablación de los componentes de H6</w:t>
      </w:r>
    </w:p>
    <w:p>
      <w:pPr>
        <w:spacing w:after="120" w:line="288"/>
        <w:jc w:val="both"/>
      </w:pPr>
      <w:r>
        <w:t xml:space="preserve">H6 agrega dos cambios a esa receta (D5): la orientación canónica y el aumento geométrico. Cada combinación se entrenó por separado (validación, semilla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700"/>
        <w:gridCol w:w="1300"/>
        <w:gridCol w:w="1200"/>
        <w:gridCol w:w="1160"/>
        <w:gridCol w:w="1000"/>
      </w:tblGrid>
      <w:tr>
        <w:trPr>
          <w:tblHeader/>
        </w:trPr>
        <w:tc>
          <w:tcPr>
            <w:tcW w:type="dxa" w:w="15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8"/>
                <w:szCs w:val="18"/>
              </w:rPr>
              <w:t xml:space="preserve">Modelo</w:t>
            </w:r>
          </w:p>
        </w:tc>
        <w:tc>
          <w:tcPr>
            <w:tcW w:type="dxa" w:w="15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Orientación</w:t>
            </w:r>
          </w:p>
        </w:tc>
        <w:tc>
          <w:tcPr>
            <w:tcW w:type="dxa" w:w="17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Aumento geom.</w:t>
            </w:r>
          </w:p>
        </w:tc>
        <w:tc>
          <w:tcPr>
            <w:tcW w:type="dxa" w:w="13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Dice frag.</w:t>
            </w:r>
          </w:p>
        </w:tc>
        <w:tc>
          <w:tcPr>
            <w:tcW w:type="dxa" w:w="12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Secundario</w:t>
            </w:r>
          </w:p>
        </w:tc>
        <w:tc>
          <w:tcPr>
            <w:tcW w:type="dxa" w:w="11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Sec. perdidos</w:t>
            </w:r>
          </w:p>
        </w:tc>
        <w:tc>
          <w:tcPr>
            <w:tcW w:type="dxa" w:w="1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mAP@0.5</w:t>
            </w:r>
          </w:p>
        </w:tc>
      </w:tr>
      <w:t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D5</w:t>
            </w:r>
          </w:p>
        </w:tc>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no</w:t>
            </w:r>
          </w:p>
        </w:tc>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no</w:t>
            </w:r>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0.851</w:t>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0.703</w:t>
            </w:r>
          </w:p>
        </w:tc>
        <w:tc>
          <w:tcPr>
            <w:tcW w:type="dxa" w:w="11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9.0 %</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0.959</w:t>
            </w:r>
          </w:p>
        </w:tc>
      </w:tr>
      <w:tr>
        <w:tc>
          <w:tcPr>
            <w:tcW w:type="dxa" w:w="15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bCs/>
                <w:color w:val="1B1B1B"/>
                <w:sz w:val="18"/>
                <w:szCs w:val="18"/>
              </w:rPr>
              <w:t xml:space="preserve">H1</w:t>
            </w:r>
          </w:p>
        </w:tc>
        <w:tc>
          <w:tcPr>
            <w:tcW w:type="dxa" w:w="15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no</w:t>
            </w:r>
          </w:p>
        </w:tc>
        <w:tc>
          <w:tcPr>
            <w:tcW w:type="dxa" w:w="17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sí, ±12°</w:t>
            </w:r>
          </w:p>
        </w:tc>
        <w:tc>
          <w:tcPr>
            <w:tcW w:type="dxa" w:w="13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0.864</w:t>
            </w:r>
          </w:p>
        </w:tc>
        <w:tc>
          <w:tcPr>
            <w:tcW w:type="dxa" w:w="12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0.743</w:t>
            </w:r>
          </w:p>
        </w:tc>
        <w:tc>
          <w:tcPr>
            <w:tcW w:type="dxa" w:w="11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7.5 %</w:t>
            </w:r>
          </w:p>
        </w:tc>
        <w:tc>
          <w:tcPr>
            <w:tcW w:type="dxa" w:w="10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0.969</w:t>
            </w:r>
          </w:p>
        </w:tc>
      </w:tr>
      <w:t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H4</w:t>
            </w:r>
          </w:p>
        </w:tc>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sí</w:t>
            </w:r>
          </w:p>
        </w:tc>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no</w:t>
            </w:r>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0.861</w:t>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0.742</w:t>
            </w:r>
          </w:p>
        </w:tc>
        <w:tc>
          <w:tcPr>
            <w:tcW w:type="dxa" w:w="11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8.8 %</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0.971</w:t>
            </w:r>
          </w:p>
        </w:tc>
      </w:tr>
      <w:tr>
        <w:tc>
          <w:tcPr>
            <w:tcW w:type="dxa" w:w="15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bCs/>
                <w:color w:val="1B1B1B"/>
                <w:sz w:val="18"/>
                <w:szCs w:val="18"/>
              </w:rPr>
              <w:t xml:space="preserve">H5</w:t>
            </w:r>
          </w:p>
        </w:tc>
        <w:tc>
          <w:tcPr>
            <w:tcW w:type="dxa" w:w="15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sí</w:t>
            </w:r>
          </w:p>
        </w:tc>
        <w:tc>
          <w:tcPr>
            <w:tcW w:type="dxa" w:w="17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sí, ±12°</w:t>
            </w:r>
          </w:p>
        </w:tc>
        <w:tc>
          <w:tcPr>
            <w:tcW w:type="dxa" w:w="13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0.873</w:t>
            </w:r>
          </w:p>
        </w:tc>
        <w:tc>
          <w:tcPr>
            <w:tcW w:type="dxa" w:w="12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0.769</w:t>
            </w:r>
          </w:p>
        </w:tc>
        <w:tc>
          <w:tcPr>
            <w:tcW w:type="dxa" w:w="11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6.2 %</w:t>
            </w:r>
          </w:p>
        </w:tc>
        <w:tc>
          <w:tcPr>
            <w:tcW w:type="dxa" w:w="10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0.976</w:t>
            </w:r>
          </w:p>
        </w:tc>
      </w:tr>
      <w:tr>
        <w:tc>
          <w:tcPr>
            <w:tcW w:type="dxa" w:w="1500"/>
            <w:tcBorders>
              <w:top w:val="single" w:color="C9D3DF" w:sz="4"/>
              <w:left w:val="single" w:color="C9D3DF" w:sz="4"/>
              <w:bottom w:val="single" w:color="C9D3DF" w:sz="4"/>
              <w:right w:val="single" w:color="C9D3DF" w:sz="4"/>
            </w:tcBorders>
            <w:shd w:fill="DFF2EF" w:color="auto" w:val="clear"/>
            <w:tcMar>
              <w:top w:type="dxa" w:w="60"/>
              <w:left w:type="dxa" w:w="100"/>
              <w:bottom w:type="dxa" w:w="60"/>
              <w:right w:type="dxa" w:w="100"/>
            </w:tcMar>
          </w:tcPr>
          <w:p>
            <w:pPr>
              <w:jc w:val="left"/>
            </w:pPr>
            <w:r>
              <w:rPr>
                <w:b/>
                <w:bCs/>
                <w:color w:val="1B1B1B"/>
                <w:sz w:val="18"/>
                <w:szCs w:val="18"/>
              </w:rPr>
              <w:t xml:space="preserve">H6</w:t>
            </w:r>
          </w:p>
        </w:tc>
        <w:tc>
          <w:tcPr>
            <w:tcW w:type="dxa" w:w="1500"/>
            <w:tcBorders>
              <w:top w:val="single" w:color="C9D3DF" w:sz="4"/>
              <w:left w:val="single" w:color="C9D3DF" w:sz="4"/>
              <w:bottom w:val="single" w:color="C9D3DF" w:sz="4"/>
              <w:right w:val="single" w:color="C9D3DF" w:sz="4"/>
            </w:tcBorders>
            <w:shd w:fill="DFF2EF" w:color="auto" w:val="clear"/>
            <w:tcMar>
              <w:top w:type="dxa" w:w="60"/>
              <w:left w:type="dxa" w:w="100"/>
              <w:bottom w:type="dxa" w:w="60"/>
              <w:right w:type="dxa" w:w="100"/>
            </w:tcMar>
          </w:tcPr>
          <w:p>
            <w:pPr>
              <w:jc w:val="center"/>
            </w:pPr>
            <w:r>
              <w:rPr>
                <w:b w:val="false"/>
                <w:bCs w:val="false"/>
                <w:color w:val="1B1B1B"/>
                <w:sz w:val="18"/>
                <w:szCs w:val="18"/>
              </w:rPr>
              <w:t xml:space="preserve">sí</w:t>
            </w:r>
          </w:p>
        </w:tc>
        <w:tc>
          <w:tcPr>
            <w:tcW w:type="dxa" w:w="1700"/>
            <w:tcBorders>
              <w:top w:val="single" w:color="C9D3DF" w:sz="4"/>
              <w:left w:val="single" w:color="C9D3DF" w:sz="4"/>
              <w:bottom w:val="single" w:color="C9D3DF" w:sz="4"/>
              <w:right w:val="single" w:color="C9D3DF" w:sz="4"/>
            </w:tcBorders>
            <w:shd w:fill="DFF2EF" w:color="auto" w:val="clear"/>
            <w:tcMar>
              <w:top w:type="dxa" w:w="60"/>
              <w:left w:type="dxa" w:w="100"/>
              <w:bottom w:type="dxa" w:w="60"/>
              <w:right w:type="dxa" w:w="100"/>
            </w:tcMar>
          </w:tcPr>
          <w:p>
            <w:pPr>
              <w:jc w:val="center"/>
            </w:pPr>
            <w:r>
              <w:rPr>
                <w:b w:val="false"/>
                <w:bCs w:val="false"/>
                <w:color w:val="1B1B1B"/>
                <w:sz w:val="18"/>
                <w:szCs w:val="18"/>
              </w:rPr>
              <w:t xml:space="preserve">sí, ±35°</w:t>
            </w:r>
          </w:p>
        </w:tc>
        <w:tc>
          <w:tcPr>
            <w:tcW w:type="dxa" w:w="1300"/>
            <w:tcBorders>
              <w:top w:val="single" w:color="C9D3DF" w:sz="4"/>
              <w:left w:val="single" w:color="C9D3DF" w:sz="4"/>
              <w:bottom w:val="single" w:color="C9D3DF" w:sz="4"/>
              <w:right w:val="single" w:color="C9D3DF" w:sz="4"/>
            </w:tcBorders>
            <w:shd w:fill="DFF2EF" w:color="auto" w:val="clear"/>
            <w:tcMar>
              <w:top w:type="dxa" w:w="60"/>
              <w:left w:type="dxa" w:w="100"/>
              <w:bottom w:type="dxa" w:w="60"/>
              <w:right w:type="dxa" w:w="100"/>
            </w:tcMar>
          </w:tcPr>
          <w:p>
            <w:pPr>
              <w:jc w:val="center"/>
            </w:pPr>
            <w:r>
              <w:rPr>
                <w:b w:val="false"/>
                <w:bCs w:val="false"/>
                <w:color w:val="1B1B1B"/>
                <w:sz w:val="18"/>
                <w:szCs w:val="18"/>
              </w:rPr>
              <w:t xml:space="preserve">0.869</w:t>
            </w:r>
          </w:p>
        </w:tc>
        <w:tc>
          <w:tcPr>
            <w:tcW w:type="dxa" w:w="1200"/>
            <w:tcBorders>
              <w:top w:val="single" w:color="C9D3DF" w:sz="4"/>
              <w:left w:val="single" w:color="C9D3DF" w:sz="4"/>
              <w:bottom w:val="single" w:color="C9D3DF" w:sz="4"/>
              <w:right w:val="single" w:color="C9D3DF" w:sz="4"/>
            </w:tcBorders>
            <w:shd w:fill="DFF2EF" w:color="auto" w:val="clear"/>
            <w:tcMar>
              <w:top w:type="dxa" w:w="60"/>
              <w:left w:type="dxa" w:w="100"/>
              <w:bottom w:type="dxa" w:w="60"/>
              <w:right w:type="dxa" w:w="100"/>
            </w:tcMar>
          </w:tcPr>
          <w:p>
            <w:pPr>
              <w:jc w:val="center"/>
            </w:pPr>
            <w:r>
              <w:rPr>
                <w:b w:val="false"/>
                <w:bCs w:val="false"/>
                <w:color w:val="1B1B1B"/>
                <w:sz w:val="18"/>
                <w:szCs w:val="18"/>
              </w:rPr>
              <w:t xml:space="preserve">0.764</w:t>
            </w:r>
          </w:p>
        </w:tc>
        <w:tc>
          <w:tcPr>
            <w:tcW w:type="dxa" w:w="1160"/>
            <w:tcBorders>
              <w:top w:val="single" w:color="C9D3DF" w:sz="4"/>
              <w:left w:val="single" w:color="C9D3DF" w:sz="4"/>
              <w:bottom w:val="single" w:color="C9D3DF" w:sz="4"/>
              <w:right w:val="single" w:color="C9D3DF" w:sz="4"/>
            </w:tcBorders>
            <w:shd w:fill="DFF2EF" w:color="auto" w:val="clear"/>
            <w:tcMar>
              <w:top w:type="dxa" w:w="60"/>
              <w:left w:type="dxa" w:w="100"/>
              <w:bottom w:type="dxa" w:w="60"/>
              <w:right w:type="dxa" w:w="100"/>
            </w:tcMar>
          </w:tcPr>
          <w:p>
            <w:pPr>
              <w:jc w:val="center"/>
            </w:pPr>
            <w:r>
              <w:rPr>
                <w:b w:val="false"/>
                <w:bCs w:val="false"/>
                <w:color w:val="1B1B1B"/>
                <w:sz w:val="18"/>
                <w:szCs w:val="18"/>
              </w:rPr>
              <w:t xml:space="preserve">6.9 %</w:t>
            </w:r>
          </w:p>
        </w:tc>
        <w:tc>
          <w:tcPr>
            <w:tcW w:type="dxa" w:w="1000"/>
            <w:tcBorders>
              <w:top w:val="single" w:color="C9D3DF" w:sz="4"/>
              <w:left w:val="single" w:color="C9D3DF" w:sz="4"/>
              <w:bottom w:val="single" w:color="C9D3DF" w:sz="4"/>
              <w:right w:val="single" w:color="C9D3DF" w:sz="4"/>
            </w:tcBorders>
            <w:shd w:fill="DFF2EF" w:color="auto" w:val="clear"/>
            <w:tcMar>
              <w:top w:type="dxa" w:w="60"/>
              <w:left w:type="dxa" w:w="100"/>
              <w:bottom w:type="dxa" w:w="60"/>
              <w:right w:type="dxa" w:w="100"/>
            </w:tcMar>
          </w:tcPr>
          <w:p>
            <w:pPr>
              <w:jc w:val="center"/>
            </w:pPr>
            <w:r>
              <w:rPr>
                <w:b w:val="false"/>
                <w:bCs w:val="false"/>
                <w:color w:val="1B1B1B"/>
                <w:sz w:val="18"/>
                <w:szCs w:val="18"/>
              </w:rPr>
              <w:t xml:space="preserve">0.971</w:t>
            </w:r>
          </w:p>
        </w:tc>
      </w:tr>
    </w:tbl>
    <w:p>
      <w:pPr>
        <w:spacing w:after="80"/>
      </w:pPr>
    </w:p>
    <w:p>
      <w:pPr>
        <w:spacing w:after="120" w:line="288"/>
        <w:jc w:val="both"/>
      </w:pPr>
      <w:r>
        <w:t xml:space="preserve">Los dos cambios aportan por separado (+0.010 la orientación y +0.014 el aumento) y casi se suman (+0.023 juntos), lo que indica que corrigen problemas distintos. La ganancia está en los fragmentos secundarios (0.703 → 0.769), justo donde estaba el error. </w:t>
      </w:r>
      <w:r>
        <w:t xml:space="preserve">H5 y H6 empatan en validación (medias de 0.871 y 0.870 en sus semillas, dentro del ruido de ±0.004). Se eligió H6 por su robustez a pacientes girados (sección 8).</w:t>
      </w:r>
    </w:p>
    <w:p>
      <w:pPr>
        <w:pStyle w:val="Heading1"/>
      </w:pPr>
      <w:r>
        <w:t xml:space="preserve">7. Investigación del Dice por fragmento</w:t>
      </w:r>
    </w:p>
    <w:p>
      <w:pPr>
        <w:spacing w:after="120" w:line="288"/>
        <w:jc w:val="both"/>
      </w:pPr>
      <w:r>
        <w:t xml:space="preserve">El Dice por fragmento fue la única métrica difícil. La investigación siguió una disciplina fija: una diferencia por experimento, tres semillas para medir el ruido (±0.004) y decisiones tomadas en validación. La Figura 6 resume el camino.</w:t>
      </w:r>
    </w:p>
    <w:p>
      <w:pPr>
        <w:spacing w:after="60" w:before="120"/>
        <w:jc w:val="center"/>
      </w:pPr>
      <w:r>
        <w:drawing>
          <wp:inline distT="0" distB="0" distL="0" distR="0">
            <wp:extent cx="5905500" cy="2543175"/>
            <wp:effectExtent t="0" r="0" b="0" l="0"/>
            <wp:docPr id="1" name="fig_progresion.png" descr="fig_progresion.png" title="fig_progre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543175"/>
                    </a:xfrm>
                    <a:prstGeom prst="rect">
                      <a:avLst/>
                    </a:prstGeom>
                  </pic:spPr>
                </pic:pic>
              </a:graphicData>
            </a:graphic>
          </wp:inline>
        </w:drawing>
      </w:r>
    </w:p>
    <w:p>
      <w:pPr>
        <w:spacing w:after="200"/>
        <w:jc w:val="center"/>
      </w:pPr>
      <w:r>
        <w:rPr>
          <w:i/>
          <w:iCs/>
          <w:color w:val="5C677D"/>
          <w:sz w:val="18"/>
          <w:szCs w:val="18"/>
        </w:rPr>
        <w:t xml:space="preserve">Figura 6. Dice por fragmento en validación y test a lo largo de la investigación.</w:t>
      </w:r>
    </w:p>
    <w:p>
      <w:pPr>
        <w:spacing w:after="120" w:line="288"/>
        <w:jc w:val="both"/>
      </w:pPr>
      <w:r>
        <w:t xml:space="preserve">Más de 25 alternativas no superaron el ruido: 48 canales, contexto 2.5D, pérdidas focal y Tversky, sobremuestreo, ensambles, post-proceso 3D, watershed, recorte al cuerpo y peso en la frontera de fractura. Las que sí ayudaron fueron el ancho de 32 canales y EMA, pero el modelo seguía en </w:t>
      </w:r>
      <w:r>
        <w:rPr>
          <w:b/>
          <w:bCs/>
        </w:rPr>
        <w:t xml:space="preserve">~0.847 en test</w:t>
      </w:r>
      <w:r>
        <w:t xml:space="preserve">.</w:t>
      </w:r>
    </w:p>
    <w:p>
      <w:pPr>
        <w:spacing w:after="120" w:line="288"/>
        <w:jc w:val="both"/>
      </w:pPr>
      <w:r>
        <w:t xml:space="preserve">El análisis por paciente mostró que dos casos de test (012 y 039) concentraban la pérdida: sin ellos el promedio era 0.869, y en el 012 el 30 % del coxal izquierdo salía como derecho. Al investigar la causa encontramos que </w:t>
      </w:r>
      <w:r>
        <w:rPr>
          <w:b/>
          <w:bCs/>
        </w:rPr>
        <w:t xml:space="preserve">un tercio de los volúmenes del dataset estaba almacenado girado 180°</w:t>
      </w:r>
      <w:r>
        <w:t xml:space="preserve">. La corrección es general (se lee de la cabecera y se aplica igual a todos los casos) y, junto con el aumento geométrico, mejoró la validación en las tres semillas (+0.016), no solo test.</w:t>
      </w:r>
    </w:p>
    <w:p>
      <w:pPr>
        <w:spacing w:after="120" w:line="288"/>
        <w:jc w:val="both"/>
      </w:pPr>
      <w:r>
        <w:t xml:space="preserve">Como control, un ajuste fino de los modelos previos con rotaciones de ±10° solo subió la validación rotada de 0.839 a 0.847, sin cambiar la normal (0.862): más aumento de datos no bastaba, había que corregir la orientación de los datos.</w:t>
      </w:r>
    </w:p>
    <w:p>
      <w:pPr>
        <w:pStyle w:val="Heading1"/>
      </w:pPr>
      <w:r>
        <w:t xml:space="preserve">8. Análisis de error</w:t>
      </w:r>
    </w:p>
    <w:p>
      <w:pPr>
        <w:pStyle w:val="Heading2"/>
      </w:pPr>
      <w:r>
        <w:t xml:space="preserve">Robustez a la rotación</w:t>
      </w:r>
    </w:p>
    <w:p>
      <w:pPr>
        <w:spacing w:after="120" w:line="288"/>
        <w:jc w:val="both"/>
      </w:pPr>
      <w:r>
        <w:t xml:space="preserve">Antes de H6 evaluamos el modelo sobre la validación rotada en el plano. El Dice caía ~0.023 a ±10°, pero la confusión izquierda/derecha seguía por debajo del 0.3 % (Figura 7). Así descartamos que el fallo del caso 012 se debiera a giros leves y apuntamos a la orientación del volumen.</w:t>
      </w:r>
    </w:p>
    <w:p>
      <w:pPr>
        <w:spacing w:after="60" w:before="120"/>
        <w:jc w:val="center"/>
      </w:pPr>
      <w:r>
        <w:drawing>
          <wp:inline distT="0" distB="0" distL="0" distR="0">
            <wp:extent cx="5905500" cy="2124075"/>
            <wp:effectExtent t="0" r="0" b="0" l="0"/>
            <wp:docPr id="1" name="fig_robustez.png" descr="fig_robustez.png" title="fig_robuste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124075"/>
                    </a:xfrm>
                    <a:prstGeom prst="rect">
                      <a:avLst/>
                    </a:prstGeom>
                  </pic:spPr>
                </pic:pic>
              </a:graphicData>
            </a:graphic>
          </wp:inline>
        </w:drawing>
      </w:r>
    </w:p>
    <w:p>
      <w:pPr>
        <w:spacing w:after="200"/>
        <w:jc w:val="center"/>
      </w:pPr>
      <w:r>
        <w:rPr>
          <w:i/>
          <w:iCs/>
          <w:color w:val="5C677D"/>
          <w:sz w:val="18"/>
          <w:szCs w:val="18"/>
        </w:rPr>
        <w:t xml:space="preserve">Figura 7. Sensibilidad del modelo previo (EMA) a rotaciones de la validación.</w:t>
      </w:r>
    </w:p>
    <w:p>
      <w:pPr>
        <w:spacing w:after="120" w:line="288"/>
        <w:jc w:val="both"/>
      </w:pPr>
      <w:r>
        <w:t xml:space="preserve">Con la validación girada 30° y 60°, el aumento geométrico de ±35° marca la diferencia entre H5 y H6 (Dice por fragmento):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160"/>
      </w:tblGrid>
      <w:tr>
        <w:trPr>
          <w:tblHeader/>
        </w:trPr>
        <w:tc>
          <w:tcPr>
            <w:tcW w:type="dxa" w:w="3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8"/>
                <w:szCs w:val="18"/>
              </w:rPr>
              <w:t xml:space="preserve">Validación girada</w:t>
            </w:r>
          </w:p>
        </w:tc>
        <w:tc>
          <w:tcPr>
            <w:tcW w:type="dxa" w:w="21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D5</w:t>
            </w:r>
          </w:p>
        </w:tc>
        <w:tc>
          <w:tcPr>
            <w:tcW w:type="dxa" w:w="21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H5 (±12°)</w:t>
            </w:r>
          </w:p>
        </w:tc>
        <w:tc>
          <w:tcPr>
            <w:tcW w:type="dxa" w:w="21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H6 (±35°)</w:t>
            </w:r>
          </w:p>
        </w:tc>
      </w:tr>
      <w:tr>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30°</w:t>
            </w:r>
          </w:p>
        </w:tc>
        <w:tc>
          <w:tcPr>
            <w:tcW w:type="dxa" w:w="2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0.559</w:t>
            </w:r>
          </w:p>
        </w:tc>
        <w:tc>
          <w:tcPr>
            <w:tcW w:type="dxa" w:w="2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0.807</w:t>
            </w:r>
          </w:p>
        </w:tc>
        <w:tc>
          <w:tcPr>
            <w:tcW w:type="dxa" w:w="21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0.854</w:t>
            </w:r>
          </w:p>
        </w:tc>
      </w:tr>
      <w:tr>
        <w:tc>
          <w:tcPr>
            <w:tcW w:type="dxa" w:w="30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bCs/>
                <w:color w:val="1B1B1B"/>
                <w:sz w:val="18"/>
                <w:szCs w:val="18"/>
              </w:rPr>
              <w:t xml:space="preserve">60°</w:t>
            </w:r>
          </w:p>
        </w:tc>
        <w:tc>
          <w:tcPr>
            <w:tcW w:type="dxa" w:w="21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w:t>
            </w:r>
          </w:p>
        </w:tc>
        <w:tc>
          <w:tcPr>
            <w:tcW w:type="dxa" w:w="21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0.218</w:t>
            </w:r>
          </w:p>
        </w:tc>
        <w:tc>
          <w:tcPr>
            <w:tcW w:type="dxa" w:w="21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0.734</w:t>
            </w:r>
          </w:p>
        </w:tc>
      </w:tr>
    </w:tbl>
    <w:p>
      <w:pPr>
        <w:spacing w:after="80"/>
      </w:pPr>
    </w:p>
    <w:p>
      <w:pPr>
        <w:spacing w:after="120" w:line="288"/>
        <w:jc w:val="both"/>
      </w:pPr>
      <w:r>
        <w:t xml:space="preserve">Con el mismo rendimiento en la validación normal, H6 resiste mucho mejor a pacientes girados en el escáner, que existen en el dataset (el caso 012 está girado unos 26°).</w:t>
      </w:r>
    </w:p>
    <w:p>
      <w:pPr>
        <w:pStyle w:val="Heading2"/>
      </w:pPr>
      <w:r>
        <w:t xml:space="preserve">Matriz de confusión de la clasificación</w:t>
      </w:r>
    </w:p>
    <w:p>
      <w:pPr>
        <w:spacing w:after="120" w:line="288"/>
        <w:jc w:val="both"/>
      </w:pPr>
      <w:r>
        <w:t xml:space="preserve">La cabeza de clasificación decide en cada corte si cada región está presente. Sobre los 4 664 cortes de test (15 casos), con H6 semilla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050"/>
        <w:gridCol w:w="1050"/>
        <w:gridCol w:w="1050"/>
        <w:gridCol w:w="1050"/>
        <w:gridCol w:w="1020"/>
        <w:gridCol w:w="1020"/>
        <w:gridCol w:w="1020"/>
      </w:tblGrid>
      <w:tr>
        <w:trPr>
          <w:tblHeader/>
        </w:trPr>
        <w:tc>
          <w:tcPr>
            <w:tcW w:type="dxa" w:w="21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8"/>
                <w:szCs w:val="18"/>
              </w:rPr>
              <w:t xml:space="preserve">Región</w:t>
            </w:r>
          </w:p>
        </w:tc>
        <w:tc>
          <w:tcPr>
            <w:tcW w:type="dxa" w:w="105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VP</w:t>
            </w:r>
          </w:p>
        </w:tc>
        <w:tc>
          <w:tcPr>
            <w:tcW w:type="dxa" w:w="105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FP</w:t>
            </w:r>
          </w:p>
        </w:tc>
        <w:tc>
          <w:tcPr>
            <w:tcW w:type="dxa" w:w="105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FN</w:t>
            </w:r>
          </w:p>
        </w:tc>
        <w:tc>
          <w:tcPr>
            <w:tcW w:type="dxa" w:w="105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VN</w:t>
            </w:r>
          </w:p>
        </w:tc>
        <w:tc>
          <w:tcPr>
            <w:tcW w:type="dxa" w:w="10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Precisión</w:t>
            </w:r>
          </w:p>
        </w:tc>
        <w:tc>
          <w:tcPr>
            <w:tcW w:type="dxa" w:w="10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Recall</w:t>
            </w:r>
          </w:p>
        </w:tc>
        <w:tc>
          <w:tcPr>
            <w:tcW w:type="dxa" w:w="10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F1</w:t>
            </w:r>
          </w:p>
        </w:tc>
      </w:tr>
      <w:tr>
        <w:tc>
          <w:tcPr>
            <w:tcW w:type="dxa" w:w="2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Sacro</w:t>
            </w:r>
          </w:p>
        </w:tc>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2 238</w:t>
            </w:r>
          </w:p>
        </w:tc>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37</w:t>
            </w:r>
          </w:p>
        </w:tc>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56</w:t>
            </w:r>
          </w:p>
        </w:tc>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2 333</w:t>
            </w:r>
          </w:p>
        </w:tc>
        <w:tc>
          <w:tcPr>
            <w:tcW w:type="dxa" w:w="102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0.984</w:t>
            </w:r>
          </w:p>
        </w:tc>
        <w:tc>
          <w:tcPr>
            <w:tcW w:type="dxa" w:w="102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0.976</w:t>
            </w:r>
          </w:p>
        </w:tc>
        <w:tc>
          <w:tcPr>
            <w:tcW w:type="dxa" w:w="102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0.980</w:t>
            </w:r>
          </w:p>
        </w:tc>
      </w:tr>
      <w:tr>
        <w:tc>
          <w:tcPr>
            <w:tcW w:type="dxa" w:w="21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bCs/>
                <w:color w:val="1B1B1B"/>
                <w:sz w:val="18"/>
                <w:szCs w:val="18"/>
              </w:rPr>
              <w:t xml:space="preserve">Coxal izquierdo</w:t>
            </w:r>
          </w:p>
        </w:tc>
        <w:tc>
          <w:tcPr>
            <w:tcW w:type="dxa" w:w="105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3 372</w:t>
            </w:r>
          </w:p>
        </w:tc>
        <w:tc>
          <w:tcPr>
            <w:tcW w:type="dxa" w:w="105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11</w:t>
            </w:r>
          </w:p>
        </w:tc>
        <w:tc>
          <w:tcPr>
            <w:tcW w:type="dxa" w:w="105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12</w:t>
            </w:r>
          </w:p>
        </w:tc>
        <w:tc>
          <w:tcPr>
            <w:tcW w:type="dxa" w:w="105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1 269</w:t>
            </w:r>
          </w:p>
        </w:tc>
        <w:tc>
          <w:tcPr>
            <w:tcW w:type="dxa" w:w="102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0.997</w:t>
            </w:r>
          </w:p>
        </w:tc>
        <w:tc>
          <w:tcPr>
            <w:tcW w:type="dxa" w:w="102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0.997</w:t>
            </w:r>
          </w:p>
        </w:tc>
        <w:tc>
          <w:tcPr>
            <w:tcW w:type="dxa" w:w="102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0.997</w:t>
            </w:r>
          </w:p>
        </w:tc>
      </w:tr>
      <w:tr>
        <w:tc>
          <w:tcPr>
            <w:tcW w:type="dxa" w:w="2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Coxal derecho</w:t>
            </w:r>
          </w:p>
        </w:tc>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3 316</w:t>
            </w:r>
          </w:p>
        </w:tc>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28</w:t>
            </w:r>
          </w:p>
        </w:tc>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4</w:t>
            </w:r>
          </w:p>
        </w:tc>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1 316</w:t>
            </w:r>
          </w:p>
        </w:tc>
        <w:tc>
          <w:tcPr>
            <w:tcW w:type="dxa" w:w="102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0.992</w:t>
            </w:r>
          </w:p>
        </w:tc>
        <w:tc>
          <w:tcPr>
            <w:tcW w:type="dxa" w:w="102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0.999</w:t>
            </w:r>
          </w:p>
        </w:tc>
        <w:tc>
          <w:tcPr>
            <w:tcW w:type="dxa" w:w="102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0.995</w:t>
            </w:r>
          </w:p>
        </w:tc>
      </w:tr>
    </w:tbl>
    <w:p>
      <w:pPr>
        <w:spacing w:after="80"/>
      </w:pPr>
    </w:p>
    <w:p>
      <w:pPr>
        <w:spacing w:after="120" w:line="288"/>
        <w:jc w:val="both"/>
      </w:pPr>
      <w:r>
        <w:t xml:space="preserve">A nivel de píxel, la matriz de la salida semántica (filas: clase real; columnas: clase predicha, en % de la fila) muestra que casi todo el error es hueso que se predice como fondo, sobre todo en el sacro. La confusión entre coxal izquierdo y derecho, que en el modelo previo afectaba al 30 % del coxal izquierdo del caso 012, quedó por debajo del 0.1 %.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8"/>
                <w:szCs w:val="18"/>
              </w:rPr>
              <w:t xml:space="preserve">Real \ Predicho</w:t>
            </w:r>
          </w:p>
        </w:tc>
        <w:tc>
          <w:tcPr>
            <w:tcW w:type="dxa" w:w="17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Fondo</w:t>
            </w:r>
          </w:p>
        </w:tc>
        <w:tc>
          <w:tcPr>
            <w:tcW w:type="dxa" w:w="17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Sacro</w:t>
            </w:r>
          </w:p>
        </w:tc>
        <w:tc>
          <w:tcPr>
            <w:tcW w:type="dxa" w:w="17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Coxal izq.</w:t>
            </w:r>
          </w:p>
        </w:tc>
        <w:tc>
          <w:tcPr>
            <w:tcW w:type="dxa" w:w="17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Coxal der.</w:t>
            </w:r>
          </w:p>
        </w:tc>
      </w:tr>
      <w:tr>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Fondo</w:t>
            </w:r>
          </w:p>
        </w:tc>
        <w:tc>
          <w:tcPr>
            <w:tcW w:type="dxa" w:w="174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99.93</w:t>
            </w:r>
          </w:p>
        </w:tc>
        <w:tc>
          <w:tcPr>
            <w:tcW w:type="dxa" w:w="174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0.02</w:t>
            </w:r>
          </w:p>
        </w:tc>
        <w:tc>
          <w:tcPr>
            <w:tcW w:type="dxa" w:w="174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0.02</w:t>
            </w:r>
          </w:p>
        </w:tc>
        <w:tc>
          <w:tcPr>
            <w:tcW w:type="dxa" w:w="174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0.02</w:t>
            </w:r>
          </w:p>
        </w:tc>
      </w:tr>
      <w:tr>
        <w:tc>
          <w:tcPr>
            <w:tcW w:type="dxa" w:w="24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bCs/>
                <w:color w:val="1B1B1B"/>
                <w:sz w:val="18"/>
                <w:szCs w:val="18"/>
              </w:rPr>
              <w:t xml:space="preserve">Sacro</w:t>
            </w:r>
          </w:p>
        </w:tc>
        <w:tc>
          <w:tcPr>
            <w:tcW w:type="dxa" w:w="174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3.28</w:t>
            </w:r>
          </w:p>
        </w:tc>
        <w:tc>
          <w:tcPr>
            <w:tcW w:type="dxa" w:w="174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96.65</w:t>
            </w:r>
          </w:p>
        </w:tc>
        <w:tc>
          <w:tcPr>
            <w:tcW w:type="dxa" w:w="174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0.04</w:t>
            </w:r>
          </w:p>
        </w:tc>
        <w:tc>
          <w:tcPr>
            <w:tcW w:type="dxa" w:w="174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0.04</w:t>
            </w:r>
          </w:p>
        </w:tc>
      </w:tr>
      <w:tr>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Coxal izquierdo</w:t>
            </w:r>
          </w:p>
        </w:tc>
        <w:tc>
          <w:tcPr>
            <w:tcW w:type="dxa" w:w="174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1.52</w:t>
            </w:r>
          </w:p>
        </w:tc>
        <w:tc>
          <w:tcPr>
            <w:tcW w:type="dxa" w:w="174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0.01</w:t>
            </w:r>
          </w:p>
        </w:tc>
        <w:tc>
          <w:tcPr>
            <w:tcW w:type="dxa" w:w="174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98.47</w:t>
            </w:r>
          </w:p>
        </w:tc>
        <w:tc>
          <w:tcPr>
            <w:tcW w:type="dxa" w:w="174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0.00</w:t>
            </w:r>
          </w:p>
        </w:tc>
      </w:tr>
      <w:tr>
        <w:tc>
          <w:tcPr>
            <w:tcW w:type="dxa" w:w="24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bCs/>
                <w:color w:val="1B1B1B"/>
                <w:sz w:val="18"/>
                <w:szCs w:val="18"/>
              </w:rPr>
              <w:t xml:space="preserve">Coxal derecho</w:t>
            </w:r>
          </w:p>
        </w:tc>
        <w:tc>
          <w:tcPr>
            <w:tcW w:type="dxa" w:w="174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1.45</w:t>
            </w:r>
          </w:p>
        </w:tc>
        <w:tc>
          <w:tcPr>
            <w:tcW w:type="dxa" w:w="174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0.02</w:t>
            </w:r>
          </w:p>
        </w:tc>
        <w:tc>
          <w:tcPr>
            <w:tcW w:type="dxa" w:w="174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0.06</w:t>
            </w:r>
          </w:p>
        </w:tc>
        <w:tc>
          <w:tcPr>
            <w:tcW w:type="dxa" w:w="174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98.47</w:t>
            </w:r>
          </w:p>
        </w:tc>
      </w:tr>
    </w:tbl>
    <w:p>
      <w:pPr>
        <w:pStyle w:val="Heading2"/>
      </w:pPr>
      <w:r>
        <w:t xml:space="preserve">Los cinco peores casos</w:t>
      </w:r>
    </w:p>
    <w:p>
      <w:pPr>
        <w:spacing w:after="120" w:line="288"/>
        <w:jc w:val="both"/>
      </w:pPr>
      <w:r>
        <w:t xml:space="preserve">Los cinco casos de test con menor Dice por fragmento con H6 comparten un patrón: el fragmento principal se segmenta bien (Dice 0.87 a 0.91) y el error se concentra en los fragmentos secundarios. Cada figura muestra el corte del décimo percentil y el corte mediano del caso (tono claro: fragmento secundario).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1100"/>
        <w:gridCol w:w="1150"/>
        <w:gridCol w:w="1300"/>
        <w:gridCol w:w="1250"/>
        <w:gridCol w:w="2660"/>
      </w:tblGrid>
      <w:tr>
        <w:trPr>
          <w:tblHeader/>
        </w:trPr>
        <w:tc>
          <w:tcPr>
            <w:tcW w:type="dxa" w:w="8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8"/>
                <w:szCs w:val="18"/>
              </w:rPr>
              <w:t xml:space="preserve">Caso</w:t>
            </w:r>
          </w:p>
        </w:tc>
        <w:tc>
          <w:tcPr>
            <w:tcW w:type="dxa" w:w="11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Dice frag.</w:t>
            </w:r>
          </w:p>
        </w:tc>
        <w:tc>
          <w:tcPr>
            <w:tcW w:type="dxa" w:w="11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Primario</w:t>
            </w:r>
          </w:p>
        </w:tc>
        <w:tc>
          <w:tcPr>
            <w:tcW w:type="dxa" w:w="115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Secundario</w:t>
            </w:r>
          </w:p>
        </w:tc>
        <w:tc>
          <w:tcPr>
            <w:tcW w:type="dxa" w:w="13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Sec. sin pareja</w:t>
            </w:r>
          </w:p>
        </w:tc>
        <w:tc>
          <w:tcPr>
            <w:tcW w:type="dxa" w:w="125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Hueso → fondo</w:t>
            </w:r>
          </w:p>
        </w:tc>
        <w:tc>
          <w:tcPr>
            <w:tcW w:type="dxa" w:w="26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Hipótesis</w:t>
            </w:r>
          </w:p>
        </w:tc>
      </w:tr>
      <w:tr>
        <w:tc>
          <w:tcPr>
            <w:tcW w:type="dxa" w:w="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039</w:t>
            </w:r>
          </w:p>
        </w:tc>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0.784</w:t>
            </w:r>
          </w:p>
        </w:tc>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0.891</w:t>
            </w:r>
          </w:p>
        </w:tc>
        <w:tc>
          <w:tcPr>
            <w:tcW w:type="dxa" w:w="11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0.635</w:t>
            </w:r>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7.7 %</w:t>
            </w:r>
          </w:p>
        </w:tc>
        <w:tc>
          <w:tcPr>
            <w:tcW w:type="dxa" w:w="12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3.2 %</w:t>
            </w:r>
          </w:p>
        </w:tc>
        <w:tc>
          <w:tcPr>
            <w:tcW w:type="dxa" w:w="26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Volumen de 154 × 322 px con el espaciado más grueso del dataset: al estirarlo a 384 px el sacro se sobrefragmenta (10 fragmentos predichos frente a 5 reales)</w:t>
            </w:r>
          </w:p>
        </w:tc>
      </w:tr>
      <w:tr>
        <w:tc>
          <w:tcPr>
            <w:tcW w:type="dxa" w:w="8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bCs/>
                <w:color w:val="1B1B1B"/>
                <w:sz w:val="18"/>
                <w:szCs w:val="18"/>
              </w:rPr>
              <w:t xml:space="preserve">061</w:t>
            </w:r>
          </w:p>
        </w:tc>
        <w:tc>
          <w:tcPr>
            <w:tcW w:type="dxa" w:w="11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val="false"/>
                <w:bCs w:val="false"/>
                <w:color w:val="1B1B1B"/>
                <w:sz w:val="18"/>
                <w:szCs w:val="18"/>
              </w:rPr>
              <w:t xml:space="preserve">0.822</w:t>
            </w:r>
          </w:p>
        </w:tc>
        <w:tc>
          <w:tcPr>
            <w:tcW w:type="dxa" w:w="11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val="false"/>
                <w:bCs w:val="false"/>
                <w:color w:val="1B1B1B"/>
                <w:sz w:val="18"/>
                <w:szCs w:val="18"/>
              </w:rPr>
              <w:t xml:space="preserve">0.891</w:t>
            </w:r>
          </w:p>
        </w:tc>
        <w:tc>
          <w:tcPr>
            <w:tcW w:type="dxa" w:w="115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val="false"/>
                <w:bCs w:val="false"/>
                <w:color w:val="1B1B1B"/>
                <w:sz w:val="18"/>
                <w:szCs w:val="18"/>
              </w:rPr>
              <w:t xml:space="preserve">0.635</w:t>
            </w:r>
          </w:p>
        </w:tc>
        <w:tc>
          <w:tcPr>
            <w:tcW w:type="dxa" w:w="13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val="false"/>
                <w:bCs w:val="false"/>
                <w:color w:val="1B1B1B"/>
                <w:sz w:val="18"/>
                <w:szCs w:val="18"/>
              </w:rPr>
              <w:t xml:space="preserve">17.4 %</w:t>
            </w:r>
          </w:p>
        </w:tc>
        <w:tc>
          <w:tcPr>
            <w:tcW w:type="dxa" w:w="125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val="false"/>
                <w:bCs w:val="false"/>
                <w:color w:val="1B1B1B"/>
                <w:sz w:val="18"/>
                <w:szCs w:val="18"/>
              </w:rPr>
              <w:t xml:space="preserve">1.2 %</w:t>
            </w:r>
          </w:p>
        </w:tc>
        <w:tc>
          <w:tcPr>
            <w:tcW w:type="dxa" w:w="26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val="false"/>
                <w:bCs w:val="false"/>
                <w:color w:val="1B1B1B"/>
                <w:sz w:val="18"/>
                <w:szCs w:val="18"/>
              </w:rPr>
              <w:t xml:space="preserve">Dos fragmentos del coxal derecho de tamaño parecido: el modelo elige como principal el que en el corte parece más grande, que no es el mayor del volumen</w:t>
            </w:r>
          </w:p>
        </w:tc>
      </w:tr>
      <w:tr>
        <w:tc>
          <w:tcPr>
            <w:tcW w:type="dxa" w:w="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007</w:t>
            </w:r>
          </w:p>
        </w:tc>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0.831</w:t>
            </w:r>
          </w:p>
        </w:tc>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0.913</w:t>
            </w:r>
          </w:p>
        </w:tc>
        <w:tc>
          <w:tcPr>
            <w:tcW w:type="dxa" w:w="11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0.545</w:t>
            </w:r>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24.5 %</w:t>
            </w:r>
          </w:p>
        </w:tc>
        <w:tc>
          <w:tcPr>
            <w:tcW w:type="dxa" w:w="12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1.6 %</w:t>
            </w:r>
          </w:p>
        </w:tc>
        <w:tc>
          <w:tcPr>
            <w:tcW w:type="dxa" w:w="26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Fragmentos secundarios pequeños y en contacto: uno de cada cuatro no se encuentra</w:t>
            </w:r>
          </w:p>
        </w:tc>
      </w:tr>
      <w:tr>
        <w:tc>
          <w:tcPr>
            <w:tcW w:type="dxa" w:w="8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bCs/>
                <w:color w:val="1B1B1B"/>
                <w:sz w:val="18"/>
                <w:szCs w:val="18"/>
              </w:rPr>
              <w:t xml:space="preserve">054</w:t>
            </w:r>
          </w:p>
        </w:tc>
        <w:tc>
          <w:tcPr>
            <w:tcW w:type="dxa" w:w="11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val="false"/>
                <w:bCs w:val="false"/>
                <w:color w:val="1B1B1B"/>
                <w:sz w:val="18"/>
                <w:szCs w:val="18"/>
              </w:rPr>
              <w:t xml:space="preserve">0.834</w:t>
            </w:r>
          </w:p>
        </w:tc>
        <w:tc>
          <w:tcPr>
            <w:tcW w:type="dxa" w:w="11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val="false"/>
                <w:bCs w:val="false"/>
                <w:color w:val="1B1B1B"/>
                <w:sz w:val="18"/>
                <w:szCs w:val="18"/>
              </w:rPr>
              <w:t xml:space="preserve">0.899</w:t>
            </w:r>
          </w:p>
        </w:tc>
        <w:tc>
          <w:tcPr>
            <w:tcW w:type="dxa" w:w="115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val="false"/>
                <w:bCs w:val="false"/>
                <w:color w:val="1B1B1B"/>
                <w:sz w:val="18"/>
                <w:szCs w:val="18"/>
              </w:rPr>
              <w:t xml:space="preserve">0.663</w:t>
            </w:r>
          </w:p>
        </w:tc>
        <w:tc>
          <w:tcPr>
            <w:tcW w:type="dxa" w:w="13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val="false"/>
                <w:bCs w:val="false"/>
                <w:color w:val="1B1B1B"/>
                <w:sz w:val="18"/>
                <w:szCs w:val="18"/>
              </w:rPr>
              <w:t xml:space="preserve">16.2 %</w:t>
            </w:r>
          </w:p>
        </w:tc>
        <w:tc>
          <w:tcPr>
            <w:tcW w:type="dxa" w:w="125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val="false"/>
                <w:bCs w:val="false"/>
                <w:color w:val="1B1B1B"/>
                <w:sz w:val="18"/>
                <w:szCs w:val="18"/>
              </w:rPr>
              <w:t xml:space="preserve">2.9 %</w:t>
            </w:r>
          </w:p>
        </w:tc>
        <w:tc>
          <w:tcPr>
            <w:tcW w:type="dxa" w:w="26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val="false"/>
                <w:bCs w:val="false"/>
                <w:color w:val="1B1B1B"/>
                <w:sz w:val="18"/>
                <w:szCs w:val="18"/>
              </w:rPr>
              <w:t xml:space="preserve">Mismo intercambio principal/secundario que en 061, en los cortes donde los dos fragmentos se tocan</w:t>
            </w:r>
          </w:p>
        </w:tc>
      </w:tr>
      <w:tr>
        <w:tc>
          <w:tcPr>
            <w:tcW w:type="dxa" w:w="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047</w:t>
            </w:r>
          </w:p>
        </w:tc>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0.854</w:t>
            </w:r>
          </w:p>
        </w:tc>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0.870</w:t>
            </w:r>
          </w:p>
        </w:tc>
        <w:tc>
          <w:tcPr>
            <w:tcW w:type="dxa" w:w="11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0.753</w:t>
            </w:r>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17.1 %</w:t>
            </w:r>
          </w:p>
        </w:tc>
        <w:tc>
          <w:tcPr>
            <w:tcW w:type="dxa" w:w="12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5.4 %</w:t>
            </w:r>
          </w:p>
        </w:tc>
        <w:tc>
          <w:tcPr>
            <w:tcW w:type="dxa" w:w="26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Hueso fino y poco denso en los extremos del volumen (Dice 0.745 en extremos contra 0.888 en el centro), que se predice como fondo</w:t>
            </w:r>
          </w:p>
        </w:tc>
      </w:tr>
    </w:tbl>
    <w:p>
      <w:pPr>
        <w:spacing w:after="80"/>
      </w:pPr>
    </w:p>
    <w:p>
      <w:pPr>
        <w:spacing w:after="60" w:before="120"/>
        <w:jc w:val="center"/>
      </w:pPr>
      <w:r>
        <w:drawing>
          <wp:inline distT="0" distB="0" distL="0" distR="0">
            <wp:extent cx="4000500" cy="2724150"/>
            <wp:effectExtent t="0" r="0" b="0" l="0"/>
            <wp:docPr id="1" name="peor_039.png" descr="peor_039.png" title="peor_0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724150"/>
                    </a:xfrm>
                    <a:prstGeom prst="rect">
                      <a:avLst/>
                    </a:prstGeom>
                  </pic:spPr>
                </pic:pic>
              </a:graphicData>
            </a:graphic>
          </wp:inline>
        </w:drawing>
      </w:r>
    </w:p>
    <w:p>
      <w:pPr>
        <w:spacing w:after="200"/>
        <w:jc w:val="center"/>
      </w:pPr>
      <w:r>
        <w:rPr>
          <w:i/>
          <w:iCs/>
          <w:color w:val="5C677D"/>
          <w:sz w:val="18"/>
          <w:szCs w:val="18"/>
        </w:rPr>
        <w:t xml:space="preserve">Figura 8. Caso 039 (Dice por fragmento 0.784): el sacro aparece dividido en más fragmentos de los reales.</w:t>
      </w:r>
    </w:p>
    <w:p>
      <w:pPr>
        <w:spacing w:after="60" w:before="120"/>
        <w:jc w:val="center"/>
      </w:pPr>
      <w:r>
        <w:drawing>
          <wp:inline distT="0" distB="0" distL="0" distR="0">
            <wp:extent cx="4000500" cy="2724150"/>
            <wp:effectExtent t="0" r="0" b="0" l="0"/>
            <wp:docPr id="1" name="peor_061.png" descr="peor_061.png" title="peor_0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724150"/>
                    </a:xfrm>
                    <a:prstGeom prst="rect">
                      <a:avLst/>
                    </a:prstGeom>
                  </pic:spPr>
                </pic:pic>
              </a:graphicData>
            </a:graphic>
          </wp:inline>
        </w:drawing>
      </w:r>
    </w:p>
    <w:p>
      <w:pPr>
        <w:spacing w:after="200"/>
        <w:jc w:val="center"/>
      </w:pPr>
      <w:r>
        <w:rPr>
          <w:i/>
          <w:iCs/>
          <w:color w:val="5C677D"/>
          <w:sz w:val="18"/>
          <w:szCs w:val="18"/>
        </w:rPr>
        <w:t xml:space="preserve">Figura 9. Caso 061 (0.822): en el coxal derecho el principal y el secundario quedan intercambiados.</w:t>
      </w:r>
    </w:p>
    <w:p>
      <w:pPr>
        <w:spacing w:after="60" w:before="120"/>
        <w:jc w:val="center"/>
      </w:pPr>
      <w:r>
        <w:drawing>
          <wp:inline distT="0" distB="0" distL="0" distR="0">
            <wp:extent cx="4000500" cy="2724150"/>
            <wp:effectExtent t="0" r="0" b="0" l="0"/>
            <wp:docPr id="1" name="peor_007.png" descr="peor_007.png" title="peor_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724150"/>
                    </a:xfrm>
                    <a:prstGeom prst="rect">
                      <a:avLst/>
                    </a:prstGeom>
                  </pic:spPr>
                </pic:pic>
              </a:graphicData>
            </a:graphic>
          </wp:inline>
        </w:drawing>
      </w:r>
    </w:p>
    <w:p>
      <w:pPr>
        <w:spacing w:after="200"/>
        <w:jc w:val="center"/>
      </w:pPr>
      <w:r>
        <w:rPr>
          <w:i/>
          <w:iCs/>
          <w:color w:val="5C677D"/>
          <w:sz w:val="18"/>
          <w:szCs w:val="18"/>
        </w:rPr>
        <w:t xml:space="preserve">Figura 10. Caso 007 (0.831): fragmentos secundarios pequeños que se pierden o se fusionan.</w:t>
      </w:r>
    </w:p>
    <w:p>
      <w:pPr>
        <w:spacing w:after="60" w:before="120"/>
        <w:jc w:val="center"/>
      </w:pPr>
      <w:r>
        <w:drawing>
          <wp:inline distT="0" distB="0" distL="0" distR="0">
            <wp:extent cx="4000500" cy="2724150"/>
            <wp:effectExtent t="0" r="0" b="0" l="0"/>
            <wp:docPr id="1" name="peor_054.png" descr="peor_054.png" title="peor_0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724150"/>
                    </a:xfrm>
                    <a:prstGeom prst="rect">
                      <a:avLst/>
                    </a:prstGeom>
                  </pic:spPr>
                </pic:pic>
              </a:graphicData>
            </a:graphic>
          </wp:inline>
        </w:drawing>
      </w:r>
    </w:p>
    <w:p>
      <w:pPr>
        <w:spacing w:after="200"/>
        <w:jc w:val="center"/>
      </w:pPr>
      <w:r>
        <w:rPr>
          <w:i/>
          <w:iCs/>
          <w:color w:val="5C677D"/>
          <w:sz w:val="18"/>
          <w:szCs w:val="18"/>
        </w:rPr>
        <w:t xml:space="preserve">Figura 11. Caso 054 (0.834): intercambio principal/secundario en fragmentos que se tocan.</w:t>
      </w:r>
    </w:p>
    <w:p>
      <w:pPr>
        <w:spacing w:after="60" w:before="120"/>
        <w:jc w:val="center"/>
      </w:pPr>
      <w:r>
        <w:drawing>
          <wp:inline distT="0" distB="0" distL="0" distR="0">
            <wp:extent cx="4000500" cy="2724150"/>
            <wp:effectExtent t="0" r="0" b="0" l="0"/>
            <wp:docPr id="1" name="peor_047.png" descr="peor_047.png" title="peor_0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2724150"/>
                    </a:xfrm>
                    <a:prstGeom prst="rect">
                      <a:avLst/>
                    </a:prstGeom>
                  </pic:spPr>
                </pic:pic>
              </a:graphicData>
            </a:graphic>
          </wp:inline>
        </w:drawing>
      </w:r>
    </w:p>
    <w:p>
      <w:pPr>
        <w:spacing w:after="200"/>
        <w:jc w:val="center"/>
      </w:pPr>
      <w:r>
        <w:rPr>
          <w:i/>
          <w:iCs/>
          <w:color w:val="5C677D"/>
          <w:sz w:val="18"/>
          <w:szCs w:val="18"/>
        </w:rPr>
        <w:t xml:space="preserve">Figura 12. Caso 047 (0.854): pérdida de hueso fino en los extremos del volumen.</w:t>
      </w:r>
    </w:p>
    <w:p>
      <w:pPr>
        <w:spacing w:after="120" w:line="288"/>
        <w:jc w:val="both"/>
      </w:pPr>
      <w:r>
        <w:t xml:space="preserve">Con el modelo previo (D5), el peor caso era 012, con el paciente girado unos 26°. Con H6 pasa a 0.865: el centro del volumen sube a 0.932, aunque los extremos siguen débiles (0.621). El análisis que llevó a la orientación canónica se resume en las Figuras 13 a 15.</w:t>
      </w:r>
    </w:p>
    <w:p>
      <w:pPr>
        <w:spacing w:after="60" w:before="120"/>
        <w:jc w:val="center"/>
      </w:pPr>
      <w:r>
        <w:drawing>
          <wp:inline distT="0" distB="0" distL="0" distR="0">
            <wp:extent cx="5715000" cy="2000250"/>
            <wp:effectExtent t="0" r="0" b="0" l="0"/>
            <wp:docPr id="1" name="nb_caso012.png" descr="nb_caso012.png" title="nb_caso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000250"/>
                    </a:xfrm>
                    <a:prstGeom prst="rect">
                      <a:avLst/>
                    </a:prstGeom>
                  </pic:spPr>
                </pic:pic>
              </a:graphicData>
            </a:graphic>
          </wp:inline>
        </w:drawing>
      </w:r>
    </w:p>
    <w:p>
      <w:pPr>
        <w:spacing w:after="200"/>
        <w:jc w:val="center"/>
      </w:pPr>
      <w:r>
        <w:rPr>
          <w:i/>
          <w:iCs/>
          <w:color w:val="5C677D"/>
          <w:sz w:val="18"/>
          <w:szCs w:val="18"/>
        </w:rPr>
        <w:t xml:space="preserve">Figura 13. Caso 012 (test), corte 157, con el modelo previo a la orientación canónica (D5, notebook 05): parte del coxal izquierdo recibe etiquetas del derecho (IDs 22–23). Dice del corte: 0.57.</w:t>
      </w:r>
    </w:p>
    <w:p>
      <w:pPr>
        <w:spacing w:after="120" w:line="288"/>
        <w:jc w:val="both"/>
      </w:pPr>
      <w:r>
        <w:t xml:space="preserve">El Dice corte a corte muestra que los errores no eran puntuales: en 012 y 039 había tramos largos del hueso por debajo de 0.6 (Figura 14). Al girar la imagen del caso 012 antes de pasarla al modelo, el Dice pasaba de 0.69 (sin giro) a 0.83 (−45°) y caía hasta 0.03 con otros giros (Figura 15): el modelo previo dependía de la orientación con que llegaba el volumen. Ese hallazgo llevó a la orientación canónica de H6.</w:t>
      </w:r>
    </w:p>
    <w:p>
      <w:pPr>
        <w:spacing w:after="60" w:before="120"/>
        <w:jc w:val="center"/>
      </w:pPr>
      <w:r>
        <w:drawing>
          <wp:inline distT="0" distB="0" distL="0" distR="0">
            <wp:extent cx="5715000" cy="1828800"/>
            <wp:effectExtent t="0" r="0" b="0" l="0"/>
            <wp:docPr id="1" name="nb_dice_cortes.png" descr="nb_dice_cortes.png" title="nb_dice_cor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828800"/>
                    </a:xfrm>
                    <a:prstGeom prst="rect">
                      <a:avLst/>
                    </a:prstGeom>
                  </pic:spPr>
                </pic:pic>
              </a:graphicData>
            </a:graphic>
          </wp:inline>
        </w:drawing>
      </w:r>
    </w:p>
    <w:p>
      <w:pPr>
        <w:spacing w:after="200"/>
        <w:jc w:val="center"/>
      </w:pPr>
      <w:r>
        <w:rPr>
          <w:i/>
          <w:iCs/>
          <w:color w:val="5C677D"/>
          <w:sz w:val="18"/>
          <w:szCs w:val="18"/>
        </w:rPr>
        <w:t xml:space="preserve">Figura 14. Dice por corte a lo largo del hueso en los cuatro casos más difíciles (012 y 039 de test; 087 y 078 de validación), con el modelo previo (D5, notebook 05). Línea punteada: objetivo 0.85.</w:t>
      </w:r>
    </w:p>
    <w:p>
      <w:pPr>
        <w:spacing w:after="60" w:before="120"/>
        <w:jc w:val="center"/>
      </w:pPr>
      <w:r>
        <w:drawing>
          <wp:inline distT="0" distB="0" distL="0" distR="0">
            <wp:extent cx="4191000" cy="1876425"/>
            <wp:effectExtent t="0" r="0" b="0" l="0"/>
            <wp:docPr id="1" name="nb_giro012.png" descr="nb_giro012.png" title="nb_giro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91000" cy="1876425"/>
                    </a:xfrm>
                    <a:prstGeom prst="rect">
                      <a:avLst/>
                    </a:prstGeom>
                  </pic:spPr>
                </pic:pic>
              </a:graphicData>
            </a:graphic>
          </wp:inline>
        </w:drawing>
      </w:r>
    </w:p>
    <w:p>
      <w:pPr>
        <w:spacing w:after="200"/>
        <w:jc w:val="center"/>
      </w:pPr>
      <w:r>
        <w:rPr>
          <w:i/>
          <w:iCs/>
          <w:color w:val="5C677D"/>
          <w:sz w:val="18"/>
          <w:szCs w:val="18"/>
        </w:rPr>
        <w:t xml:space="preserve">Figura 15. Caso 012: Dice de instancias según el giro aplicado a la imagen antes del modelo (modelo previo, D5).</w:t>
      </w:r>
    </w:p>
    <w:p>
      <w:pPr>
        <w:pStyle w:val="Heading2"/>
      </w:pPr>
      <w:r>
        <w:t xml:space="preserve">Distancia de separación: predicción frente a ground truth</w:t>
      </w:r>
    </w:p>
    <w:p>
      <w:pPr>
        <w:spacing w:after="120" w:line="288"/>
        <w:jc w:val="both"/>
      </w:pPr>
      <w:r>
        <w:rPr>
          <w:i/>
          <w:iCs/>
          <w:highlight w:val="yellow"/>
          <w:highlightCs w:val="yellow"/>
        </w:rPr>
        <w:t xml:space="preserve">[pendiente: distancia mínima borde a borde, en mm, de cada fragmento al principal, con distance_transform_edt y el spacing del header, en predicción y GT]</w:t>
      </w:r>
    </w:p>
    <w:p>
      <w:pPr>
        <w:pStyle w:val="Heading2"/>
      </w:pPr>
      <w:r>
        <w:t xml:space="preserve">Comparación con SAM</w:t>
      </w:r>
    </w:p>
    <w:p>
      <w:pPr>
        <w:spacing w:after="120" w:line="288"/>
        <w:jc w:val="both"/>
      </w:pPr>
      <w:r>
        <w:t xml:space="preserve">SAM ViT-B se ejecutó en modo zero-shot sobre test, con la caja que predice nuestro detector como prompt, y se comparó región por región con la máscara semántica de H6 dentro de la misma caja (1 181 cortes, uno de cada tres; 3 002 pares corte-región). SAM no forma parte del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8"/>
                <w:szCs w:val="18"/>
              </w:rPr>
              <w:t xml:space="preserve">Región</w:t>
            </w:r>
          </w:p>
        </w:tc>
        <w:tc>
          <w:tcPr>
            <w:tcW w:type="dxa" w:w="17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Dice SAM</w:t>
            </w:r>
          </w:p>
        </w:tc>
        <w:tc>
          <w:tcPr>
            <w:tcW w:type="dxa" w:w="17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Dice H6</w:t>
            </w:r>
          </w:p>
        </w:tc>
        <w:tc>
          <w:tcPr>
            <w:tcW w:type="dxa" w:w="17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IoU SAM</w:t>
            </w:r>
          </w:p>
        </w:tc>
        <w:tc>
          <w:tcPr>
            <w:tcW w:type="dxa" w:w="17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IoU H6</w:t>
            </w:r>
          </w:p>
        </w:tc>
      </w:tr>
      <w:tr>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Sacro</w:t>
            </w:r>
          </w:p>
        </w:tc>
        <w:tc>
          <w:tcPr>
            <w:tcW w:type="dxa" w:w="174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0.792</w:t>
            </w:r>
          </w:p>
        </w:tc>
        <w:tc>
          <w:tcPr>
            <w:tcW w:type="dxa" w:w="174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0.884</w:t>
            </w:r>
          </w:p>
        </w:tc>
        <w:tc>
          <w:tcPr>
            <w:tcW w:type="dxa" w:w="174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0.690</w:t>
            </w:r>
          </w:p>
        </w:tc>
        <w:tc>
          <w:tcPr>
            <w:tcW w:type="dxa" w:w="174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0.820</w:t>
            </w:r>
          </w:p>
        </w:tc>
      </w:tr>
      <w:tr>
        <w:tc>
          <w:tcPr>
            <w:tcW w:type="dxa" w:w="24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bCs/>
                <w:color w:val="1B1B1B"/>
                <w:sz w:val="18"/>
                <w:szCs w:val="18"/>
              </w:rPr>
              <w:t xml:space="preserve">Coxal izquierdo</w:t>
            </w:r>
          </w:p>
        </w:tc>
        <w:tc>
          <w:tcPr>
            <w:tcW w:type="dxa" w:w="174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0.915</w:t>
            </w:r>
          </w:p>
        </w:tc>
        <w:tc>
          <w:tcPr>
            <w:tcW w:type="dxa" w:w="174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0.947</w:t>
            </w:r>
          </w:p>
        </w:tc>
        <w:tc>
          <w:tcPr>
            <w:tcW w:type="dxa" w:w="174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0.859</w:t>
            </w:r>
          </w:p>
        </w:tc>
        <w:tc>
          <w:tcPr>
            <w:tcW w:type="dxa" w:w="174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0.905</w:t>
            </w:r>
          </w:p>
        </w:tc>
      </w:tr>
      <w:tr>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Coxal derecho</w:t>
            </w:r>
          </w:p>
        </w:tc>
        <w:tc>
          <w:tcPr>
            <w:tcW w:type="dxa" w:w="174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0.930</w:t>
            </w:r>
          </w:p>
        </w:tc>
        <w:tc>
          <w:tcPr>
            <w:tcW w:type="dxa" w:w="174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0.957</w:t>
            </w:r>
          </w:p>
        </w:tc>
        <w:tc>
          <w:tcPr>
            <w:tcW w:type="dxa" w:w="174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0.879</w:t>
            </w:r>
          </w:p>
        </w:tc>
        <w:tc>
          <w:tcPr>
            <w:tcW w:type="dxa" w:w="174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0.921</w:t>
            </w:r>
          </w:p>
        </w:tc>
      </w:tr>
      <w:tr>
        <w:tc>
          <w:tcPr>
            <w:tcW w:type="dxa" w:w="2400"/>
            <w:tcBorders>
              <w:top w:val="single" w:color="C9D3DF" w:sz="4"/>
              <w:left w:val="single" w:color="C9D3DF" w:sz="4"/>
              <w:bottom w:val="single" w:color="C9D3DF" w:sz="4"/>
              <w:right w:val="single" w:color="C9D3DF" w:sz="4"/>
            </w:tcBorders>
            <w:shd w:fill="DFF2EF" w:color="auto" w:val="clear"/>
            <w:tcMar>
              <w:top w:type="dxa" w:w="60"/>
              <w:left w:type="dxa" w:w="100"/>
              <w:bottom w:type="dxa" w:w="60"/>
              <w:right w:type="dxa" w:w="100"/>
            </w:tcMar>
          </w:tcPr>
          <w:p>
            <w:pPr>
              <w:jc w:val="left"/>
            </w:pPr>
            <w:r>
              <w:rPr>
                <w:b/>
                <w:bCs/>
                <w:color w:val="1B1B1B"/>
                <w:sz w:val="18"/>
                <w:szCs w:val="18"/>
              </w:rPr>
              <w:t xml:space="preserve">Global</w:t>
            </w:r>
          </w:p>
        </w:tc>
        <w:tc>
          <w:tcPr>
            <w:tcW w:type="dxa" w:w="1740"/>
            <w:tcBorders>
              <w:top w:val="single" w:color="C9D3DF" w:sz="4"/>
              <w:left w:val="single" w:color="C9D3DF" w:sz="4"/>
              <w:bottom w:val="single" w:color="C9D3DF" w:sz="4"/>
              <w:right w:val="single" w:color="C9D3DF" w:sz="4"/>
            </w:tcBorders>
            <w:shd w:fill="DFF2EF" w:color="auto" w:val="clear"/>
            <w:tcMar>
              <w:top w:type="dxa" w:w="60"/>
              <w:left w:type="dxa" w:w="100"/>
              <w:bottom w:type="dxa" w:w="60"/>
              <w:right w:type="dxa" w:w="100"/>
            </w:tcMar>
          </w:tcPr>
          <w:p>
            <w:pPr>
              <w:jc w:val="center"/>
            </w:pPr>
            <w:r>
              <w:rPr>
                <w:b w:val="false"/>
                <w:bCs w:val="false"/>
                <w:color w:val="1B1B1B"/>
                <w:sz w:val="18"/>
                <w:szCs w:val="18"/>
              </w:rPr>
              <w:t xml:space="preserve">0.889</w:t>
            </w:r>
          </w:p>
        </w:tc>
        <w:tc>
          <w:tcPr>
            <w:tcW w:type="dxa" w:w="1740"/>
            <w:tcBorders>
              <w:top w:val="single" w:color="C9D3DF" w:sz="4"/>
              <w:left w:val="single" w:color="C9D3DF" w:sz="4"/>
              <w:bottom w:val="single" w:color="C9D3DF" w:sz="4"/>
              <w:right w:val="single" w:color="C9D3DF" w:sz="4"/>
            </w:tcBorders>
            <w:shd w:fill="DFF2EF" w:color="auto" w:val="clear"/>
            <w:tcMar>
              <w:top w:type="dxa" w:w="60"/>
              <w:left w:type="dxa" w:w="100"/>
              <w:bottom w:type="dxa" w:w="60"/>
              <w:right w:type="dxa" w:w="100"/>
            </w:tcMar>
          </w:tcPr>
          <w:p>
            <w:pPr>
              <w:jc w:val="center"/>
            </w:pPr>
            <w:r>
              <w:rPr>
                <w:b w:val="false"/>
                <w:bCs w:val="false"/>
                <w:color w:val="1B1B1B"/>
                <w:sz w:val="18"/>
                <w:szCs w:val="18"/>
              </w:rPr>
              <w:t xml:space="preserve">0.935</w:t>
            </w:r>
          </w:p>
        </w:tc>
        <w:tc>
          <w:tcPr>
            <w:tcW w:type="dxa" w:w="1740"/>
            <w:tcBorders>
              <w:top w:val="single" w:color="C9D3DF" w:sz="4"/>
              <w:left w:val="single" w:color="C9D3DF" w:sz="4"/>
              <w:bottom w:val="single" w:color="C9D3DF" w:sz="4"/>
              <w:right w:val="single" w:color="C9D3DF" w:sz="4"/>
            </w:tcBorders>
            <w:shd w:fill="DFF2EF" w:color="auto" w:val="clear"/>
            <w:tcMar>
              <w:top w:type="dxa" w:w="60"/>
              <w:left w:type="dxa" w:w="100"/>
              <w:bottom w:type="dxa" w:w="60"/>
              <w:right w:type="dxa" w:w="100"/>
            </w:tcMar>
          </w:tcPr>
          <w:p>
            <w:pPr>
              <w:jc w:val="center"/>
            </w:pPr>
            <w:r>
              <w:rPr>
                <w:b w:val="false"/>
                <w:bCs w:val="false"/>
                <w:color w:val="1B1B1B"/>
                <w:sz w:val="18"/>
                <w:szCs w:val="18"/>
              </w:rPr>
              <w:t xml:space="preserve">0.823</w:t>
            </w:r>
          </w:p>
        </w:tc>
        <w:tc>
          <w:tcPr>
            <w:tcW w:type="dxa" w:w="1740"/>
            <w:tcBorders>
              <w:top w:val="single" w:color="C9D3DF" w:sz="4"/>
              <w:left w:val="single" w:color="C9D3DF" w:sz="4"/>
              <w:bottom w:val="single" w:color="C9D3DF" w:sz="4"/>
              <w:right w:val="single" w:color="C9D3DF" w:sz="4"/>
            </w:tcBorders>
            <w:shd w:fill="DFF2EF" w:color="auto" w:val="clear"/>
            <w:tcMar>
              <w:top w:type="dxa" w:w="60"/>
              <w:left w:type="dxa" w:w="100"/>
              <w:bottom w:type="dxa" w:w="60"/>
              <w:right w:type="dxa" w:w="100"/>
            </w:tcMar>
          </w:tcPr>
          <w:p>
            <w:pPr>
              <w:jc w:val="center"/>
            </w:pPr>
            <w:r>
              <w:rPr>
                <w:b w:val="false"/>
                <w:bCs w:val="false"/>
                <w:color w:val="1B1B1B"/>
                <w:sz w:val="18"/>
                <w:szCs w:val="18"/>
              </w:rPr>
              <w:t xml:space="preserve">0.889</w:t>
            </w:r>
          </w:p>
        </w:tc>
      </w:tr>
    </w:tbl>
    <w:p>
      <w:pPr>
        <w:spacing w:after="80"/>
      </w:pPr>
    </w:p>
    <w:p>
      <w:pPr>
        <w:spacing w:after="120" w:line="288"/>
        <w:jc w:val="both"/>
      </w:pPr>
      <w:r>
        <w:t xml:space="preserve">El modelo propio supera a SAM en las tres regiones, y la diferencia es mayor en el sacro, la región con forma más irregular y bordes menos nítidos. SAM, entrenado con imágenes naturales, delimita bien los coxales cuando la caja es buena, pero no distingue fragmentos ni regiones, y tarda unos 520 ms por corte frente a los milisegundos del modelo propio.</w:t>
      </w:r>
    </w:p>
    <w:p>
      <w:pPr>
        <w:pStyle w:val="Heading1"/>
      </w:pPr>
      <w:r>
        <w:t xml:space="preserve">9. Limitaciones</w:t>
      </w:r>
    </w:p>
    <w:p>
      <w:pPr>
        <w:pStyle w:val="ListParagraph"/>
        <w:numPr>
          <w:ilvl w:val="0"/>
          <w:numId w:val="2"/>
        </w:numPr>
        <w:spacing w:after="60" w:line="276"/>
      </w:pPr>
      <w:r>
        <w:rPr>
          <w:b/>
          <w:bCs/>
        </w:rPr>
        <w:t xml:space="preserve">Fragmentos en contacto. </w:t>
      </w:r>
      <w:r>
        <w:t xml:space="preserve">Cuando dos fragmentos se tocan en la superficie de fractura, el esquema primario/secundario puede fusionarlos por error de segmentación; en esos casos la distancia medida no es confiable.</w:t>
      </w:r>
    </w:p>
    <w:p>
      <w:pPr>
        <w:pStyle w:val="ListParagraph"/>
        <w:numPr>
          <w:ilvl w:val="0"/>
          <w:numId w:val="2"/>
        </w:numPr>
        <w:spacing w:after="60" w:line="276"/>
      </w:pPr>
      <w:r>
        <w:rPr>
          <w:b/>
          <w:bCs/>
        </w:rPr>
        <w:t xml:space="preserve">Modelo 2D. </w:t>
      </w:r>
      <w:r>
        <w:t xml:space="preserve">Cada corte se procesa por separado; los mejores resultados del challenge vienen de redes 3D, fuera del alcance del curso.</w:t>
      </w:r>
    </w:p>
    <w:p>
      <w:pPr>
        <w:pStyle w:val="ListParagraph"/>
        <w:numPr>
          <w:ilvl w:val="0"/>
          <w:numId w:val="2"/>
        </w:numPr>
        <w:spacing w:after="60" w:line="276"/>
      </w:pPr>
      <w:r>
        <w:rPr>
          <w:b/>
          <w:bCs/>
        </w:rPr>
        <w:t xml:space="preserve">Datos. </w:t>
      </w:r>
      <w:r>
        <w:t xml:space="preserve">100 casos de un solo dataset; validación sin casos tan atípicos como los peores de test.</w:t>
      </w:r>
    </w:p>
    <w:p>
      <w:pPr>
        <w:pStyle w:val="ListParagraph"/>
        <w:numPr>
          <w:ilvl w:val="0"/>
          <w:numId w:val="2"/>
        </w:numPr>
        <w:spacing w:after="60" w:line="276"/>
      </w:pPr>
      <w:r>
        <w:rPr>
          <w:b/>
          <w:bCs/>
        </w:rPr>
        <w:t xml:space="preserve">Orientación en la demo. </w:t>
      </w:r>
      <w:r>
        <w:t xml:space="preserve">Los volúmenes LPI se identifican con una lista de los 34 casos del dataset, derivada de sus cabeceras, y la demo todavía no aplica el giro. Para un paciente nuevo, la orientación debe leerse de la cabecera de cada archivo.</w:t>
      </w:r>
    </w:p>
    <w:p>
      <w:pPr>
        <w:pStyle w:val="ListParagraph"/>
        <w:numPr>
          <w:ilvl w:val="0"/>
          <w:numId w:val="2"/>
        </w:numPr>
        <w:spacing w:after="60" w:line="276"/>
      </w:pPr>
      <w:r>
        <w:rPr>
          <w:b/>
          <w:bCs/>
        </w:rPr>
        <w:t xml:space="preserve">Fragmentos secundarios y sobrantes. </w:t>
      </w:r>
      <w:r>
        <w:t xml:space="preserve">El secundario sigue siendo el punto débil (Dice 0.764 frente a 0.905 del primario, y el 6.9 % no se detecta). Además, el Dice por fragmento no penaliza los fragmentos predichos que sobran.</w:t>
      </w:r>
    </w:p>
    <w:p>
      <w:pPr>
        <w:pStyle w:val="ListParagraph"/>
        <w:numPr>
          <w:ilvl w:val="0"/>
          <w:numId w:val="2"/>
        </w:numPr>
        <w:spacing w:after="60" w:line="276"/>
      </w:pPr>
      <w:r>
        <w:rPr>
          <w:b/>
          <w:bCs/>
        </w:rPr>
        <w:t xml:space="preserve">Segunda evaluación en test. </w:t>
      </w:r>
      <w:r>
        <w:t xml:space="preserve">La cifra de H6 se obtuvo después de analizar los fallos de la primera evaluación; no es una estimación limpia (ver Transparencia).</w:t>
      </w:r>
    </w:p>
    <w:p>
      <w:pPr>
        <w:pStyle w:val="ListParagraph"/>
        <w:numPr>
          <w:ilvl w:val="0"/>
          <w:numId w:val="2"/>
        </w:numPr>
        <w:spacing w:after="60" w:line="276"/>
      </w:pPr>
      <w:r>
        <w:rPr>
          <w:b/>
          <w:bCs/>
        </w:rPr>
        <w:t xml:space="preserve">Uso no clínico. </w:t>
      </w:r>
      <w:r>
        <w:t xml:space="preserve">No validado clínicamente; solo para fines académicos.</w:t>
      </w:r>
    </w:p>
    <w:p>
      <w:pPr>
        <w:pStyle w:val="Heading1"/>
      </w:pPr>
      <w:r>
        <w:t xml:space="preserve">10. Conclusiones</w:t>
      </w:r>
    </w:p>
    <w:p>
      <w:pPr>
        <w:spacing w:after="120" w:line="288"/>
        <w:jc w:val="both"/>
      </w:pPr>
      <w:r>
        <w:t xml:space="preserve">Un modelo 2D propio, liviano (2.74 M de parámetros) y sin frameworks cumple las nueve métricas del enunciado en test. La mejora decisiva no vino de una red más grande, sino de </w:t>
      </w:r>
      <w:r>
        <w:rPr>
          <w:b/>
          <w:bCs/>
        </w:rPr>
        <w:t xml:space="preserve">diagnosticar con datos</w:t>
      </w:r>
      <w:r>
        <w:t xml:space="preserve"> por qué fallaban dos pacientes y encontrar un error de orientación en el dataset. Cada decisión está respaldada por evidencia medida y por un protocolo que separa validación de test.</w:t>
      </w:r>
    </w:p>
    <w:p>
      <w:pPr>
        <w:pStyle w:val="Heading1"/>
      </w:pPr>
      <w:r>
        <w:t xml:space="preserve">Transparencia: consultas al conjunto de test</w:t>
      </w:r>
    </w:p>
    <w:p>
      <w:pPr>
        <w:spacing w:after="120" w:line="288"/>
        <w:jc w:val="both"/>
      </w:pPr>
      <w:r>
        <w:t xml:space="preserve">Test se consultó más de una vez durante el proyecto. Las reportamos todas: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rPr>
          <w:tblHeader/>
        </w:trPr>
        <w:tc>
          <w:tcPr>
            <w:tcW w:type="dxa" w:w="38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8"/>
                <w:szCs w:val="18"/>
              </w:rPr>
              <w:t xml:space="preserve">Consulta</w:t>
            </w:r>
          </w:p>
        </w:tc>
        <w:tc>
          <w:tcPr>
            <w:tcW w:type="dxa" w:w="22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Dice por fragmento</w:t>
            </w:r>
          </w:p>
        </w:tc>
        <w:tc>
          <w:tcPr>
            <w:tcW w:type="dxa" w:w="33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Motivo</w:t>
            </w:r>
          </w:p>
        </w:tc>
      </w:tr>
      <w:tr>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C2, semilla 44</w:t>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0.848</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Primera evaluación del modelo base</w:t>
            </w:r>
          </w:p>
        </w:tc>
      </w:tr>
      <w:tr>
        <w:tc>
          <w:tcPr>
            <w:tcW w:type="dxa" w:w="38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bCs/>
                <w:color w:val="1B1B1B"/>
                <w:sz w:val="18"/>
                <w:szCs w:val="18"/>
              </w:rPr>
              <w:t xml:space="preserve">Receta EMA + post-proceso (5 modelos)</w:t>
            </w:r>
          </w:p>
        </w:tc>
        <w:tc>
          <w:tcPr>
            <w:tcW w:type="dxa" w:w="22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0.847 ± 0.003</w:t>
            </w:r>
          </w:p>
        </w:tc>
        <w:tc>
          <w:tcPr>
            <w:tcW w:type="dxa" w:w="33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Mejora consistente en validación; declarada</w:t>
            </w:r>
          </w:p>
        </w:tc>
      </w:tr>
      <w:tr>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D5 (EMA), semilla 42</w:t>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0.845</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Cifra oficial de la Semana 10: configuración congelada antes de ver test</w:t>
            </w:r>
          </w:p>
        </w:tc>
      </w:tr>
      <w:tr>
        <w:tc>
          <w:tcPr>
            <w:tcW w:type="dxa" w:w="3800"/>
            <w:tcBorders>
              <w:top w:val="single" w:color="C9D3DF" w:sz="4"/>
              <w:left w:val="single" w:color="C9D3DF" w:sz="4"/>
              <w:bottom w:val="single" w:color="C9D3DF" w:sz="4"/>
              <w:right w:val="single" w:color="C9D3DF" w:sz="4"/>
            </w:tcBorders>
            <w:shd w:fill="DFF2EF" w:color="auto" w:val="clear"/>
            <w:tcMar>
              <w:top w:type="dxa" w:w="60"/>
              <w:left w:type="dxa" w:w="100"/>
              <w:bottom w:type="dxa" w:w="60"/>
              <w:right w:type="dxa" w:w="100"/>
            </w:tcMar>
          </w:tcPr>
          <w:p>
            <w:pPr>
              <w:jc w:val="left"/>
            </w:pPr>
            <w:r>
              <w:rPr>
                <w:b/>
                <w:bCs/>
                <w:color w:val="1B1B1B"/>
                <w:sz w:val="18"/>
                <w:szCs w:val="18"/>
              </w:rPr>
              <w:t xml:space="preserve">H6 (3 semillas)</w:t>
            </w:r>
          </w:p>
        </w:tc>
        <w:tc>
          <w:tcPr>
            <w:tcW w:type="dxa" w:w="2200"/>
            <w:tcBorders>
              <w:top w:val="single" w:color="C9D3DF" w:sz="4"/>
              <w:left w:val="single" w:color="C9D3DF" w:sz="4"/>
              <w:bottom w:val="single" w:color="C9D3DF" w:sz="4"/>
              <w:right w:val="single" w:color="C9D3DF" w:sz="4"/>
            </w:tcBorders>
            <w:shd w:fill="DFF2EF" w:color="auto" w:val="clear"/>
            <w:tcMar>
              <w:top w:type="dxa" w:w="60"/>
              <w:left w:type="dxa" w:w="100"/>
              <w:bottom w:type="dxa" w:w="60"/>
              <w:right w:type="dxa" w:w="100"/>
            </w:tcMar>
          </w:tcPr>
          <w:p>
            <w:pPr>
              <w:jc w:val="center"/>
            </w:pPr>
            <w:r>
              <w:rPr>
                <w:b w:val="false"/>
                <w:bCs w:val="false"/>
                <w:color w:val="1B1B1B"/>
                <w:sz w:val="18"/>
                <w:szCs w:val="18"/>
              </w:rPr>
              <w:t xml:space="preserve">0.875 ± 0.001</w:t>
            </w:r>
          </w:p>
        </w:tc>
        <w:tc>
          <w:tcPr>
            <w:tcW w:type="dxa" w:w="3360"/>
            <w:tcBorders>
              <w:top w:val="single" w:color="C9D3DF" w:sz="4"/>
              <w:left w:val="single" w:color="C9D3DF" w:sz="4"/>
              <w:bottom w:val="single" w:color="C9D3DF" w:sz="4"/>
              <w:right w:val="single" w:color="C9D3DF" w:sz="4"/>
            </w:tcBorders>
            <w:shd w:fill="DFF2EF" w:color="auto" w:val="clear"/>
            <w:tcMar>
              <w:top w:type="dxa" w:w="60"/>
              <w:left w:type="dxa" w:w="100"/>
              <w:bottom w:type="dxa" w:w="60"/>
              <w:right w:type="dxa" w:w="100"/>
            </w:tcMar>
          </w:tcPr>
          <w:p>
            <w:pPr>
              <w:jc w:val="center"/>
            </w:pPr>
            <w:r>
              <w:rPr>
                <w:b w:val="false"/>
                <w:bCs w:val="false"/>
                <w:color w:val="1B1B1B"/>
                <w:sz w:val="18"/>
                <w:szCs w:val="18"/>
              </w:rPr>
              <w:t xml:space="preserve">Segunda evaluación, posterior al análisis de fallos</w:t>
            </w:r>
          </w:p>
        </w:tc>
      </w:tr>
    </w:tbl>
    <w:p>
      <w:pPr>
        <w:spacing w:after="80"/>
      </w:pPr>
    </w:p>
    <w:p>
      <w:pPr>
        <w:spacing w:after="120" w:line="288"/>
        <w:jc w:val="both"/>
      </w:pPr>
      <w:r>
        <w:t xml:space="preserve">La cifra de H6 se reporta como </w:t>
      </w:r>
      <w:r>
        <w:rPr>
          <w:b/>
          <w:bCs/>
        </w:rPr>
        <w:t xml:space="preserve">segunda evaluación, posterior al análisis de fallos</w:t>
      </w:r>
      <w:r>
        <w:t xml:space="preserve">, sin reemplazar la de D5. H6 se diseñó después de estudiar por qué fallaban los casos 012 y 039 de test, pero se eligió solo con validación y pruebas de estrés. Su configuración se congeló por escrito antes de correrla, se evaluó una sola vez sin ajustar nada después, y se reportan también las semillas 43 y 44 y el ensamble, sin elegir entre ellos (docs/decisiones_semana10.md, secciones 12.3 a 12.5).</w:t>
      </w:r>
    </w:p>
    <w:p>
      <w:pPr>
        <w:pStyle w:val="Heading1"/>
      </w:pPr>
      <w:r>
        <w:t xml:space="preserve">Reproducibilidad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8"/>
                <w:szCs w:val="18"/>
              </w:rPr>
              <w:t xml:space="preserve">Elemento</w:t>
            </w:r>
          </w:p>
        </w:tc>
        <w:tc>
          <w:tcPr>
            <w:tcW w:type="dxa" w:w="69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Dónde</w:t>
            </w:r>
          </w:p>
        </w:tc>
      </w:tr>
      <w:tr>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Ramas por semana</w:t>
            </w:r>
          </w:p>
        </w:tc>
        <w:tc>
          <w:tcPr>
            <w:tcW w:type="dxa" w:w="69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continuacion_semana08 → unificado_semana09 → semana10-multiples-pruebas-working → semana11-visualizadores (cada una contiene a la anterior)</w:t>
            </w:r>
          </w:p>
        </w:tc>
      </w:tr>
      <w:tr>
        <w:tc>
          <w:tcPr>
            <w:tcW w:type="dxa" w:w="24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bCs/>
                <w:color w:val="1B1B1B"/>
                <w:sz w:val="18"/>
                <w:szCs w:val="18"/>
              </w:rPr>
              <w:t xml:space="preserve">Notebooks</w:t>
            </w:r>
          </w:p>
        </w:tc>
        <w:tc>
          <w:tcPr>
            <w:tcW w:type="dxa" w:w="69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01 y 02 (semana 8), 03 (semana 9), 04 (semana 10), 05 (casos difíciles, con D5)</w:t>
            </w:r>
          </w:p>
        </w:tc>
      </w:tr>
      <w:tr>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Pesos</w:t>
            </w:r>
          </w:p>
        </w:tc>
        <w:tc>
          <w:tcPr>
            <w:tcW w:type="dxa" w:w="69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h6_auggeo_rot35_canon_ema_w32_e60_s42.pth (entregado); s43 y s44 para medir la variabilidad</w:t>
            </w:r>
          </w:p>
        </w:tc>
      </w:tr>
      <w:tr>
        <w:tc>
          <w:tcPr>
            <w:tcW w:type="dxa" w:w="24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bCs/>
                <w:color w:val="1B1B1B"/>
                <w:sz w:val="18"/>
                <w:szCs w:val="18"/>
              </w:rPr>
              <w:t xml:space="preserve">Comandos</w:t>
            </w:r>
          </w:p>
        </w:tc>
        <w:tc>
          <w:tcPr>
            <w:tcW w:type="dxa" w:w="69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README.md (caché, entrenamiento, evaluación, SAM, latencia y demo)</w:t>
            </w:r>
          </w:p>
        </w:tc>
      </w:tr>
      <w:tr>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Modelo</w:t>
            </w:r>
          </w:p>
        </w:tc>
        <w:tc>
          <w:tcPr>
            <w:tcW w:type="dxa" w:w="69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MODEL_CARD.md</w:t>
            </w:r>
          </w:p>
        </w:tc>
      </w:tr>
      <w:tr>
        <w:tc>
          <w:tcPr>
            <w:tcW w:type="dxa" w:w="24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bCs/>
                <w:color w:val="1B1B1B"/>
                <w:sz w:val="18"/>
                <w:szCs w:val="18"/>
              </w:rPr>
              <w:t xml:space="preserve">Resultados</w:t>
            </w:r>
          </w:p>
        </w:tc>
        <w:tc>
          <w:tcPr>
            <w:tcW w:type="dxa" w:w="69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center"/>
            </w:pPr>
            <w:r>
              <w:rPr>
                <w:b w:val="false"/>
                <w:bCs w:val="false"/>
                <w:color w:val="1B1B1B"/>
                <w:sz w:val="18"/>
                <w:szCs w:val="18"/>
              </w:rPr>
              <w:t xml:space="preserve">outputs/s10/*_val.json y TEST2_*.json</w:t>
            </w:r>
          </w:p>
        </w:tc>
      </w:tr>
      <w:tr>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Uso de IA</w:t>
            </w:r>
          </w:p>
        </w:tc>
        <w:tc>
          <w:tcPr>
            <w:tcW w:type="dxa" w:w="69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center"/>
            </w:pPr>
            <w:r>
              <w:rPr>
                <w:b w:val="false"/>
                <w:bCs w:val="false"/>
                <w:color w:val="1B1B1B"/>
                <w:sz w:val="18"/>
                <w:szCs w:val="18"/>
              </w:rPr>
              <w:t xml:space="preserve">IA_USAGE.md</w:t>
            </w:r>
          </w:p>
        </w:tc>
      </w:tr>
    </w:tbl>
    <w:p>
      <w:r>
        <w:br w:type="page"/>
      </w:r>
    </w:p>
    <w:p>
      <w:pPr>
        <w:pStyle w:val="Heading1"/>
      </w:pPr>
      <w:r>
        <w:t xml:space="preserve">Anexo. Trabajo por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760"/>
        <w:gridCol w:w="3300"/>
      </w:tblGrid>
      <w:tr>
        <w:trPr>
          <w:tblHeader/>
        </w:trPr>
        <w:tc>
          <w:tcPr>
            <w:tcW w:type="dxa" w:w="13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8"/>
                <w:szCs w:val="18"/>
              </w:rPr>
              <w:t xml:space="preserve">Semana</w:t>
            </w:r>
          </w:p>
        </w:tc>
        <w:tc>
          <w:tcPr>
            <w:tcW w:type="dxa" w:w="47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Qué se hizo</w:t>
            </w:r>
          </w:p>
        </w:tc>
        <w:tc>
          <w:tcPr>
            <w:tcW w:type="dxa" w:w="33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center"/>
            </w:pPr>
            <w:r>
              <w:rPr>
                <w:b/>
                <w:bCs/>
                <w:color w:val="FFFFFF"/>
                <w:sz w:val="18"/>
                <w:szCs w:val="18"/>
              </w:rPr>
              <w:t xml:space="preserve">Resultado clave</w:t>
            </w:r>
          </w:p>
        </w:tc>
      </w:tr>
      <w:tr>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8 · Datos</w:t>
            </w:r>
          </w:p>
        </w:tc>
        <w:tc>
          <w:tcPr>
            <w:tcW w:type="dxa" w:w="47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Curaduría de los 100 volúmenes (.mha con SimpleITK) y manifiesto; partición por paciente estratificada (70/15/15, semilla 42); preprocesamiento unificado (recorte de HU y ventana ósea); EDA de intensidades; Visualizador 1 (reconstrucción 3D del volumen crudo).</w:t>
            </w:r>
          </w:p>
        </w:tc>
        <w:tc>
          <w:tcPr>
            <w:tcW w:type="dxa" w:w="3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Mediana de HU del hueso entre 81 y 431 (CV 26.5 %): variación biológica, no de escáner. Metal en 41 casos, fuera de la pelvis. Máscara del visualizador: recall de 0.57 a 0.92. </w:t>
            </w:r>
            <w:r>
              <w:rPr>
                <w:i/>
                <w:iCs/>
                <w:highlight w:val="yellow"/>
                <w:highlightCs w:val="yellow"/>
              </w:rPr>
              <w:t xml:space="preserve">(confirmar el conteo de metal: el notebook 02 cuenta 25 casos)</w:t>
            </w:r>
          </w:p>
        </w:tc>
      </w:tr>
      <w:tr>
        <w:tc>
          <w:tcPr>
            <w:tcW w:type="dxa" w:w="13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bCs/>
                <w:color w:val="1B1B1B"/>
                <w:sz w:val="18"/>
                <w:szCs w:val="18"/>
              </w:rPr>
              <w:t xml:space="preserve">9 · Detector</w:t>
            </w:r>
          </w:p>
        </w:tc>
        <w:tc>
          <w:tcPr>
            <w:tcW w:type="dxa" w:w="47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val="false"/>
                <w:bCs w:val="false"/>
                <w:color w:val="1B1B1B"/>
                <w:sz w:val="18"/>
                <w:szCs w:val="18"/>
              </w:rPr>
              <w:t xml:space="preserve">Backbone propio con CBAM, cabeza de detección por grid y NMS propios; overfit intencional; primer entrenamiento con varios pacientes; pedidos de la asesoría: γ aprendible por etapa, Grad-CAM, fragmentos desplazados y justificación del preprocesamiento.</w:t>
            </w:r>
          </w:p>
        </w:tc>
        <w:tc>
          <w:tcPr>
            <w:tcW w:type="dxa" w:w="33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val="false"/>
                <w:bCs w:val="false"/>
                <w:color w:val="1B1B1B"/>
                <w:sz w:val="18"/>
                <w:szCs w:val="18"/>
              </w:rPr>
              <w:t xml:space="preserve">Overfit: pérdida de 1.687 a 0.002 (758×). F1 de 0.31 a 0.57 (32 canales y umbral 0.40). Gamma 1.5 elegido por contraste-ruido (8.1), Otsu (0.486) y detector (F1 0.558 vs 0.515, 3 semillas).</w:t>
            </w:r>
          </w:p>
        </w:tc>
      </w:tr>
      <w:tr>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bCs/>
                <w:color w:val="1B1B1B"/>
                <w:sz w:val="18"/>
                <w:szCs w:val="18"/>
              </w:rPr>
              <w:t xml:space="preserve">10 · Multitarea</w:t>
            </w:r>
          </w:p>
        </w:tc>
        <w:tc>
          <w:tcPr>
            <w:tcW w:type="dxa" w:w="47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Modelo con tres cabezas y salida de instancia primario/secundario; evaluación sobre el volumen completo; barrido de ancho, EMA, pérdidas y post-procesos (más de 25 experimentos); ablaciones de CBAM, transfer learning y λ.</w:t>
            </w:r>
          </w:p>
        </w:tc>
        <w:tc>
          <w:tcPr>
            <w:tcW w:type="dxa" w:w="3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1B1B1B"/>
                <w:sz w:val="18"/>
                <w:szCs w:val="18"/>
              </w:rPr>
              <w:t xml:space="preserve">Dice por fragmento de 0.787 (31 IDs) a 0.859 en validación. Test: 0.848, con 8 de 9 métricas cumplidas. Diagnóstico: secundarios en contacto y dos casos atípicos (012 y 039).</w:t>
            </w:r>
          </w:p>
        </w:tc>
      </w:tr>
      <w:tr>
        <w:tc>
          <w:tcPr>
            <w:tcW w:type="dxa" w:w="13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bCs/>
                <w:color w:val="1B1B1B"/>
                <w:sz w:val="18"/>
                <w:szCs w:val="18"/>
              </w:rPr>
              <w:t xml:space="preserve">11 · Modelo final y demo</w:t>
            </w:r>
          </w:p>
        </w:tc>
        <w:tc>
          <w:tcPr>
            <w:tcW w:type="dxa" w:w="47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val="false"/>
                <w:bCs w:val="false"/>
                <w:color w:val="1B1B1B"/>
                <w:sz w:val="18"/>
                <w:szCs w:val="18"/>
              </w:rPr>
              <w:t xml:space="preserve">Orientación canónica desde la cabecera y aumento geométrico (modelo H6, 3 semillas); visualizadores 2 y 3 y dashboard; despliegue en curso.</w:t>
            </w:r>
          </w:p>
        </w:tc>
        <w:tc>
          <w:tcPr>
            <w:tcW w:type="dxa" w:w="33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jc w:val="left"/>
            </w:pPr>
            <w:r>
              <w:rPr>
                <w:b w:val="false"/>
                <w:bCs w:val="false"/>
                <w:color w:val="1B1B1B"/>
                <w:sz w:val="18"/>
                <w:szCs w:val="18"/>
              </w:rPr>
              <w:t xml:space="preserve">Validación 0.870 y test 0.875 ± 0.001: 9 de 9 métricas cumplidas. Pendiente: demo con H6, túnel de Cloudflare y latencia.</w:t>
            </w:r>
          </w:p>
        </w:tc>
      </w:tr>
    </w:tbl>
    <w:p>
      <w:pPr>
        <w:spacing w:after="60" w:before="120"/>
        <w:jc w:val="center"/>
      </w:pPr>
      <w:r>
        <w:drawing>
          <wp:inline distT="0" distB="0" distL="0" distR="0">
            <wp:extent cx="4476750" cy="4514850"/>
            <wp:effectExtent t="0" r="0" b="0" l="0"/>
            <wp:docPr id="1" name="nb_100casos.png" descr="nb_100casos.png" title="nb_100cas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4514850"/>
                    </a:xfrm>
                    <a:prstGeom prst="rect">
                      <a:avLst/>
                    </a:prstGeom>
                  </pic:spPr>
                </pic:pic>
              </a:graphicData>
            </a:graphic>
          </wp:inline>
        </w:drawing>
      </w:r>
    </w:p>
    <w:p>
      <w:pPr>
        <w:spacing w:after="200"/>
        <w:jc w:val="center"/>
      </w:pPr>
      <w:r>
        <w:rPr>
          <w:i/>
          <w:iCs/>
          <w:color w:val="5C677D"/>
          <w:sz w:val="18"/>
          <w:szCs w:val="18"/>
        </w:rPr>
        <w:t xml:space="preserve">Figura A1. Revisión visual de los 100 casos tras el preprocesamiento (contorno rojo: hueso; b: brillo medio del hueso).</w:t>
      </w:r>
    </w:p>
    <w:p>
      <w:pPr>
        <w:spacing w:after="60" w:before="120"/>
        <w:jc w:val="center"/>
      </w:pPr>
      <w:r>
        <w:drawing>
          <wp:inline distT="0" distB="0" distL="0" distR="0">
            <wp:extent cx="4476750" cy="2095500"/>
            <wp:effectExtent t="0" r="0" b="0" l="0"/>
            <wp:docPr id="1" name="nb_ventaneo_gamma.png" descr="nb_ventaneo_gamma.png" title="nb_ventaneo_gam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2095500"/>
                    </a:xfrm>
                    <a:prstGeom prst="rect">
                      <a:avLst/>
                    </a:prstGeom>
                  </pic:spPr>
                </pic:pic>
              </a:graphicData>
            </a:graphic>
          </wp:inline>
        </w:drawing>
      </w:r>
    </w:p>
    <w:p>
      <w:pPr>
        <w:spacing w:after="200"/>
        <w:jc w:val="center"/>
      </w:pPr>
      <w:r>
        <w:rPr>
          <w:i/>
          <w:iCs/>
          <w:color w:val="5C677D"/>
          <w:sz w:val="18"/>
          <w:szCs w:val="18"/>
        </w:rPr>
        <w:t xml:space="preserve">Figura A2. F1 del detector con ventaneo y con gamma 1.5 (puntos: 3 semillas; raya: media).</w:t>
      </w:r>
    </w:p>
    <w:p>
      <w:pPr>
        <w:spacing w:after="60" w:before="120"/>
        <w:jc w:val="center"/>
      </w:pPr>
      <w:r>
        <w:drawing>
          <wp:inline distT="0" distB="0" distL="0" distR="0">
            <wp:extent cx="5715000" cy="3400425"/>
            <wp:effectExtent t="0" r="0" b="0" l="0"/>
            <wp:docPr id="1" name="nb_detector15.png" descr="nb_detector15.png" title="nb_detector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400425"/>
                    </a:xfrm>
                    <a:prstGeom prst="rect">
                      <a:avLst/>
                    </a:prstGeom>
                  </pic:spPr>
                </pic:pic>
              </a:graphicData>
            </a:graphic>
          </wp:inline>
        </w:drawing>
      </w:r>
    </w:p>
    <w:p>
      <w:pPr>
        <w:spacing w:after="200"/>
        <w:jc w:val="center"/>
      </w:pPr>
      <w:r>
        <w:rPr>
          <w:i/>
          <w:iCs/>
          <w:color w:val="5C677D"/>
          <w:sz w:val="18"/>
          <w:szCs w:val="18"/>
        </w:rPr>
        <w:t xml:space="preserve">Figura A3. Detector de la semana 9 (con CBAM) en 15 casos de validación: cajas reales (continuas) y predichas (discontinuas).</w:t>
      </w:r>
    </w:p>
    <w:p>
      <w:pPr>
        <w:spacing w:after="60" w:before="120"/>
        <w:jc w:val="center"/>
      </w:pPr>
      <w:r>
        <w:drawing>
          <wp:inline distT="0" distB="0" distL="0" distR="0">
            <wp:extent cx="5334000" cy="4124325"/>
            <wp:effectExtent t="0" r="0" b="0" l="0"/>
            <wp:docPr id="1" name="nb_gradcam014.png" descr="nb_gradcam014.png" title="nb_gradcam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4124325"/>
                    </a:xfrm>
                    <a:prstGeom prst="rect">
                      <a:avLst/>
                    </a:prstGeom>
                  </pic:spPr>
                </pic:pic>
              </a:graphicData>
            </a:graphic>
          </wp:inline>
        </w:drawing>
      </w:r>
    </w:p>
    <w:p>
      <w:pPr>
        <w:spacing w:after="200"/>
        <w:jc w:val="center"/>
      </w:pPr>
      <w:r>
        <w:rPr>
          <w:i/>
          <w:iCs/>
          <w:color w:val="5C677D"/>
          <w:sz w:val="18"/>
          <w:szCs w:val="18"/>
        </w:rPr>
        <w:t xml:space="preserve">Figura A4. Smooth HiResCAM en el caso 014 con CBAM, sin CBAM y con CBAM en 3 etapas: dónde mira el modelo para cada región.</w:t>
      </w:r>
    </w:p>
    <w:p>
      <w:pPr>
        <w:pStyle w:val="Heading1"/>
      </w:pPr>
      <w:r>
        <w:t xml:space="preserve">Referencias</w:t>
      </w:r>
    </w:p>
    <w:p>
      <w:pPr>
        <w:pStyle w:val="ListParagraph"/>
        <w:numPr>
          <w:ilvl w:val="0"/>
          <w:numId w:val="2"/>
        </w:numPr>
        <w:spacing w:after="60" w:line="276"/>
      </w:pPr>
      <w:r>
        <w:t xml:space="preserve">Sang, Y. et al. Benchmark of Segmentation Techniques for Pelvic Fracture in CT and X-Ray: Summary of the PENGWIN 2024 Challenge. IEEE TMI, 2026. arXiv:2504.02382.</w:t>
      </w:r>
    </w:p>
    <w:p>
      <w:pPr>
        <w:pStyle w:val="ListParagraph"/>
        <w:numPr>
          <w:ilvl w:val="0"/>
          <w:numId w:val="2"/>
        </w:numPr>
        <w:spacing w:after="60" w:line="276"/>
      </w:pPr>
      <w:r>
        <w:t xml:space="preserve">PENGWIN Task 1: Pelvic Fracture Segmentation on CT. Zenodo, doi:10.5281/zenodo.10927452.</w:t>
      </w:r>
    </w:p>
    <w:p>
      <w:pPr>
        <w:pStyle w:val="ListParagraph"/>
        <w:numPr>
          <w:ilvl w:val="0"/>
          <w:numId w:val="2"/>
        </w:numPr>
        <w:spacing w:after="60" w:line="276"/>
      </w:pPr>
      <w:r>
        <w:t xml:space="preserve">Woo, S. et al. CBAM: Convolutional Block Attention Module. ECCV, 2018.</w:t>
      </w:r>
    </w:p>
    <w:p>
      <w:pPr>
        <w:pStyle w:val="ListParagraph"/>
        <w:numPr>
          <w:ilvl w:val="0"/>
          <w:numId w:val="2"/>
        </w:numPr>
        <w:spacing w:after="60" w:line="276"/>
      </w:pPr>
      <w:r>
        <w:t xml:space="preserve">Redmon, J. et al. You Only Look Once: Unified, Real-Time Object Detection. CVPR, 2016 (consultado solo como principio del grid; implementación propia).</w:t>
      </w:r>
    </w:p>
    <w:p>
      <w:pPr>
        <w:pStyle w:val="ListParagraph"/>
        <w:numPr>
          <w:ilvl w:val="0"/>
          <w:numId w:val="2"/>
        </w:numPr>
        <w:spacing w:after="60" w:line="276"/>
      </w:pPr>
      <w:r>
        <w:t xml:space="preserve">Kirillov, A. et al. Segment Anything. ICCV, 2023.</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C677D"/>
        <w:sz w:val="16"/>
        <w:szCs w:val="16"/>
      </w:rPr>
      <w:t xml:space="preserve">PENGWIN · Proyecto Integrador Corte 2 · </w:t>
    </w:r>
    <w:r>
      <w:rPr>
        <w:color w:val="5C67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A9D8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8ebbc2e7503a56fa1b47b3f56b8bb00427cc570.png"/><Relationship Id="rId9" Type="http://schemas.openxmlformats.org/officeDocument/2006/relationships/image" Target="media/5f8a85ccc7e022f53c068178cef370d024e65d54.png"/><Relationship Id="rId10" Type="http://schemas.openxmlformats.org/officeDocument/2006/relationships/image" Target="media/eeebe5b3e6d1a6fb0cf5fcde343a0c56d3248c2d.png"/><Relationship Id="rId11" Type="http://schemas.openxmlformats.org/officeDocument/2006/relationships/image" Target="media/7e1d73749e3f94a44cea544fa3952c7a0ec64aa4.png"/><Relationship Id="rId12" Type="http://schemas.openxmlformats.org/officeDocument/2006/relationships/image" Target="media/d3e78108fed3610190e8ac3c11906bb0df1f061a.png"/><Relationship Id="rId13" Type="http://schemas.openxmlformats.org/officeDocument/2006/relationships/image" Target="media/16a78053d5f1c3baf471766ffcd04b2fa06d3f66.png"/><Relationship Id="rId14" Type="http://schemas.openxmlformats.org/officeDocument/2006/relationships/image" Target="media/768e9c49c4838c3dcdde5fc56131cfe7a01eb6d2.png"/><Relationship Id="rId15" Type="http://schemas.openxmlformats.org/officeDocument/2006/relationships/image" Target="media/99b9a55200241cd501ce7ad52b00ca5658eca7ea.png"/><Relationship Id="rId16" Type="http://schemas.openxmlformats.org/officeDocument/2006/relationships/image" Target="media/6fbe0ab526af1b057391dd670cea2af7aa0fe614.png"/><Relationship Id="rId17" Type="http://schemas.openxmlformats.org/officeDocument/2006/relationships/image" Target="media/1fba08b81a53a08a9abf7816a2492e2d47d3a4fc.png"/><Relationship Id="rId18" Type="http://schemas.openxmlformats.org/officeDocument/2006/relationships/image" Target="media/c208f21c2d010d4569270b0ebd9fec033397b66f.png"/><Relationship Id="rId19" Type="http://schemas.openxmlformats.org/officeDocument/2006/relationships/image" Target="media/b79fe26b22f8630b27d86461b27f6b8b8de72ced.png"/><Relationship Id="rId20" Type="http://schemas.openxmlformats.org/officeDocument/2006/relationships/image" Target="media/d8e2318089704abc6b447a360b4664bbed71efe1.png"/><Relationship Id="rId21" Type="http://schemas.openxmlformats.org/officeDocument/2006/relationships/image" Target="media/33efc1cbb829ef34bef565366076c3130063750b.png"/><Relationship Id="rId22" Type="http://schemas.openxmlformats.org/officeDocument/2006/relationships/image" Target="media/476fdb1980f352d9c9530c2d25289389c32ea0b6.png"/><Relationship Id="rId23" Type="http://schemas.openxmlformats.org/officeDocument/2006/relationships/image" Target="media/6071eae5115bf441e7e8e6dd89ce1d8c4ecdd981.png"/><Relationship Id="rId24" Type="http://schemas.openxmlformats.org/officeDocument/2006/relationships/image" Target="media/05f6ab71186234df3d580c5a774742387f0f10aa.png"/><Relationship Id="rId25" Type="http://schemas.openxmlformats.org/officeDocument/2006/relationships/image" Target="media/8bff5ea7d9570262c771bd1438ab85134e8c0587.png"/><Relationship Id="rId26" Type="http://schemas.openxmlformats.org/officeDocument/2006/relationships/image" Target="media/a41e68022519c64bbdebe31fdb125eb9d7980240.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PENGWIN</dc:title>
  <dc:creator>Equipo PENGWIN</dc:creator>
  <cp:lastModifiedBy>Un-named</cp:lastModifiedBy>
  <cp:revision>1</cp:revision>
  <dcterms:created xsi:type="dcterms:W3CDTF">2026-10-06T21:58:35.722Z</dcterms:created>
  <dcterms:modified xsi:type="dcterms:W3CDTF">2026-10-06T21:58:35.722Z</dcterms:modified>
</cp:coreProperties>
</file>

<file path=docProps/custom.xml><?xml version="1.0" encoding="utf-8"?>
<Properties xmlns="http://schemas.openxmlformats.org/officeDocument/2006/custom-properties" xmlns:vt="http://schemas.openxmlformats.org/officeDocument/2006/docPropsVTypes"/>
</file>