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240" w:after="360"/>
        <w:jc w:val="left"/>
      </w:pPr>
      <w:r>
        <w:rPr>
          <w:rFonts w:ascii="Arial Unicode MS" w:hAnsi="Arial Unicode MS" w:eastAsia="Arial Unicode MS"/>
          <w:b/>
          <w:i w:val="0"/>
          <w:color w:val="000000"/>
          <w:sz w:val="54"/>
        </w:rPr>
        <w:t>岐研 中医临床研究智能平台</w:t>
      </w:r>
    </w:p>
    <w:p>
      <w:pPr>
        <w:keepNext w:val="0"/>
        <w:widowControl/>
        <w:spacing w:before="0" w:after="180" w:line="317" w:lineRule="auto"/>
      </w:pPr>
      <w:r>
        <w:rPr>
          <w:rFonts w:ascii="Arial Unicode MS" w:hAnsi="Arial Unicode MS" w:eastAsia="Arial Unicode MS"/>
        </w:rPr>
        <w:t>Product Baseline Version 1.0.1</w:t>
      </w:r>
    </w:p>
    <w:p>
      <w:pPr>
        <w:keepNext w:val="0"/>
        <w:widowControl/>
        <w:spacing w:before="0" w:after="680" w:line="317" w:lineRule="auto"/>
      </w:pPr>
      <w:r>
        <w:rPr>
          <w:rFonts w:ascii="Arial Unicode MS" w:hAnsi="Arial Unicode MS" w:eastAsia="Arial Unicode MS"/>
          <w:b w:val="0"/>
          <w:i w:val="0"/>
          <w:color w:val="666666"/>
          <w:sz w:val="26"/>
        </w:rPr>
        <w:t>产品定义与概念基线</w:t>
      </w:r>
    </w:p>
    <w:p>
      <w:pPr>
        <w:keepNext w:val="0"/>
        <w:widowControl/>
        <w:spacing w:before="0" w:after="1300" w:line="317" w:lineRule="auto"/>
      </w:pPr>
      <w:r>
        <w:rPr>
          <w:rFonts w:ascii="Arial Unicode MS" w:hAnsi="Arial Unicode MS" w:eastAsia="Arial Unicode MS"/>
          <w:b w:val="0"/>
          <w:i w:val="0"/>
          <w:color w:val="000000"/>
          <w:sz w:val="22"/>
        </w:rPr>
        <w:t>用于产品决策 UX 原型 UI Figma 与 Codex 的统一输入</w:t>
      </w:r>
    </w:p>
    <w:p>
      <w:pPr>
        <w:keepNext w:val="0"/>
        <w:widowControl/>
        <w:spacing w:before="0" w:after="80" w:line="317" w:lineRule="auto"/>
      </w:pPr>
      <w:r>
        <w:rPr>
          <w:rFonts w:ascii="Arial Unicode MS" w:hAnsi="Arial Unicode MS" w:eastAsia="Arial Unicode MS"/>
        </w:rPr>
        <w:t>版本 1.0.1</w:t>
      </w:r>
    </w:p>
    <w:p>
      <w:pPr>
        <w:keepNext w:val="0"/>
        <w:widowControl/>
        <w:spacing w:before="0" w:after="80" w:line="317" w:lineRule="auto"/>
      </w:pPr>
      <w:r>
        <w:rPr>
          <w:rFonts w:ascii="Arial Unicode MS" w:hAnsi="Arial Unicode MS" w:eastAsia="Arial Unicode MS"/>
          <w:b w:val="0"/>
          <w:i w:val="0"/>
          <w:color w:val="666666"/>
          <w:sz w:val="20"/>
        </w:rPr>
        <w:t>基线日期 2026 年 9 月 18 日</w:t>
      </w:r>
    </w:p>
    <w:p>
      <w:pPr>
        <w:keepNext w:val="0"/>
        <w:widowControl/>
        <w:spacing w:before="0" w:after="80" w:line="317" w:lineRule="auto"/>
      </w:pPr>
      <w:r>
        <w:rPr>
          <w:rFonts w:ascii="Arial Unicode MS" w:hAnsi="Arial Unicode MS" w:eastAsia="Arial Unicode MS"/>
        </w:rPr>
        <w:t>输入范围 Product Baseline v1.0、已批准 A1 Screen Map、A2 Prototype 与 A3 Professor Validation Design</w:t>
      </w:r>
    </w:p>
    <w:p>
      <w:r>
        <w:rPr>
          <w:rFonts w:ascii="Arial Unicode MS" w:hAnsi="Arial Unicode MS" w:eastAsia="Arial Unicode MS"/>
        </w:rPr>
        <w:br w:type="page"/>
      </w:r>
    </w:p>
    <w:p>
      <w:pPr>
        <w:pStyle w:val="Heading1"/>
        <w:keepNext/>
        <w:pageBreakBefore/>
        <w:spacing w:line="276" w:lineRule="auto" w:before="160" w:after="160"/>
      </w:pPr>
      <w:r>
        <w:rPr>
          <w:rFonts w:ascii="Arial Unicode MS" w:hAnsi="Arial Unicode MS" w:eastAsia="Arial Unicode MS"/>
          <w:b/>
          <w:i w:val="0"/>
          <w:color w:val="000000"/>
          <w:sz w:val="33"/>
        </w:rPr>
        <w:t>文档控制</w:t>
      </w:r>
    </w:p>
    <w:p>
      <w:pPr>
        <w:keepNext w:val="0"/>
        <w:widowControl/>
        <w:spacing w:before="0" w:after="140" w:line="317" w:lineRule="auto"/>
      </w:pPr>
      <w:r>
        <w:rPr>
          <w:rFonts w:ascii="Arial Unicode MS" w:hAnsi="Arial Unicode MS" w:eastAsia="Arial Unicode MS"/>
        </w:rPr>
        <w:t>本文件是 Product Baseline v1.0 的受控澄清修订，服务于王教授原型与 Demo 验证准备。它不重新开启 Product Discovery，不改变既定产品方向、Production MVP 范围或现有 Study Execution 逻辑；新增内容只补齐领域对象、验证边界、证据规则与追踪项。</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tblHeader w:val="true"/>
        </w:trPr>
        <w:tc>
          <w:tcPr>
            <w:tcW w:type="dxa" w:w="1944"/>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项目</w:t>
            </w:r>
          </w:p>
        </w:tc>
        <w:tc>
          <w:tcPr>
            <w:tcW w:type="dxa" w:w="7992"/>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内容</w:t>
            </w:r>
          </w:p>
        </w:tc>
      </w:tr>
      <w:tr>
        <w:trPr>
          <w:cantSplit/>
        </w:trPr>
        <w:tc>
          <w:tcPr>
            <w:tcW w:type="dxa" w:w="1944"/>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文档性质</w:t>
            </w:r>
          </w:p>
        </w:tc>
        <w:tc>
          <w:tcPr>
            <w:tcW w:type="dxa" w:w="7992"/>
            <w:tcMar>
              <w:top w:w="105" w:type="dxa"/>
              <w:start w:w="115" w:type="dxa"/>
              <w:bottom w:w="105" w:type="dxa"/>
              <w:end w:w="115" w:type="dxa"/>
            </w:tcMar>
            <w:vAlign w:val="center"/>
          </w:tcPr>
          <w:p>
            <w:pPr>
              <w:spacing w:after="0" w:before="0"/>
            </w:pPr>
            <w:r>
              <w:rPr>
                <w:rFonts w:ascii="Arial Unicode MS" w:hAnsi="Arial Unicode MS" w:eastAsia="Arial Unicode MS"/>
              </w:rPr>
            </w:r>
            <w:r>
              <w:rPr>
                <w:rFonts w:ascii="Arial Unicode MS" w:hAnsi="Arial Unicode MS" w:eastAsia="Arial Unicode MS"/>
                <w:b w:val="0"/>
                <w:color w:val="202124"/>
                <w:sz w:val="18"/>
              </w:rPr>
              <w:t>正式产品定义与概念基线｜受控修订</w:t>
            </w:r>
          </w:p>
        </w:tc>
      </w:tr>
      <w:tr>
        <w:trPr>
          <w:cantSplit/>
        </w:trPr>
        <w:tc>
          <w:tcPr>
            <w:tcW w:type="dxa" w:w="1944"/>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主要读者</w:t>
            </w:r>
          </w:p>
        </w:tc>
        <w:tc>
          <w:tcPr>
            <w:tcW w:type="dxa" w:w="7992"/>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产品负责人、UX/UI 设计师、原型团队、Figma 设计人员、Codex 开发人员、教授评审参与者</w:t>
            </w:r>
          </w:p>
        </w:tc>
      </w:tr>
      <w:tr>
        <w:trPr>
          <w:cantSplit/>
        </w:trPr>
        <w:tc>
          <w:tcPr>
            <w:tcW w:type="dxa" w:w="1944"/>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主要用途</w:t>
            </w:r>
          </w:p>
        </w:tc>
        <w:tc>
          <w:tcPr>
            <w:tcW w:type="dxa" w:w="7992"/>
            <w:tcMar>
              <w:top w:w="105" w:type="dxa"/>
              <w:start w:w="115" w:type="dxa"/>
              <w:bottom w:w="105" w:type="dxa"/>
              <w:end w:w="115" w:type="dxa"/>
            </w:tcMar>
            <w:vAlign w:val="center"/>
          </w:tcPr>
          <w:p>
            <w:pPr>
              <w:spacing w:after="0" w:before="0"/>
            </w:pPr>
            <w:r>
              <w:rPr>
                <w:rFonts w:ascii="Arial Unicode MS" w:hAnsi="Arial Unicode MS" w:eastAsia="Arial Unicode MS"/>
              </w:rPr>
            </w:r>
            <w:r>
              <w:rPr>
                <w:rFonts w:ascii="Arial Unicode MS" w:hAnsi="Arial Unicode MS" w:eastAsia="Arial Unicode MS"/>
                <w:b w:val="0"/>
                <w:color w:val="202124"/>
                <w:sz w:val="18"/>
              </w:rPr>
              <w:t>统一产品模型、核心对象、MVP 边界、Demo Fidelity、教授验证任务与决策状态</w:t>
            </w:r>
          </w:p>
        </w:tc>
      </w:tr>
      <w:tr>
        <w:trPr>
          <w:cantSplit/>
        </w:trPr>
        <w:tc>
          <w:tcPr>
            <w:tcW w:type="dxa" w:w="1944"/>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变更原则</w:t>
            </w:r>
          </w:p>
        </w:tc>
        <w:tc>
          <w:tcPr>
            <w:tcW w:type="dxa" w:w="7992"/>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事实需有来源；决策需记录变更；假设需通过原型或真实用户验证后才能升级</w:t>
            </w:r>
          </w:p>
        </w:tc>
      </w:tr>
      <w:tr>
        <w:trPr>
          <w:cantSplit/>
        </w:trPr>
        <w:tc>
          <w:tcPr>
            <w:tcW w:type="dxa" w:w="4939"/>
            <w:vAlign w:val="center"/>
          </w:tcPr>
          <w:p>
            <w:pPr>
              <w:spacing w:after="0" w:before="0"/>
            </w:pPr>
            <w:r>
              <w:rPr>
                <w:rFonts w:ascii="Arial Unicode MS" w:hAnsi="Arial Unicode MS" w:eastAsia="Arial Unicode MS"/>
              </w:rPr>
            </w:r>
            <w:r>
              <w:rPr>
                <w:rFonts w:ascii="Arial Unicode MS" w:hAnsi="Arial Unicode MS" w:eastAsia="Arial Unicode MS"/>
                <w:b w:val="0"/>
                <w:color w:val="202124"/>
                <w:sz w:val="17"/>
              </w:rPr>
              <w:t>版本</w:t>
            </w:r>
          </w:p>
        </w:tc>
        <w:tc>
          <w:tcPr>
            <w:tcW w:type="dxa" w:w="4939"/>
            <w:vAlign w:val="center"/>
          </w:tcPr>
          <w:p>
            <w:pPr>
              <w:spacing w:after="0" w:before="0"/>
            </w:pPr>
            <w:r>
              <w:rPr>
                <w:rFonts w:ascii="Arial Unicode MS" w:hAnsi="Arial Unicode MS" w:eastAsia="Arial Unicode MS"/>
              </w:rPr>
            </w:r>
            <w:r>
              <w:rPr>
                <w:rFonts w:ascii="Arial Unicode MS" w:hAnsi="Arial Unicode MS" w:eastAsia="Arial Unicode MS"/>
                <w:b w:val="0"/>
                <w:color w:val="202124"/>
                <w:sz w:val="17"/>
              </w:rPr>
              <w:t>1.0.1</w:t>
            </w:r>
          </w:p>
        </w:tc>
      </w:tr>
      <w:tr>
        <w:trPr>
          <w:cantSplit/>
        </w:trPr>
        <w:tc>
          <w:tcPr>
            <w:tcW w:type="dxa" w:w="4939"/>
            <w:vAlign w:val="center"/>
          </w:tcPr>
          <w:p>
            <w:pPr>
              <w:spacing w:after="0" w:before="0"/>
            </w:pPr>
            <w:r>
              <w:rPr>
                <w:rFonts w:ascii="Arial Unicode MS" w:hAnsi="Arial Unicode MS" w:eastAsia="Arial Unicode MS"/>
              </w:rPr>
            </w:r>
            <w:r>
              <w:rPr>
                <w:rFonts w:ascii="Arial Unicode MS" w:hAnsi="Arial Unicode MS" w:eastAsia="Arial Unicode MS"/>
                <w:b w:val="0"/>
                <w:color w:val="202124"/>
                <w:sz w:val="17"/>
              </w:rPr>
              <w:t>Change Type</w:t>
            </w:r>
          </w:p>
        </w:tc>
        <w:tc>
          <w:tcPr>
            <w:tcW w:type="dxa" w:w="4939"/>
            <w:vAlign w:val="center"/>
          </w:tcPr>
          <w:p>
            <w:pPr>
              <w:spacing w:after="0" w:before="0"/>
            </w:pPr>
            <w:r>
              <w:rPr>
                <w:rFonts w:ascii="Arial Unicode MS" w:hAnsi="Arial Unicode MS" w:eastAsia="Arial Unicode MS"/>
              </w:rPr>
            </w:r>
            <w:r>
              <w:rPr>
                <w:rFonts w:ascii="Arial Unicode MS" w:hAnsi="Arial Unicode MS" w:eastAsia="Arial Unicode MS"/>
                <w:b w:val="0"/>
                <w:color w:val="202124"/>
                <w:sz w:val="17"/>
              </w:rPr>
              <w:t>Controlled Baseline Clarification</w:t>
            </w:r>
          </w:p>
        </w:tc>
      </w:tr>
      <w:tr>
        <w:trPr>
          <w:cantSplit/>
        </w:trPr>
        <w:tc>
          <w:tcPr>
            <w:tcW w:type="dxa" w:w="4939"/>
            <w:vAlign w:val="center"/>
          </w:tcPr>
          <w:p>
            <w:pPr>
              <w:spacing w:after="0" w:before="0"/>
            </w:pPr>
            <w:r>
              <w:rPr>
                <w:rFonts w:ascii="Arial Unicode MS" w:hAnsi="Arial Unicode MS" w:eastAsia="Arial Unicode MS"/>
              </w:rPr>
            </w:r>
            <w:r>
              <w:rPr>
                <w:rFonts w:ascii="Arial Unicode MS" w:hAnsi="Arial Unicode MS" w:eastAsia="Arial Unicode MS"/>
                <w:b w:val="0"/>
                <w:color w:val="202124"/>
                <w:sz w:val="17"/>
              </w:rPr>
              <w:t>Purpose</w:t>
            </w:r>
          </w:p>
        </w:tc>
        <w:tc>
          <w:tcPr>
            <w:tcW w:type="dxa" w:w="4939"/>
            <w:vAlign w:val="center"/>
          </w:tcPr>
          <w:p>
            <w:pPr>
              <w:spacing w:after="0" w:before="0"/>
            </w:pPr>
            <w:r>
              <w:rPr>
                <w:rFonts w:ascii="Arial Unicode MS" w:hAnsi="Arial Unicode MS" w:eastAsia="Arial Unicode MS"/>
              </w:rPr>
            </w:r>
            <w:r>
              <w:rPr>
                <w:rFonts w:ascii="Arial Unicode MS" w:hAnsi="Arial Unicode MS" w:eastAsia="Arial Unicode MS"/>
                <w:b w:val="0"/>
                <w:color w:val="202124"/>
                <w:sz w:val="17"/>
              </w:rPr>
              <w:t>Professor Validation Readiness</w:t>
            </w:r>
          </w:p>
        </w:tc>
      </w:tr>
      <w:tr>
        <w:trPr>
          <w:cantSplit/>
        </w:trPr>
        <w:tc>
          <w:tcPr>
            <w:tcW w:type="dxa" w:w="4939"/>
            <w:vAlign w:val="center"/>
          </w:tcPr>
          <w:p>
            <w:pPr>
              <w:spacing w:after="0" w:before="0"/>
            </w:pPr>
            <w:r>
              <w:rPr>
                <w:rFonts w:ascii="Arial Unicode MS" w:hAnsi="Arial Unicode MS" w:eastAsia="Arial Unicode MS"/>
              </w:rPr>
            </w:r>
            <w:r>
              <w:rPr>
                <w:rFonts w:ascii="Arial Unicode MS" w:hAnsi="Arial Unicode MS" w:eastAsia="Arial Unicode MS"/>
                <w:b w:val="0"/>
                <w:color w:val="202124"/>
                <w:sz w:val="17"/>
              </w:rPr>
              <w:t>修订边界</w:t>
            </w:r>
          </w:p>
        </w:tc>
        <w:tc>
          <w:tcPr>
            <w:tcW w:type="dxa" w:w="4939"/>
            <w:vAlign w:val="center"/>
          </w:tcPr>
          <w:p>
            <w:pPr>
              <w:spacing w:after="0" w:before="0"/>
            </w:pPr>
            <w:r>
              <w:rPr>
                <w:rFonts w:ascii="Arial Unicode MS" w:hAnsi="Arial Unicode MS" w:eastAsia="Arial Unicode MS"/>
              </w:rPr>
            </w:r>
            <w:r>
              <w:rPr>
                <w:rFonts w:ascii="Arial Unicode MS" w:hAnsi="Arial Unicode MS" w:eastAsia="Arial Unicode MS"/>
                <w:b w:val="0"/>
                <w:color w:val="202124"/>
                <w:sz w:val="17"/>
              </w:rPr>
              <w:t>不重开 Discovery；不改方向；不扩 Production MVP；不改既有 DEC 与 Study Execution 逻辑</w:t>
            </w:r>
          </w:p>
        </w:tc>
      </w:tr>
    </w:tbl>
    <w:p>
      <w:pPr>
        <w:keepNext w:val="0"/>
        <w:widowControl/>
        <w:spacing w:before="0" w:after="120" w:line="240" w:lineRule="auto"/>
      </w:pPr>
    </w:p>
    <w:p>
      <w:pPr>
        <w:pStyle w:val="Heading2"/>
        <w:keepNext/>
        <w:spacing w:line="276" w:lineRule="auto"/>
      </w:pPr>
      <w:r>
        <w:rPr>
          <w:rFonts w:ascii="Arial Unicode MS" w:hAnsi="Arial Unicode MS" w:eastAsia="Arial Unicode MS"/>
          <w:b/>
          <w:i w:val="0"/>
          <w:color w:val="000000"/>
          <w:sz w:val="26"/>
        </w:rPr>
        <w:t>状态标记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blHeader w:val="true"/>
        </w:trPr>
        <w:tc>
          <w:tcPr>
            <w:tcW w:type="dxa" w:w="1512"/>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状态</w:t>
            </w:r>
          </w:p>
        </w:tc>
        <w:tc>
          <w:tcPr>
            <w:tcW w:type="dxa" w:w="3671"/>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定义</w:t>
            </w:r>
          </w:p>
        </w:tc>
        <w:tc>
          <w:tcPr>
            <w:tcW w:type="dxa" w:w="4752"/>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使用规则</w:t>
            </w:r>
          </w:p>
        </w:tc>
      </w:tr>
      <w:tr>
        <w:trPr>
          <w:cantSplit/>
        </w:trPr>
        <w:tc>
          <w:tcPr>
            <w:tcW w:type="dxa" w:w="1512"/>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FACT</w:t>
            </w:r>
          </w:p>
        </w:tc>
        <w:tc>
          <w:tcPr>
            <w:tcW w:type="dxa" w:w="3671"/>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由用户确认的现状，或可从现有产品与原 PRD直接确认的陈述</w:t>
            </w:r>
          </w:p>
        </w:tc>
        <w:tc>
          <w:tcPr>
            <w:tcW w:type="dxa" w:w="4752"/>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事实来源仍需区分用户陈述、现有系统和 PRD；PRD 中的市场宣传不自动成为事实</w:t>
            </w:r>
          </w:p>
        </w:tc>
      </w:tr>
      <w:tr>
        <w:trPr>
          <w:cantSplit/>
        </w:trPr>
        <w:tc>
          <w:tcPr>
            <w:tcW w:type="dxa" w:w="1512"/>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DECISION</w:t>
            </w:r>
          </w:p>
        </w:tc>
        <w:tc>
          <w:tcPr>
            <w:tcW w:type="dxa" w:w="3671"/>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Workshop 已形成并纳入本基线的产品决定</w:t>
            </w:r>
          </w:p>
        </w:tc>
        <w:tc>
          <w:tcPr>
            <w:tcW w:type="dxa" w:w="4752"/>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后续设计默认遵循；如需改变，必须更新 Decision Log</w:t>
            </w:r>
          </w:p>
        </w:tc>
      </w:tr>
      <w:tr>
        <w:trPr>
          <w:cantSplit/>
        </w:trPr>
        <w:tc>
          <w:tcPr>
            <w:tcW w:type="dxa" w:w="1512"/>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HYPOTHESIS</w:t>
            </w:r>
          </w:p>
        </w:tc>
        <w:tc>
          <w:tcPr>
            <w:tcW w:type="dxa" w:w="3671"/>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逻辑上合理但尚未通过真实用户验证的产品假设</w:t>
            </w:r>
          </w:p>
        </w:tc>
        <w:tc>
          <w:tcPr>
            <w:tcW w:type="dxa" w:w="4752"/>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原型应主动验证，不得写成用户已接受的事实</w:t>
            </w:r>
          </w:p>
        </w:tc>
      </w:tr>
      <w:tr>
        <w:trPr>
          <w:cantSplit/>
        </w:trPr>
        <w:tc>
          <w:tcPr>
            <w:tcW w:type="dxa" w:w="1512"/>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OPEN QUESTION</w:t>
            </w:r>
          </w:p>
        </w:tc>
        <w:tc>
          <w:tcPr>
            <w:tcW w:type="dxa" w:w="3671"/>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当前证据不足或需要治理、法律、技术、用户输入的问题</w:t>
            </w:r>
          </w:p>
        </w:tc>
        <w:tc>
          <w:tcPr>
            <w:tcW w:type="dxa" w:w="4752"/>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不允许由设计或开发自行补答案</w:t>
            </w:r>
          </w:p>
        </w:tc>
      </w:tr>
      <w:tr>
        <w:trPr>
          <w:cantSplit/>
        </w:trPr>
        <w:tc>
          <w:tcPr>
            <w:tcW w:type="dxa" w:w="1512"/>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LATER</w:t>
            </w:r>
          </w:p>
        </w:tc>
        <w:tc>
          <w:tcPr>
            <w:tcW w:type="dxa" w:w="3671"/>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方向成立或可能有价值，但不进入本轮 MVP</w:t>
            </w:r>
          </w:p>
        </w:tc>
        <w:tc>
          <w:tcPr>
            <w:tcW w:type="dxa" w:w="4752"/>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架构可预留，不为未来能力提前制造复杂度</w:t>
            </w:r>
          </w:p>
        </w:tc>
      </w:tr>
    </w:tbl>
    <w:p>
      <w:pPr>
        <w:keepNext w:val="0"/>
        <w:widowControl/>
        <w:spacing w:before="0" w:after="120" w:line="240" w:lineRule="auto"/>
      </w:pPr>
    </w:p>
    <w:p>
      <w:pPr>
        <w:pStyle w:val="Heading1"/>
        <w:keepNext/>
        <w:pageBreakBefore/>
        <w:spacing w:line="276" w:lineRule="auto" w:before="160" w:after="160"/>
      </w:pPr>
      <w:r>
        <w:rPr>
          <w:rFonts w:ascii="Arial Unicode MS" w:hAnsi="Arial Unicode MS" w:eastAsia="Arial Unicode MS"/>
          <w:b/>
          <w:i w:val="0"/>
          <w:color w:val="000000"/>
          <w:sz w:val="33"/>
        </w:rPr>
        <w:t>文档导航</w:t>
      </w:r>
    </w:p>
    <w:p>
      <w:pPr>
        <w:pStyle w:val="ListNumber"/>
        <w:keepNext w:val="0"/>
        <w:widowControl/>
        <w:spacing w:before="0" w:after="100" w:line="302" w:lineRule="auto"/>
        <w:ind w:left="403" w:hanging="259"/>
      </w:pPr>
      <w:r>
        <w:rPr>
          <w:rFonts w:ascii="Arial Unicode MS" w:hAnsi="Arial Unicode MS" w:eastAsia="Arial Unicode MS"/>
        </w:rPr>
        <w:t>执行摘要</w:t>
      </w:r>
    </w:p>
    <w:p>
      <w:pPr>
        <w:pStyle w:val="ListNumber"/>
        <w:keepNext w:val="0"/>
        <w:widowControl/>
        <w:spacing w:before="0" w:after="100" w:line="302" w:lineRule="auto"/>
        <w:ind w:left="403" w:hanging="259"/>
      </w:pPr>
      <w:r>
        <w:rPr>
          <w:rFonts w:ascii="Arial Unicode MS" w:hAnsi="Arial Unicode MS" w:eastAsia="Arial Unicode MS"/>
        </w:rPr>
        <w:t>原 PRD 与现有岐研背景</w:t>
      </w:r>
    </w:p>
    <w:p>
      <w:pPr>
        <w:pStyle w:val="ListNumber"/>
        <w:keepNext w:val="0"/>
        <w:widowControl/>
        <w:spacing w:before="0" w:after="100" w:line="302" w:lineRule="auto"/>
        <w:ind w:left="403" w:hanging="259"/>
      </w:pPr>
      <w:r>
        <w:rPr>
          <w:rFonts w:ascii="Arial Unicode MS" w:hAnsi="Arial Unicode MS" w:eastAsia="Arial Unicode MS"/>
        </w:rPr>
        <w:t>产品定位与愿景</w:t>
      </w:r>
    </w:p>
    <w:p>
      <w:pPr>
        <w:pStyle w:val="ListNumber"/>
        <w:keepNext w:val="0"/>
        <w:widowControl/>
        <w:spacing w:before="0" w:after="100" w:line="302" w:lineRule="auto"/>
        <w:ind w:left="403" w:hanging="259"/>
      </w:pPr>
      <w:r>
        <w:rPr>
          <w:rFonts w:ascii="Arial Unicode MS" w:hAnsi="Arial Unicode MS" w:eastAsia="Arial Unicode MS"/>
        </w:rPr>
        <w:t>产品模型</w:t>
      </w:r>
    </w:p>
    <w:p>
      <w:pPr>
        <w:pStyle w:val="ListNumber"/>
        <w:keepNext w:val="0"/>
        <w:widowControl/>
        <w:spacing w:before="0" w:after="100" w:line="302" w:lineRule="auto"/>
        <w:ind w:left="403" w:hanging="259"/>
      </w:pPr>
      <w:r>
        <w:rPr>
          <w:rFonts w:ascii="Arial Unicode MS" w:hAnsi="Arial Unicode MS" w:eastAsia="Arial Unicode MS"/>
        </w:rPr>
        <w:t>研究生命周期</w:t>
      </w:r>
    </w:p>
    <w:p>
      <w:pPr>
        <w:pStyle w:val="ListNumber"/>
        <w:keepNext w:val="0"/>
        <w:widowControl/>
        <w:spacing w:before="0" w:after="100" w:line="302" w:lineRule="auto"/>
        <w:ind w:left="403" w:hanging="259"/>
      </w:pPr>
      <w:r>
        <w:rPr>
          <w:rFonts w:ascii="Arial Unicode MS" w:hAnsi="Arial Unicode MS" w:eastAsia="Arial Unicode MS"/>
        </w:rPr>
        <w:t>核心领域模型</w:t>
      </w:r>
    </w:p>
    <w:p>
      <w:pPr>
        <w:pStyle w:val="ListNumber"/>
        <w:keepNext w:val="0"/>
        <w:widowControl/>
        <w:spacing w:before="0" w:after="100" w:line="302" w:lineRule="auto"/>
        <w:ind w:left="403" w:hanging="259"/>
      </w:pPr>
      <w:r>
        <w:rPr>
          <w:rFonts w:ascii="Arial Unicode MS" w:hAnsi="Arial Unicode MS" w:eastAsia="Arial Unicode MS"/>
        </w:rPr>
        <w:t>Research Hub Value Loop 价值循环</w:t>
      </w:r>
    </w:p>
    <w:p>
      <w:pPr>
        <w:pStyle w:val="ListNumber"/>
        <w:keepNext w:val="0"/>
        <w:widowControl/>
        <w:spacing w:before="0" w:after="100" w:line="302" w:lineRule="auto"/>
        <w:ind w:left="403" w:hanging="259"/>
      </w:pPr>
      <w:r>
        <w:rPr>
          <w:rFonts w:ascii="Arial Unicode MS" w:hAnsi="Arial Unicode MS" w:eastAsia="Arial Unicode MS"/>
        </w:rPr>
        <w:t>Study Workspace vNext</w:t>
      </w:r>
    </w:p>
    <w:p>
      <w:pPr>
        <w:pStyle w:val="ListNumber"/>
        <w:keepNext w:val="0"/>
        <w:widowControl/>
        <w:spacing w:before="0" w:after="100" w:line="302" w:lineRule="auto"/>
        <w:ind w:left="403" w:hanging="259"/>
      </w:pPr>
      <w:r>
        <w:rPr>
          <w:rFonts w:ascii="Arial Unicode MS" w:hAnsi="Arial Unicode MS" w:eastAsia="Arial Unicode MS"/>
        </w:rPr>
        <w:t>My Research Workspace</w:t>
      </w:r>
    </w:p>
    <w:p>
      <w:pPr>
        <w:pStyle w:val="ListNumber"/>
        <w:keepNext w:val="0"/>
        <w:widowControl/>
        <w:spacing w:before="0" w:after="100" w:line="302" w:lineRule="auto"/>
        <w:ind w:left="403" w:hanging="259"/>
      </w:pPr>
      <w:r>
        <w:rPr>
          <w:rFonts w:ascii="Arial Unicode MS" w:hAnsi="Arial Unicode MS" w:eastAsia="Arial Unicode MS"/>
        </w:rPr>
        <w:t>科研资产与治理</w:t>
      </w:r>
    </w:p>
    <w:p>
      <w:pPr>
        <w:pStyle w:val="ListNumber"/>
        <w:keepNext w:val="0"/>
        <w:widowControl/>
        <w:spacing w:before="0" w:after="100" w:line="302" w:lineRule="auto"/>
        <w:ind w:left="403" w:hanging="259"/>
      </w:pPr>
      <w:r>
        <w:rPr>
          <w:rFonts w:ascii="Arial Unicode MS" w:hAnsi="Arial Unicode MS" w:eastAsia="Arial Unicode MS"/>
        </w:rPr>
        <w:t>Qiyan Research Copilot</w:t>
      </w:r>
    </w:p>
    <w:p>
      <w:pPr>
        <w:pStyle w:val="ListNumber"/>
        <w:keepNext w:val="0"/>
        <w:widowControl/>
        <w:spacing w:before="0" w:after="100" w:line="302" w:lineRule="auto"/>
        <w:ind w:left="403" w:hanging="259"/>
      </w:pPr>
      <w:r>
        <w:rPr>
          <w:rFonts w:ascii="Arial Unicode MS" w:hAnsi="Arial Unicode MS" w:eastAsia="Arial Unicode MS"/>
        </w:rPr>
        <w:t>七条 Golden Journeys</w:t>
      </w:r>
    </w:p>
    <w:p>
      <w:pPr>
        <w:pStyle w:val="ListNumber"/>
        <w:keepNext w:val="0"/>
        <w:widowControl/>
        <w:spacing w:before="0" w:after="100" w:line="302" w:lineRule="auto"/>
        <w:ind w:left="403" w:hanging="259"/>
      </w:pPr>
      <w:r>
        <w:rPr>
          <w:rFonts w:ascii="Arial Unicode MS" w:hAnsi="Arial Unicode MS" w:eastAsia="Arial Unicode MS"/>
        </w:rPr>
        <w:t>教授验证任务库与 Session #1</w:t>
      </w:r>
    </w:p>
    <w:p>
      <w:pPr>
        <w:pStyle w:val="ListNumber"/>
        <w:keepNext w:val="0"/>
        <w:widowControl/>
        <w:spacing w:before="0" w:after="100" w:line="302" w:lineRule="auto"/>
        <w:ind w:left="403" w:hanging="259"/>
      </w:pPr>
      <w:r>
        <w:rPr>
          <w:rFonts w:ascii="Arial Unicode MS" w:hAnsi="Arial Unicode MS" w:eastAsia="Arial Unicode MS"/>
        </w:rPr>
        <w:t>MVP 范围</w:t>
      </w:r>
    </w:p>
    <w:p>
      <w:pPr>
        <w:pStyle w:val="ListNumber"/>
        <w:keepNext w:val="0"/>
        <w:widowControl/>
        <w:spacing w:before="0" w:after="100" w:line="302" w:lineRule="auto"/>
        <w:ind w:left="403" w:hanging="259"/>
      </w:pPr>
      <w:r>
        <w:rPr>
          <w:rFonts w:ascii="Arial Unicode MS" w:hAnsi="Arial Unicode MS" w:eastAsia="Arial Unicode MS"/>
        </w:rPr>
        <w:t>王教授首个验证项目</w:t>
      </w:r>
    </w:p>
    <w:p>
      <w:pPr>
        <w:pStyle w:val="ListNumber"/>
        <w:keepNext w:val="0"/>
        <w:widowControl/>
        <w:spacing w:before="0" w:after="100" w:line="302" w:lineRule="auto"/>
        <w:ind w:left="403" w:hanging="259"/>
      </w:pPr>
      <w:r>
        <w:rPr>
          <w:rFonts w:ascii="Arial Unicode MS" w:hAnsi="Arial Unicode MS" w:eastAsia="Arial Unicode MS"/>
        </w:rPr>
        <w:t>决策与假设登记</w:t>
      </w:r>
    </w:p>
    <w:p>
      <w:pPr>
        <w:pStyle w:val="ListNumber"/>
        <w:keepNext w:val="0"/>
        <w:widowControl/>
        <w:spacing w:before="0" w:after="100" w:line="302" w:lineRule="auto"/>
        <w:ind w:left="403" w:hanging="259"/>
      </w:pPr>
      <w:r>
        <w:rPr>
          <w:rFonts w:ascii="Arial Unicode MS" w:hAnsi="Arial Unicode MS" w:eastAsia="Arial Unicode MS"/>
        </w:rPr>
        <w:t>原型阶段下一步</w:t>
      </w:r>
    </w:p>
    <w:p>
      <w:pPr>
        <w:pStyle w:val="ListNumber"/>
      </w:pPr>
      <w:r>
        <w:rPr>
          <w:rFonts w:ascii="Arial Unicode MS" w:hAnsi="Arial Unicode MS" w:eastAsia="Arial Unicode MS"/>
        </w:rPr>
        <w:t>Product Concept Glossary</w:t>
      </w:r>
    </w:p>
    <w:p>
      <w:pPr>
        <w:pStyle w:val="ListNumber"/>
      </w:pPr>
      <w:r>
        <w:rPr>
          <w:rFonts w:ascii="Arial Unicode MS" w:hAnsi="Arial Unicode MS" w:eastAsia="Arial Unicode MS"/>
        </w:rPr>
        <w:t>v1.0.1 受控修订说明</w:t>
      </w:r>
    </w:p>
    <w:p>
      <w:pPr>
        <w:pStyle w:val="Heading1"/>
        <w:keepNext/>
        <w:pageBreakBefore/>
        <w:spacing w:line="276" w:lineRule="auto" w:before="160" w:after="160"/>
      </w:pPr>
      <w:r>
        <w:rPr>
          <w:rFonts w:ascii="Arial Unicode MS" w:hAnsi="Arial Unicode MS" w:eastAsia="Arial Unicode MS"/>
          <w:b/>
          <w:i w:val="0"/>
          <w:color w:val="000000"/>
          <w:sz w:val="33"/>
        </w:rPr>
        <w:t>1 执行摘要</w:t>
      </w:r>
    </w:p>
    <w:p>
      <w:pPr>
        <w:keepNext w:val="0"/>
        <w:widowControl/>
        <w:spacing w:before="0" w:after="140" w:line="317" w:lineRule="auto"/>
      </w:pPr>
      <w:r>
        <w:rPr>
          <w:rFonts w:ascii="Arial Unicode MS" w:hAnsi="Arial Unicode MS" w:eastAsia="Arial Unicode MS"/>
          <w:b w:val="0"/>
          <w:i w:val="0"/>
          <w:color w:val="000000"/>
          <w:sz w:val="22"/>
        </w:rPr>
        <w:t>本基线的结论是：岐研应在现有 Study Execution Core 之上，演进为贯穿研究发现、设计、执行、分析、产出与资产沉淀的中医临床研究智能平台。王教授项目用于验证这一产品模型，不用于推倒重做现有系统，也不等同于一次性完成岐研的全部长期愿景。</w:t>
      </w:r>
    </w:p>
    <w:p>
      <w:pPr>
        <w:keepNext w:val="0"/>
        <w:widowControl/>
        <w:spacing w:before="60" w:after="180" w:line="307" w:lineRule="auto"/>
        <w:ind w:left="504" w:right="360"/>
      </w:pPr>
      <w:r>
        <w:rPr>
          <w:rFonts w:ascii="Arial Unicode MS" w:hAnsi="Arial Unicode MS" w:eastAsia="Arial Unicode MS"/>
          <w:b/>
          <w:i w:val="0"/>
          <w:color w:val="17365D"/>
          <w:sz w:val="21"/>
        </w:rPr>
        <w:t>依托岐研中医临床研究智能平台，建设首个针灸治疗情志病 Research Hub，以真实课题验证领域科研动态发现、课题研究执行、AI 科研辅助和科研资产沉淀复用的闭环，并形成可复制到其他中医优势病种或专科的产品模式。</w:t>
      </w:r>
    </w:p>
    <w:p>
      <w:pPr>
        <w:pStyle w:val="Heading2"/>
        <w:keepNext/>
        <w:spacing w:line="276" w:lineRule="auto"/>
      </w:pPr>
      <w:r>
        <w:rPr>
          <w:rFonts w:ascii="Arial Unicode MS" w:hAnsi="Arial Unicode MS" w:eastAsia="Arial Unicode MS"/>
          <w:b/>
          <w:i w:val="0"/>
          <w:color w:val="000000"/>
          <w:sz w:val="26"/>
        </w:rPr>
        <w:t>1 1 基线结论</w:t>
      </w:r>
    </w:p>
    <w:p>
      <w:pPr>
        <w:keepNext w:val="0"/>
        <w:widowControl/>
        <w:spacing w:before="0" w:after="140" w:line="317" w:lineRule="auto"/>
      </w:pPr>
      <w:r>
        <w:rPr>
          <w:rFonts w:ascii="Arial Unicode MS" w:hAnsi="Arial Unicode MS" w:eastAsia="Arial Unicode MS"/>
          <w:b/>
          <w:i w:val="0"/>
          <w:color w:val="666666"/>
          <w:sz w:val="19"/>
        </w:rPr>
        <w:t xml:space="preserve">FACT  </w:t>
      </w:r>
      <w:r>
        <w:rPr>
          <w:rFonts w:ascii="Arial Unicode MS" w:hAnsi="Arial Unicode MS" w:eastAsia="Arial Unicode MS"/>
          <w:b w:val="0"/>
          <w:i w:val="0"/>
          <w:color w:val="000000"/>
          <w:sz w:val="21"/>
        </w:rPr>
        <w:t>现有岐研已经交付，核心强项集中在课题启动与执行、受试者和访视、eCRF 与问卷、任务协作、偏离与数据疑问、数据质量与复核，以及 Data Agent、知识库和科研 Agent。</w:t>
      </w:r>
    </w:p>
    <w:p>
      <w:pPr>
        <w:keepNext w:val="0"/>
        <w:widowControl/>
        <w:spacing w:before="0" w:after="140" w:line="317" w:lineRule="auto"/>
      </w:pPr>
      <w:r>
        <w:rPr>
          <w:rFonts w:ascii="Arial Unicode MS" w:hAnsi="Arial Unicode MS" w:eastAsia="Arial Unicode MS"/>
          <w:b/>
          <w:i w:val="0"/>
          <w:color w:val="666666"/>
          <w:sz w:val="19"/>
        </w:rPr>
        <w:t xml:space="preserve">FACT  </w:t>
      </w:r>
      <w:r>
        <w:rPr>
          <w:rFonts w:ascii="Arial Unicode MS" w:hAnsi="Arial Unicode MS" w:eastAsia="Arial Unicode MS"/>
          <w:b w:val="0"/>
          <w:i w:val="0"/>
          <w:color w:val="000000"/>
          <w:sz w:val="21"/>
        </w:rPr>
        <w:t>用户反馈显示，科研 Agent、知识库和被试数据得到较正向评价；一线研究人员主要通过 Data Agent 上传研究资料并形成原始数据和标准数据。</w:t>
      </w:r>
    </w:p>
    <w:p>
      <w:pPr>
        <w:keepNext w:val="0"/>
        <w:widowControl/>
        <w:spacing w:before="0" w:after="140" w:line="317" w:lineRule="auto"/>
      </w:pPr>
      <w:r>
        <w:rPr>
          <w:rFonts w:ascii="Arial Unicode MS" w:hAnsi="Arial Unicode MS" w:eastAsia="Arial Unicode MS"/>
          <w:b/>
          <w:i w:val="0"/>
          <w:color w:val="1F4E79"/>
          <w:sz w:val="19"/>
        </w:rPr>
        <w:t xml:space="preserve">DECISION  </w:t>
      </w:r>
      <w:r>
        <w:rPr>
          <w:rFonts w:ascii="Arial Unicode MS" w:hAnsi="Arial Unicode MS" w:eastAsia="Arial Unicode MS"/>
          <w:b w:val="0"/>
          <w:i w:val="0"/>
          <w:color w:val="000000"/>
          <w:sz w:val="21"/>
        </w:rPr>
        <w:t>现有岐研不是 Legacy System，而是 Qiyan vNext 的 Study Execution Foundation。新 IA 以扩展和重组为主，不重写已经验证的执行逻辑。</w:t>
      </w:r>
    </w:p>
    <w:p>
      <w:pPr>
        <w:keepNext w:val="0"/>
        <w:widowControl/>
        <w:spacing w:before="0" w:after="140" w:line="317" w:lineRule="auto"/>
      </w:pPr>
      <w:r>
        <w:rPr>
          <w:rFonts w:ascii="Arial Unicode MS" w:hAnsi="Arial Unicode MS" w:eastAsia="Arial Unicode MS"/>
          <w:b/>
          <w:i w:val="0"/>
          <w:color w:val="1F4E79"/>
          <w:sz w:val="19"/>
        </w:rPr>
        <w:t xml:space="preserve">DECISION  </w:t>
      </w:r>
      <w:r>
        <w:rPr>
          <w:rFonts w:ascii="Arial Unicode MS" w:hAnsi="Arial Unicode MS" w:eastAsia="Arial Unicode MS"/>
          <w:b w:val="0"/>
          <w:i w:val="0"/>
          <w:color w:val="000000"/>
          <w:sz w:val="21"/>
        </w:rPr>
        <w:t>平台采用 Platform 通用化、Hub 领域化、Study 专业化的分层原则。</w:t>
      </w:r>
    </w:p>
    <w:p>
      <w:pPr>
        <w:keepNext w:val="0"/>
        <w:widowControl/>
        <w:spacing w:before="0" w:after="140" w:line="317" w:lineRule="auto"/>
      </w:pPr>
      <w:r>
        <w:rPr>
          <w:rFonts w:ascii="Arial Unicode MS" w:hAnsi="Arial Unicode MS" w:eastAsia="Arial Unicode MS"/>
          <w:b/>
          <w:i w:val="0"/>
          <w:color w:val="1F4E79"/>
          <w:sz w:val="19"/>
        </w:rPr>
        <w:t xml:space="preserve">DECISION  </w:t>
      </w:r>
      <w:r>
        <w:rPr>
          <w:rFonts w:ascii="Arial Unicode MS" w:hAnsi="Arial Unicode MS" w:eastAsia="Arial Unicode MS"/>
          <w:b w:val="0"/>
          <w:i w:val="0"/>
          <w:color w:val="000000"/>
          <w:sz w:val="21"/>
        </w:rPr>
        <w:t>治理原则采用课题自治、领域共建、授权共享、平台治理。Hub 发起人不因其学术身份自动获得其他课题的管理权。</w:t>
      </w:r>
    </w:p>
    <w:p>
      <w:pPr>
        <w:keepNext w:val="0"/>
        <w:widowControl/>
        <w:spacing w:before="0" w:after="140" w:line="317" w:lineRule="auto"/>
      </w:pPr>
      <w:r>
        <w:rPr>
          <w:rFonts w:ascii="Arial Unicode MS" w:hAnsi="Arial Unicode MS" w:eastAsia="Arial Unicode MS"/>
          <w:b/>
          <w:i w:val="0"/>
          <w:color w:val="1F4E79"/>
          <w:sz w:val="19"/>
        </w:rPr>
        <w:t xml:space="preserve">DECISION  </w:t>
      </w:r>
      <w:r>
        <w:rPr>
          <w:rFonts w:ascii="Arial Unicode MS" w:hAnsi="Arial Unicode MS" w:eastAsia="Arial Unicode MS"/>
          <w:b w:val="0"/>
          <w:i w:val="0"/>
          <w:color w:val="000000"/>
          <w:sz w:val="21"/>
        </w:rPr>
        <w:t>AI 遵循 AI Assist Human Accountable。AI 可问答、建议、起草并在受控条件下执行；关键科研状态、正式研究数据、资产发布和对外共享由授权人员确认。</w:t>
      </w:r>
    </w:p>
    <w:p>
      <w:pPr>
        <w:keepNext w:val="0"/>
        <w:widowControl/>
        <w:spacing w:before="0" w:after="140" w:line="317" w:lineRule="auto"/>
      </w:pPr>
      <w:r>
        <w:rPr>
          <w:rFonts w:ascii="Arial Unicode MS" w:hAnsi="Arial Unicode MS" w:eastAsia="Arial Unicode MS"/>
          <w:b/>
          <w:i w:val="0"/>
          <w:color w:val="9A6700"/>
          <w:sz w:val="19"/>
        </w:rPr>
        <w:t xml:space="preserve">HYPOTHESIS  </w:t>
      </w:r>
      <w:r>
        <w:rPr>
          <w:rFonts w:ascii="Arial Unicode MS" w:hAnsi="Arial Unicode MS" w:eastAsia="Arial Unicode MS"/>
          <w:b w:val="0"/>
          <w:i w:val="0"/>
          <w:color w:val="000000"/>
          <w:sz w:val="21"/>
        </w:rPr>
        <w:t>My Research、Research Hub、Study 三个科研上下文符合教授和研究员的工作心智，但仍需通过可点击原型和任务测试验证。</w:t>
      </w:r>
    </w:p>
    <w:p>
      <w:pPr>
        <w:pStyle w:val="Heading2"/>
        <w:keepNext/>
        <w:spacing w:line="276" w:lineRule="auto"/>
      </w:pPr>
      <w:r>
        <w:rPr>
          <w:rFonts w:ascii="Arial Unicode MS" w:hAnsi="Arial Unicode MS" w:eastAsia="Arial Unicode MS"/>
          <w:b/>
          <w:i w:val="0"/>
          <w:color w:val="000000"/>
          <w:sz w:val="26"/>
        </w:rPr>
        <w:t>1 2 本轮 MVP 要证明什么</w:t>
      </w:r>
    </w:p>
    <w:p>
      <w:pPr>
        <w:keepNext w:val="0"/>
        <w:widowControl/>
        <w:spacing w:before="100" w:after="80" w:line="317" w:lineRule="auto"/>
        <w:jc w:val="center"/>
      </w:pPr>
      <w:r>
        <w:rPr>
          <w:rFonts w:ascii="Arial Unicode MS" w:hAnsi="Arial Unicode MS" w:eastAsia="Arial Unicode MS"/>
          <w:b/>
          <w:i w:val="0"/>
          <w:color w:val="17365D"/>
          <w:sz w:val="21"/>
        </w:rPr>
        <w:t>Research Hub → Radar → Opportunity → Study → Execution → Analysis → Output → Asset → Research Hub</w:t>
      </w:r>
    </w:p>
    <w:p>
      <w:pPr>
        <w:keepNext w:val="0"/>
        <w:widowControl/>
        <w:spacing w:before="0" w:after="140" w:line="317" w:lineRule="auto"/>
      </w:pPr>
      <w:r>
        <w:rPr>
          <w:rFonts w:ascii="Arial Unicode MS" w:hAnsi="Arial Unicode MS" w:eastAsia="Arial Unicode MS"/>
          <w:b w:val="0"/>
          <w:i w:val="0"/>
          <w:color w:val="000000"/>
          <w:sz w:val="22"/>
        </w:rPr>
        <w:t>MVP 的验证重点不在功能数量，而在上述闭环是否能被教授理解、使用和信任。现有执行核心继续承载 Path B 和 Path C；新增能力集中验证领域发现、轻量构思、科研资产和统一 AI 上下文。</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blHeader w:val="true"/>
        </w:trPr>
        <w:tc>
          <w:tcPr>
            <w:tcW w:type="dxa" w:w="1944"/>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验证入口</w:t>
            </w:r>
          </w:p>
        </w:tc>
        <w:tc>
          <w:tcPr>
            <w:tcW w:type="dxa" w:w="2592"/>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典型起点</w:t>
            </w:r>
          </w:p>
        </w:tc>
        <w:tc>
          <w:tcPr>
            <w:tcW w:type="dxa" w:w="5400"/>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需要证明的产品价值</w:t>
            </w:r>
          </w:p>
        </w:tc>
      </w:tr>
      <w:tr>
        <w:trPr>
          <w:cantSplit/>
        </w:trPr>
        <w:tc>
          <w:tcPr>
            <w:tcW w:type="dxa" w:w="1944"/>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Path A 探索型</w:t>
            </w:r>
          </w:p>
        </w:tc>
        <w:tc>
          <w:tcPr>
            <w:tcW w:type="dxa" w:w="2592"/>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Radar 或 Research Brief</w:t>
            </w:r>
          </w:p>
        </w:tc>
        <w:tc>
          <w:tcPr>
            <w:tcW w:type="dxa" w:w="540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从 Evidence 形成 Opportunity 和 Research Question，并自然进入 Study</w:t>
            </w:r>
          </w:p>
        </w:tc>
      </w:tr>
      <w:tr>
        <w:trPr>
          <w:cantSplit/>
        </w:trPr>
        <w:tc>
          <w:tcPr>
            <w:tcW w:type="dxa" w:w="1944"/>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Path B 已有方案型</w:t>
            </w:r>
          </w:p>
        </w:tc>
        <w:tc>
          <w:tcPr>
            <w:tcW w:type="dxa" w:w="2592"/>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现成 Protocol</w:t>
            </w:r>
          </w:p>
        </w:tc>
        <w:tc>
          <w:tcPr>
            <w:tcW w:type="dxa" w:w="540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系统先理解和结构化材料，减少重复录入，再进入启动与执行</w:t>
            </w:r>
          </w:p>
        </w:tc>
      </w:tr>
      <w:tr>
        <w:trPr>
          <w:cantSplit/>
        </w:trPr>
        <w:tc>
          <w:tcPr>
            <w:tcW w:type="dxa" w:w="1944"/>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Path C 已有课题型</w:t>
            </w:r>
          </w:p>
        </w:tc>
        <w:tc>
          <w:tcPr>
            <w:tcW w:type="dxa" w:w="2592"/>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Existing Study</w:t>
            </w:r>
          </w:p>
        </w:tc>
        <w:tc>
          <w:tcPr>
            <w:tcW w:type="dxa" w:w="540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从执行数据进入分析、科研产出和资产沉淀</w:t>
            </w:r>
          </w:p>
        </w:tc>
      </w:tr>
    </w:tbl>
    <w:p>
      <w:pPr>
        <w:keepNext w:val="0"/>
        <w:widowControl/>
        <w:spacing w:before="0" w:after="120" w:line="240" w:lineRule="auto"/>
      </w:pPr>
    </w:p>
    <w:p>
      <w:pPr>
        <w:pStyle w:val="Heading2"/>
        <w:keepNext/>
        <w:spacing w:line="276" w:lineRule="auto"/>
      </w:pPr>
      <w:r>
        <w:rPr>
          <w:rFonts w:ascii="Arial Unicode MS" w:hAnsi="Arial Unicode MS" w:eastAsia="Arial Unicode MS"/>
          <w:b/>
          <w:i w:val="0"/>
          <w:color w:val="000000"/>
          <w:sz w:val="26"/>
        </w:rPr>
        <w:t>1 3 本基线不做的承诺</w:t>
      </w:r>
    </w:p>
    <w:p>
      <w:pPr>
        <w:pStyle w:val="ListBullet"/>
        <w:keepNext w:val="0"/>
        <w:widowControl/>
        <w:spacing w:before="0" w:after="100" w:line="298" w:lineRule="auto"/>
        <w:ind w:left="360" w:hanging="230"/>
      </w:pPr>
      <w:r>
        <w:rPr>
          <w:rFonts w:ascii="Arial Unicode MS" w:hAnsi="Arial Unicode MS" w:eastAsia="Arial Unicode MS"/>
          <w:b w:val="0"/>
          <w:i w:val="0"/>
          <w:color w:val="000000"/>
          <w:sz w:val="21"/>
        </w:rPr>
        <w:t>不把原 PRD 中的市场宣传、医学示例或未经验证的价值表述升级为事实。</w:t>
      </w:r>
    </w:p>
    <w:p>
      <w:pPr>
        <w:pStyle w:val="ListBullet"/>
        <w:keepNext w:val="0"/>
        <w:widowControl/>
        <w:spacing w:before="0" w:after="100" w:line="298" w:lineRule="auto"/>
        <w:ind w:left="360" w:hanging="230"/>
      </w:pPr>
      <w:r>
        <w:rPr>
          <w:rFonts w:ascii="Arial Unicode MS" w:hAnsi="Arial Unicode MS" w:eastAsia="Arial Unicode MS"/>
          <w:b w:val="0"/>
          <w:i w:val="0"/>
          <w:color w:val="000000"/>
          <w:sz w:val="21"/>
        </w:rPr>
        <w:t>不把所有长期愿景塞进王教授项目一期。</w:t>
      </w:r>
    </w:p>
    <w:p>
      <w:pPr>
        <w:pStyle w:val="ListBullet"/>
        <w:keepNext w:val="0"/>
        <w:widowControl/>
        <w:spacing w:before="0" w:after="100" w:line="298" w:lineRule="auto"/>
        <w:ind w:left="360" w:hanging="230"/>
      </w:pPr>
      <w:r>
        <w:rPr>
          <w:rFonts w:ascii="Arial Unicode MS" w:hAnsi="Arial Unicode MS" w:eastAsia="Arial Unicode MS"/>
          <w:b w:val="0"/>
          <w:i w:val="0"/>
          <w:color w:val="000000"/>
          <w:sz w:val="21"/>
        </w:rPr>
        <w:t>不要求所有用户从 Research Hub 开始，也不强迫成熟课题重新走完整发现与构思流程。</w:t>
      </w:r>
    </w:p>
    <w:p>
      <w:pPr>
        <w:pStyle w:val="ListBullet"/>
        <w:keepNext w:val="0"/>
        <w:widowControl/>
        <w:spacing w:before="0" w:after="100" w:line="298" w:lineRule="auto"/>
        <w:ind w:left="360" w:hanging="230"/>
      </w:pPr>
      <w:r>
        <w:rPr>
          <w:rFonts w:ascii="Arial Unicode MS" w:hAnsi="Arial Unicode MS" w:eastAsia="Arial Unicode MS"/>
          <w:b w:val="0"/>
          <w:i w:val="0"/>
          <w:color w:val="000000"/>
          <w:sz w:val="21"/>
        </w:rPr>
        <w:t>不把 AI 生成内容直接视为正式科研结论、正式研究数据或可共享科研资产。</w:t>
      </w:r>
    </w:p>
    <w:p>
      <w:pPr>
        <w:pStyle w:val="ListBullet"/>
        <w:keepNext w:val="0"/>
        <w:widowControl/>
        <w:spacing w:before="0" w:after="100" w:line="298" w:lineRule="auto"/>
        <w:ind w:left="360" w:hanging="230"/>
      </w:pPr>
      <w:r>
        <w:rPr>
          <w:rFonts w:ascii="Arial Unicode MS" w:hAnsi="Arial Unicode MS" w:eastAsia="Arial Unicode MS"/>
          <w:b w:val="0"/>
          <w:i w:val="0"/>
          <w:color w:val="000000"/>
          <w:sz w:val="21"/>
        </w:rPr>
        <w:t>不在本基线中替医院、课题组或监管主体决定数据权利与法律责任。</w:t>
      </w:r>
    </w:p>
    <w:p>
      <w:pPr>
        <w:pStyle w:val="Heading1"/>
        <w:keepNext/>
        <w:pageBreakBefore/>
        <w:spacing w:line="276" w:lineRule="auto" w:before="160" w:after="160"/>
      </w:pPr>
      <w:r>
        <w:rPr>
          <w:rFonts w:ascii="Arial Unicode MS" w:hAnsi="Arial Unicode MS" w:eastAsia="Arial Unicode MS"/>
          <w:b/>
          <w:i w:val="0"/>
          <w:color w:val="000000"/>
          <w:sz w:val="33"/>
        </w:rPr>
        <w:t>2 原 PRD 与现有岐研背景</w:t>
      </w:r>
    </w:p>
    <w:p>
      <w:pPr>
        <w:pStyle w:val="Heading2"/>
        <w:keepNext/>
        <w:spacing w:line="276" w:lineRule="auto"/>
      </w:pPr>
      <w:r>
        <w:rPr>
          <w:rFonts w:ascii="Arial Unicode MS" w:hAnsi="Arial Unicode MS" w:eastAsia="Arial Unicode MS"/>
          <w:b/>
          <w:i w:val="0"/>
          <w:color w:val="000000"/>
          <w:sz w:val="26"/>
        </w:rPr>
        <w:t>2 1 原 PRD 的基础价值</w:t>
      </w:r>
    </w:p>
    <w:p>
      <w:pPr>
        <w:keepNext w:val="0"/>
        <w:widowControl/>
        <w:spacing w:before="0" w:after="140" w:line="317" w:lineRule="auto"/>
      </w:pPr>
      <w:r>
        <w:rPr>
          <w:rFonts w:ascii="Arial Unicode MS" w:hAnsi="Arial Unicode MS" w:eastAsia="Arial Unicode MS"/>
          <w:b w:val="0"/>
          <w:i w:val="0"/>
          <w:color w:val="000000"/>
          <w:sz w:val="22"/>
        </w:rPr>
        <w:t>原 PRD 已经清楚表达了针灸治疗情志病的专科需求，并把标准化建题、低负担采集、长期随访和课题权限隔离作为 P0 主线。它还提出文献追踪、科研情报、知识库和科研写作 Agent 等 P1 能力。这些内容仍是重要需求来源。</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blHeader w:val="true"/>
        </w:trPr>
        <w:tc>
          <w:tcPr>
            <w:tcW w:type="dxa" w:w="1800"/>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原 PRD 主题</w:t>
            </w:r>
          </w:p>
        </w:tc>
        <w:tc>
          <w:tcPr>
            <w:tcW w:type="dxa" w:w="3671"/>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原有价值</w:t>
            </w:r>
          </w:p>
        </w:tc>
        <w:tc>
          <w:tcPr>
            <w:tcW w:type="dxa" w:w="4464"/>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本基线处理</w:t>
            </w:r>
          </w:p>
        </w:tc>
      </w:tr>
      <w:tr>
        <w:trPr>
          <w:cantSplit/>
        </w:trPr>
        <w:tc>
          <w:tcPr>
            <w:tcW w:type="dxa" w:w="180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标准化建题</w:t>
            </w:r>
          </w:p>
        </w:tc>
        <w:tc>
          <w:tcPr>
            <w:tcW w:type="dxa" w:w="3671"/>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专科模板、证型、干预、量表和随访结构</w:t>
            </w:r>
          </w:p>
        </w:tc>
        <w:tc>
          <w:tcPr>
            <w:tcW w:type="dxa" w:w="446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保留为 Study Design 与 Launch 的输入</w:t>
            </w:r>
          </w:p>
        </w:tc>
      </w:tr>
      <w:tr>
        <w:trPr>
          <w:cantSplit/>
        </w:trPr>
        <w:tc>
          <w:tcPr>
            <w:tcW w:type="dxa" w:w="180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低负担采集</w:t>
            </w:r>
          </w:p>
        </w:tc>
        <w:tc>
          <w:tcPr>
            <w:tcW w:type="dxa" w:w="3671"/>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语音转写、字段抽取、人工核对</w:t>
            </w:r>
          </w:p>
        </w:tc>
        <w:tc>
          <w:tcPr>
            <w:tcW w:type="dxa" w:w="446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保留 Data Agent 能力并嵌入采集流程</w:t>
            </w:r>
          </w:p>
        </w:tc>
      </w:tr>
      <w:tr>
        <w:trPr>
          <w:cantSplit/>
        </w:trPr>
        <w:tc>
          <w:tcPr>
            <w:tcW w:type="dxa" w:w="180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长期随访</w:t>
            </w:r>
          </w:p>
        </w:tc>
        <w:tc>
          <w:tcPr>
            <w:tcW w:type="dxa" w:w="3671"/>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节点化触达、问卷与软电话</w:t>
            </w:r>
          </w:p>
        </w:tc>
        <w:tc>
          <w:tcPr>
            <w:tcW w:type="dxa" w:w="446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保留业务目标，渠道和具体规则在详细 PRD 中确认</w:t>
            </w:r>
          </w:p>
        </w:tc>
      </w:tr>
      <w:tr>
        <w:trPr>
          <w:cantSplit/>
        </w:trPr>
        <w:tc>
          <w:tcPr>
            <w:tcW w:type="dxa" w:w="180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课题隔离</w:t>
            </w:r>
          </w:p>
        </w:tc>
        <w:tc>
          <w:tcPr>
            <w:tcW w:type="dxa" w:w="3671"/>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不同课题数据和权限独立</w:t>
            </w:r>
          </w:p>
        </w:tc>
        <w:tc>
          <w:tcPr>
            <w:tcW w:type="dxa" w:w="446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升级为课题自治和上下文权限原则</w:t>
            </w:r>
          </w:p>
        </w:tc>
      </w:tr>
      <w:tr>
        <w:trPr>
          <w:cantSplit/>
        </w:trPr>
        <w:tc>
          <w:tcPr>
            <w:tcW w:type="dxa" w:w="180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文献与情报</w:t>
            </w:r>
          </w:p>
        </w:tc>
        <w:tc>
          <w:tcPr>
            <w:tcW w:type="dxa" w:w="3671"/>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多库检索、订阅、趋势和课题关联</w:t>
            </w:r>
          </w:p>
        </w:tc>
        <w:tc>
          <w:tcPr>
            <w:tcW w:type="dxa" w:w="446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从文献模块重构为 Radar 与 Research Brief</w:t>
            </w:r>
          </w:p>
        </w:tc>
      </w:tr>
      <w:tr>
        <w:trPr>
          <w:cantSplit/>
        </w:trPr>
        <w:tc>
          <w:tcPr>
            <w:tcW w:type="dxa" w:w="180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知识与写作</w:t>
            </w:r>
          </w:p>
        </w:tc>
        <w:tc>
          <w:tcPr>
            <w:tcW w:type="dxa" w:w="3671"/>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知识库和垂直科研写作 Agent</w:t>
            </w:r>
          </w:p>
        </w:tc>
        <w:tc>
          <w:tcPr>
            <w:tcW w:type="dxa" w:w="446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重构为 Knowledge Workspace 与 Study-aware Copilot</w:t>
            </w:r>
          </w:p>
        </w:tc>
      </w:tr>
    </w:tbl>
    <w:p>
      <w:pPr>
        <w:keepNext w:val="0"/>
        <w:widowControl/>
        <w:spacing w:before="0" w:after="120" w:line="240" w:lineRule="auto"/>
      </w:pPr>
    </w:p>
    <w:p>
      <w:pPr>
        <w:pStyle w:val="Heading2"/>
        <w:keepNext/>
        <w:spacing w:line="276" w:lineRule="auto"/>
      </w:pPr>
      <w:r>
        <w:rPr>
          <w:rFonts w:ascii="Arial Unicode MS" w:hAnsi="Arial Unicode MS" w:eastAsia="Arial Unicode MS"/>
          <w:b/>
          <w:i w:val="0"/>
          <w:color w:val="000000"/>
          <w:sz w:val="26"/>
        </w:rPr>
        <w:t>2 2 原 PRD 需要纠正的层级混合</w:t>
      </w:r>
    </w:p>
    <w:p>
      <w:pPr>
        <w:keepNext w:val="0"/>
        <w:widowControl/>
        <w:spacing w:before="0" w:after="140" w:line="317" w:lineRule="auto"/>
      </w:pPr>
      <w:r>
        <w:rPr>
          <w:rFonts w:ascii="Arial Unicode MS" w:hAnsi="Arial Unicode MS" w:eastAsia="Arial Unicode MS"/>
          <w:b w:val="0"/>
          <w:i w:val="0"/>
          <w:color w:val="000000"/>
          <w:sz w:val="22"/>
        </w:rPr>
        <w:t>原 PRD 同时把针灸治疗情志病描述为垂直平台、具体课题和多团队科研生态，并按接入层、应用层、智能层、数据层和硬件层组织内容。这种表达适合解决方案架构，但不足以指导产品上下文、用户任务和页面结构。</w:t>
      </w:r>
    </w:p>
    <w:p>
      <w:pPr>
        <w:keepNext w:val="0"/>
        <w:widowControl/>
        <w:spacing w:before="0" w:after="140" w:line="317" w:lineRule="auto"/>
      </w:pPr>
      <w:r>
        <w:rPr>
          <w:rFonts w:ascii="Arial Unicode MS" w:hAnsi="Arial Unicode MS" w:eastAsia="Arial Unicode MS"/>
          <w:b/>
          <w:i w:val="0"/>
          <w:color w:val="1F4E79"/>
          <w:sz w:val="19"/>
        </w:rPr>
        <w:t xml:space="preserve">DECISION DEC-001/002  </w:t>
      </w:r>
      <w:r>
        <w:rPr>
          <w:rFonts w:ascii="Arial Unicode MS" w:hAnsi="Arial Unicode MS" w:eastAsia="Arial Unicode MS"/>
          <w:b w:val="0"/>
          <w:i w:val="0"/>
          <w:color w:val="000000"/>
          <w:sz w:val="21"/>
        </w:rPr>
        <w:t>顶层产品是岐研。针灸治疗情志病是岐研中的首个垂直 Research Hub；王教授和其他团队的具体研究是 Hub 中相互自治的 Study。</w:t>
      </w:r>
    </w:p>
    <w:p>
      <w:pPr>
        <w:keepNext w:val="0"/>
        <w:widowControl/>
        <w:spacing w:before="0" w:after="140" w:line="317" w:lineRule="auto"/>
      </w:pPr>
      <w:r>
        <w:rPr>
          <w:rFonts w:ascii="Arial Unicode MS" w:hAnsi="Arial Unicode MS" w:eastAsia="Arial Unicode MS"/>
          <w:b/>
          <w:i w:val="0"/>
          <w:color w:val="1F4E79"/>
          <w:sz w:val="19"/>
        </w:rPr>
        <w:t xml:space="preserve">DECISION DEC-013  </w:t>
      </w:r>
      <w:r>
        <w:rPr>
          <w:rFonts w:ascii="Arial Unicode MS" w:hAnsi="Arial Unicode MS" w:eastAsia="Arial Unicode MS"/>
          <w:b w:val="0"/>
          <w:i w:val="0"/>
          <w:color w:val="000000"/>
          <w:sz w:val="21"/>
        </w:rPr>
        <w:t>原 PRD 中所有能力均垂直化且不泛化的原则被修订为 Platform 通用化、Hub 领域化、Study 专业化。</w:t>
      </w:r>
    </w:p>
    <w:p>
      <w:pPr>
        <w:pStyle w:val="Heading2"/>
        <w:keepNext/>
        <w:spacing w:line="276" w:lineRule="auto"/>
      </w:pPr>
      <w:r>
        <w:rPr>
          <w:rFonts w:ascii="Arial Unicode MS" w:hAnsi="Arial Unicode MS" w:eastAsia="Arial Unicode MS"/>
          <w:b/>
          <w:i w:val="0"/>
          <w:color w:val="000000"/>
          <w:sz w:val="26"/>
        </w:rPr>
        <w:t>2 3 原 PRD 表述的证据状态</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blHeader w:val="true"/>
        </w:trPr>
        <w:tc>
          <w:tcPr>
            <w:tcW w:type="dxa" w:w="3096"/>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PRD 表述</w:t>
            </w:r>
          </w:p>
        </w:tc>
        <w:tc>
          <w:tcPr>
            <w:tcW w:type="dxa" w:w="1944"/>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基线状态</w:t>
            </w:r>
          </w:p>
        </w:tc>
        <w:tc>
          <w:tcPr>
            <w:tcW w:type="dxa" w:w="4896"/>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处理规则</w:t>
            </w:r>
          </w:p>
        </w:tc>
      </w:tr>
      <w:tr>
        <w:trPr>
          <w:cantSplit/>
        </w:trPr>
        <w:tc>
          <w:tcPr>
            <w:tcW w:type="dxa" w:w="309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国家中药管理局交叉创新团队专项项目</w:t>
            </w:r>
          </w:p>
        </w:tc>
        <w:tc>
          <w:tcPr>
            <w:tcW w:type="dxa" w:w="194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PRD 中的项目背景陈述</w:t>
            </w:r>
          </w:p>
        </w:tc>
        <w:tc>
          <w:tcPr>
            <w:tcW w:type="dxa" w:w="489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在未获得正式材料前，不作为本基线独立核验的外部事实</w:t>
            </w:r>
          </w:p>
        </w:tc>
      </w:tr>
      <w:tr>
        <w:trPr>
          <w:cantSplit/>
        </w:trPr>
        <w:tc>
          <w:tcPr>
            <w:tcW w:type="dxa" w:w="3096"/>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国内首个</w:t>
            </w:r>
          </w:p>
        </w:tc>
        <w:tc>
          <w:tcPr>
            <w:tcW w:type="dxa" w:w="194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CLAIM</w:t>
            </w:r>
          </w:p>
        </w:tc>
        <w:tc>
          <w:tcPr>
            <w:tcW w:type="dxa" w:w="4896"/>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不得进入产品事实或对外文案，除非完成市场和证据核验</w:t>
            </w:r>
          </w:p>
        </w:tc>
      </w:tr>
      <w:tr>
        <w:trPr>
          <w:cantSplit/>
        </w:trPr>
        <w:tc>
          <w:tcPr>
            <w:tcW w:type="dxa" w:w="309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医生身份推送可提升依从性</w:t>
            </w:r>
          </w:p>
        </w:tc>
        <w:tc>
          <w:tcPr>
            <w:tcW w:type="dxa" w:w="194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HYPOTHESIS</w:t>
            </w:r>
          </w:p>
        </w:tc>
        <w:tc>
          <w:tcPr>
            <w:tcW w:type="dxa" w:w="489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应通过真实随访数据和用户研究验证，企业微信只是候选渠道</w:t>
            </w:r>
          </w:p>
        </w:tc>
      </w:tr>
      <w:tr>
        <w:trPr>
          <w:cantSplit/>
        </w:trPr>
        <w:tc>
          <w:tcPr>
            <w:tcW w:type="dxa" w:w="3096"/>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统一专科模板即可统一科研基线</w:t>
            </w:r>
          </w:p>
        </w:tc>
        <w:tc>
          <w:tcPr>
            <w:tcW w:type="dxa" w:w="194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HYPOTHESIS</w:t>
            </w:r>
          </w:p>
        </w:tc>
        <w:tc>
          <w:tcPr>
            <w:tcW w:type="dxa" w:w="4896"/>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模板需要版本、适用范围、证据来源和治理机制</w:t>
            </w:r>
          </w:p>
        </w:tc>
      </w:tr>
      <w:tr>
        <w:trPr>
          <w:cantSplit/>
        </w:trPr>
        <w:tc>
          <w:tcPr>
            <w:tcW w:type="dxa" w:w="309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通用 AI 无法适配专科科研</w:t>
            </w:r>
          </w:p>
        </w:tc>
        <w:tc>
          <w:tcPr>
            <w:tcW w:type="dxa" w:w="194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产品判断</w:t>
            </w:r>
          </w:p>
        </w:tc>
        <w:tc>
          <w:tcPr>
            <w:tcW w:type="dxa" w:w="489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应以任务质量、证据追溯和上下文能力验证，不作为既定事实</w:t>
            </w:r>
          </w:p>
        </w:tc>
      </w:tr>
    </w:tbl>
    <w:p>
      <w:pPr>
        <w:keepNext w:val="0"/>
        <w:widowControl/>
        <w:spacing w:before="0" w:after="120" w:line="240" w:lineRule="auto"/>
      </w:pPr>
    </w:p>
    <w:p>
      <w:pPr>
        <w:pStyle w:val="Heading2"/>
        <w:keepNext/>
        <w:spacing w:line="276" w:lineRule="auto"/>
      </w:pPr>
      <w:r>
        <w:rPr>
          <w:rFonts w:ascii="Arial Unicode MS" w:hAnsi="Arial Unicode MS" w:eastAsia="Arial Unicode MS"/>
          <w:b/>
          <w:i w:val="0"/>
          <w:color w:val="000000"/>
          <w:sz w:val="26"/>
        </w:rPr>
        <w:t>2 4 现有岐研的继承关系</w:t>
      </w:r>
    </w:p>
    <w:p>
      <w:pPr>
        <w:keepNext w:val="0"/>
        <w:widowControl/>
        <w:spacing w:before="0" w:after="140" w:line="317" w:lineRule="auto"/>
      </w:pPr>
      <w:r>
        <w:rPr>
          <w:rFonts w:ascii="Arial Unicode MS" w:hAnsi="Arial Unicode MS" w:eastAsia="Arial Unicode MS"/>
          <w:b w:val="0"/>
          <w:i w:val="0"/>
          <w:color w:val="000000"/>
          <w:sz w:val="22"/>
        </w:rPr>
        <w:t>杜教授项目从单独系统逐步演变为当前岐研平台。现有能力已经覆盖 Study Execution 的关键链条，并形成了 Data Agent、知识库和科研 Agent 的真实使用基础。王教授项目应继续在同一平台延伸。</w:t>
      </w:r>
    </w:p>
    <w:p>
      <w:pPr>
        <w:keepNext w:val="0"/>
        <w:widowControl/>
        <w:spacing w:before="100" w:after="80" w:line="317" w:lineRule="auto"/>
        <w:jc w:val="center"/>
      </w:pPr>
      <w:r>
        <w:rPr>
          <w:rFonts w:ascii="Arial Unicode MS" w:hAnsi="Arial Unicode MS" w:eastAsia="Arial Unicode MS"/>
          <w:b/>
          <w:i w:val="0"/>
          <w:color w:val="17365D"/>
          <w:sz w:val="21"/>
        </w:rPr>
        <w:t>Current Qiyan → Study Execution Core → 向前扩展 Design → 向后扩展 Analysis Output Asset → 向上连接 Research Hub → 横向贯穿 Research Copilot</w:t>
      </w:r>
    </w:p>
    <w:p>
      <w:pPr>
        <w:pStyle w:val="Heading1"/>
        <w:keepNext/>
        <w:pageBreakBefore/>
        <w:spacing w:line="276" w:lineRule="auto" w:before="160" w:after="160"/>
      </w:pPr>
      <w:r>
        <w:rPr>
          <w:rFonts w:ascii="Arial Unicode MS" w:hAnsi="Arial Unicode MS" w:eastAsia="Arial Unicode MS"/>
          <w:b/>
          <w:i w:val="0"/>
          <w:color w:val="000000"/>
          <w:sz w:val="33"/>
        </w:rPr>
        <w:t>3 产品定位与愿景</w:t>
      </w:r>
    </w:p>
    <w:p>
      <w:pPr>
        <w:pStyle w:val="Heading2"/>
        <w:keepNext/>
        <w:spacing w:line="276" w:lineRule="auto"/>
      </w:pPr>
      <w:r>
        <w:rPr>
          <w:rFonts w:ascii="Arial Unicode MS" w:hAnsi="Arial Unicode MS" w:eastAsia="Arial Unicode MS"/>
          <w:b/>
          <w:i w:val="0"/>
          <w:color w:val="000000"/>
          <w:sz w:val="26"/>
        </w:rPr>
        <w:t>3 1 产品定位</w:t>
      </w:r>
    </w:p>
    <w:p>
      <w:pPr>
        <w:keepNext w:val="0"/>
        <w:widowControl/>
        <w:spacing w:before="60" w:after="180" w:line="307" w:lineRule="auto"/>
        <w:ind w:left="504" w:right="360"/>
      </w:pPr>
      <w:r>
        <w:rPr>
          <w:rFonts w:ascii="Arial Unicode MS" w:hAnsi="Arial Unicode MS" w:eastAsia="Arial Unicode MS"/>
          <w:b/>
          <w:i w:val="0"/>
          <w:color w:val="17365D"/>
          <w:sz w:val="21"/>
        </w:rPr>
        <w:t>岐研是一套以 Study 为科研执行单元、以 Research Hub 为领域知识与协作网络、以 Research Asset 为科研价值沉淀载体，并由 Evidence-grounded Research Copilot 贯穿完整 Research Lifecycle 的中医临床研究智能平台。</w:t>
      </w:r>
    </w:p>
    <w:p>
      <w:pPr>
        <w:keepNext w:val="0"/>
        <w:widowControl/>
        <w:spacing w:before="0" w:after="140" w:line="317" w:lineRule="auto"/>
      </w:pPr>
      <w:r>
        <w:rPr>
          <w:rFonts w:ascii="Arial Unicode MS" w:hAnsi="Arial Unicode MS" w:eastAsia="Arial Unicode MS"/>
          <w:b w:val="0"/>
          <w:i w:val="0"/>
          <w:color w:val="000000"/>
          <w:sz w:val="22"/>
        </w:rPr>
        <w:t>产品以临床科研工作为中心，而不是以后台功能、单一疾病或 Agent 列表为中心。它既保留严谨的课题执行和数据质量能力，也向研究发现、研究设计、分析、科研产出与资产复用扩展。</w:t>
      </w:r>
    </w:p>
    <w:p>
      <w:pPr>
        <w:pStyle w:val="Heading2"/>
        <w:keepNext/>
        <w:spacing w:line="276" w:lineRule="auto"/>
      </w:pPr>
      <w:r>
        <w:rPr>
          <w:rFonts w:ascii="Arial Unicode MS" w:hAnsi="Arial Unicode MS" w:eastAsia="Arial Unicode MS"/>
          <w:b/>
          <w:i w:val="0"/>
          <w:color w:val="000000"/>
          <w:sz w:val="26"/>
        </w:rPr>
        <w:t>3 2 产品愿景</w:t>
      </w:r>
    </w:p>
    <w:p>
      <w:pPr>
        <w:keepNext w:val="0"/>
        <w:widowControl/>
        <w:spacing w:before="60" w:after="180" w:line="307" w:lineRule="auto"/>
        <w:ind w:left="504" w:right="360"/>
      </w:pPr>
      <w:r>
        <w:rPr>
          <w:rFonts w:ascii="Arial Unicode MS" w:hAnsi="Arial Unicode MS" w:eastAsia="Arial Unicode MS"/>
          <w:b/>
          <w:i w:val="0"/>
          <w:color w:val="17365D"/>
          <w:sz w:val="21"/>
        </w:rPr>
        <w:t>让临床经验沉淀为可信证据，并让可信证据更早形成下一项值得研究的问题。</w:t>
      </w:r>
    </w:p>
    <w:p>
      <w:pPr>
        <w:keepNext w:val="0"/>
        <w:widowControl/>
        <w:spacing w:before="0" w:after="140" w:line="317" w:lineRule="auto"/>
      </w:pPr>
      <w:r>
        <w:rPr>
          <w:rFonts w:ascii="Arial Unicode MS" w:hAnsi="Arial Unicode MS" w:eastAsia="Arial Unicode MS"/>
          <w:b w:val="0"/>
          <w:i w:val="0"/>
          <w:color w:val="000000"/>
          <w:sz w:val="22"/>
        </w:rPr>
        <w:t>这句话在本基线中对应一套产品机制：外部证据通过 Radar 进入领域上下文；研究机会进入构思与课题；Study 产生数据、分析和科研产出；经过治理的 Research Asset 回到 Hub，成为下一轮研究的可复用基础。</w:t>
      </w:r>
    </w:p>
    <w:p>
      <w:pPr>
        <w:pStyle w:val="Heading2"/>
        <w:keepNext/>
        <w:spacing w:line="276" w:lineRule="auto"/>
      </w:pPr>
      <w:r>
        <w:rPr>
          <w:rFonts w:ascii="Arial Unicode MS" w:hAnsi="Arial Unicode MS" w:eastAsia="Arial Unicode MS"/>
          <w:b/>
          <w:i w:val="0"/>
          <w:color w:val="000000"/>
          <w:sz w:val="26"/>
        </w:rPr>
        <w:t>3 3 核心产品原则</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blHeader w:val="true"/>
        </w:trPr>
        <w:tc>
          <w:tcPr>
            <w:tcW w:type="dxa" w:w="936"/>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编号</w:t>
            </w:r>
          </w:p>
        </w:tc>
        <w:tc>
          <w:tcPr>
            <w:tcW w:type="dxa" w:w="3240"/>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原则</w:t>
            </w:r>
          </w:p>
        </w:tc>
        <w:tc>
          <w:tcPr>
            <w:tcW w:type="dxa" w:w="5760"/>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产品含义</w:t>
            </w:r>
          </w:p>
        </w:tc>
      </w:tr>
      <w:tr>
        <w:trPr>
          <w:cantSplit/>
        </w:trPr>
        <w:tc>
          <w:tcPr>
            <w:tcW w:type="dxa" w:w="936"/>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P-01</w:t>
            </w:r>
          </w:p>
        </w:tc>
        <w:tc>
          <w:tcPr>
            <w:tcW w:type="dxa" w:w="324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Platform 通用化 Hub 领域化 Study 专业化</w:t>
            </w:r>
          </w:p>
        </w:tc>
        <w:tc>
          <w:tcPr>
            <w:tcW w:type="dxa" w:w="576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访视、权限、数据质量等平台能力复用；领域知识、标准和 AI Context 在 Hub 定制；具体方案和执行在 Study 配置</w:t>
            </w:r>
          </w:p>
        </w:tc>
      </w:tr>
      <w:tr>
        <w:trPr>
          <w:cantSplit/>
        </w:trPr>
        <w:tc>
          <w:tcPr>
            <w:tcW w:type="dxa" w:w="936"/>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P-02</w:t>
            </w:r>
          </w:p>
        </w:tc>
        <w:tc>
          <w:tcPr>
            <w:tcW w:type="dxa" w:w="324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课题自治 领域共建 授权共享 平台治理</w:t>
            </w:r>
          </w:p>
        </w:tc>
        <w:tc>
          <w:tcPr>
            <w:tcW w:type="dxa" w:w="576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Hub 发起人无权默认查看或管理其他团队的 Study；共享依赖明确授权和可追溯治理</w:t>
            </w:r>
          </w:p>
        </w:tc>
      </w:tr>
      <w:tr>
        <w:trPr>
          <w:cantSplit/>
        </w:trPr>
        <w:tc>
          <w:tcPr>
            <w:tcW w:type="dxa" w:w="936"/>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P-03</w:t>
            </w:r>
          </w:p>
        </w:tc>
        <w:tc>
          <w:tcPr>
            <w:tcW w:type="dxa" w:w="324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AI Assist Human Accountable</w:t>
            </w:r>
          </w:p>
        </w:tc>
        <w:tc>
          <w:tcPr>
            <w:tcW w:type="dxa" w:w="576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AI 提供理解、建议、草稿和受控执行；授权人员承担关键确认责任</w:t>
            </w:r>
          </w:p>
        </w:tc>
      </w:tr>
      <w:tr>
        <w:trPr>
          <w:cantSplit/>
        </w:trPr>
        <w:tc>
          <w:tcPr>
            <w:tcW w:type="dxa" w:w="936"/>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P-04</w:t>
            </w:r>
          </w:p>
        </w:tc>
        <w:tc>
          <w:tcPr>
            <w:tcW w:type="dxa" w:w="324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Understand before asking researchers to re-enter</w:t>
            </w:r>
          </w:p>
        </w:tc>
        <w:tc>
          <w:tcPr>
            <w:tcW w:type="dxa" w:w="576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优先理解既有 Protocol、资料和数据，减少重复配置与录入</w:t>
            </w:r>
          </w:p>
        </w:tc>
      </w:tr>
      <w:tr>
        <w:trPr>
          <w:cantSplit/>
        </w:trPr>
        <w:tc>
          <w:tcPr>
            <w:tcW w:type="dxa" w:w="936"/>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P-05</w:t>
            </w:r>
          </w:p>
        </w:tc>
        <w:tc>
          <w:tcPr>
            <w:tcW w:type="dxa" w:w="324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系统主动呈现值得关注的事项</w:t>
            </w:r>
          </w:p>
        </w:tc>
        <w:tc>
          <w:tcPr>
            <w:tcW w:type="dxa" w:w="576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不要让研究人员自己巡检所有模块；用 Research Attention 压缩认知负担</w:t>
            </w:r>
          </w:p>
        </w:tc>
      </w:tr>
      <w:tr>
        <w:trPr>
          <w:cantSplit/>
        </w:trPr>
        <w:tc>
          <w:tcPr>
            <w:tcW w:type="dxa" w:w="936"/>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P-06</w:t>
            </w:r>
          </w:p>
        </w:tc>
        <w:tc>
          <w:tcPr>
            <w:tcW w:type="dxa" w:w="324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Evidence 到 Opportunity 再到 Question</w:t>
            </w:r>
          </w:p>
        </w:tc>
        <w:tc>
          <w:tcPr>
            <w:tcW w:type="dxa" w:w="576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避免从一篇论文直接一键生成课题，保留科研判断和证据链</w:t>
            </w:r>
          </w:p>
        </w:tc>
      </w:tr>
      <w:tr>
        <w:trPr>
          <w:cantSplit/>
        </w:trPr>
        <w:tc>
          <w:tcPr>
            <w:tcW w:type="dxa" w:w="936"/>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P-07</w:t>
            </w:r>
          </w:p>
        </w:tc>
        <w:tc>
          <w:tcPr>
            <w:tcW w:type="dxa" w:w="324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功能属于 Study 工作属于 User</w:t>
            </w:r>
          </w:p>
        </w:tc>
        <w:tc>
          <w:tcPr>
            <w:tcW w:type="dxa" w:w="576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Study 保存完整业务结构；My Research 聚合用户跨课题的实际工作</w:t>
            </w:r>
          </w:p>
        </w:tc>
      </w:tr>
      <w:tr>
        <w:trPr>
          <w:cantSplit/>
        </w:trPr>
        <w:tc>
          <w:tcPr>
            <w:tcW w:type="dxa" w:w="936"/>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P-08</w:t>
            </w:r>
          </w:p>
        </w:tc>
        <w:tc>
          <w:tcPr>
            <w:tcW w:type="dxa" w:w="324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Discoverability 不等于 Accessibility</w:t>
            </w:r>
          </w:p>
        </w:tc>
        <w:tc>
          <w:tcPr>
            <w:tcW w:type="dxa" w:w="576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Hub 可展示数据集存在，但不代表用户获得数据访问权</w:t>
            </w:r>
          </w:p>
        </w:tc>
      </w:tr>
      <w:tr>
        <w:trPr>
          <w:cantSplit/>
        </w:trPr>
        <w:tc>
          <w:tcPr>
            <w:tcW w:type="dxa" w:w="936"/>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P-09</w:t>
            </w:r>
          </w:p>
        </w:tc>
        <w:tc>
          <w:tcPr>
            <w:tcW w:type="dxa" w:w="324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Knowledge 是工作空间 Asset 是价值对象</w:t>
            </w:r>
          </w:p>
        </w:tc>
        <w:tc>
          <w:tcPr>
            <w:tcW w:type="dxa" w:w="576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知识用于阅读、组织和使用；资产经过整理、责任确认与治理，可长期保存和复用</w:t>
            </w:r>
          </w:p>
        </w:tc>
      </w:tr>
      <w:tr>
        <w:trPr>
          <w:cantSplit/>
        </w:trPr>
        <w:tc>
          <w:tcPr>
            <w:tcW w:type="dxa" w:w="936"/>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P-10</w:t>
            </w:r>
          </w:p>
        </w:tc>
        <w:tc>
          <w:tcPr>
            <w:tcW w:type="dxa" w:w="324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保护已验证能力</w:t>
            </w:r>
          </w:p>
        </w:tc>
        <w:tc>
          <w:tcPr>
            <w:tcW w:type="dxa" w:w="576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新产品模型不得为了概念完整性破坏现有执行效率和数据可信链条</w:t>
            </w:r>
          </w:p>
        </w:tc>
      </w:tr>
    </w:tbl>
    <w:p>
      <w:pPr>
        <w:keepNext w:val="0"/>
        <w:widowControl/>
        <w:spacing w:before="0" w:after="120" w:line="240" w:lineRule="auto"/>
      </w:pPr>
    </w:p>
    <w:p>
      <w:pPr>
        <w:pStyle w:val="Heading2"/>
        <w:keepNext/>
        <w:spacing w:line="276" w:lineRule="auto"/>
      </w:pPr>
      <w:r>
        <w:rPr>
          <w:rFonts w:ascii="Arial Unicode MS" w:hAnsi="Arial Unicode MS" w:eastAsia="Arial Unicode MS"/>
          <w:b/>
          <w:i w:val="0"/>
          <w:color w:val="000000"/>
          <w:sz w:val="26"/>
        </w:rPr>
        <w:t>3 4 主要用户与核心任务</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blHeader w:val="true"/>
        </w:trPr>
        <w:tc>
          <w:tcPr>
            <w:tcW w:type="dxa" w:w="2015"/>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用户群</w:t>
            </w:r>
          </w:p>
        </w:tc>
        <w:tc>
          <w:tcPr>
            <w:tcW w:type="dxa" w:w="3816"/>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核心任务</w:t>
            </w:r>
          </w:p>
        </w:tc>
        <w:tc>
          <w:tcPr>
            <w:tcW w:type="dxa" w:w="4248"/>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主要产品上下文</w:t>
            </w:r>
          </w:p>
        </w:tc>
      </w:tr>
      <w:tr>
        <w:trPr>
          <w:cantSplit/>
        </w:trPr>
        <w:tc>
          <w:tcPr>
            <w:tcW w:type="dxa" w:w="2015"/>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PI 与教授</w:t>
            </w:r>
          </w:p>
        </w:tc>
        <w:tc>
          <w:tcPr>
            <w:tcW w:type="dxa" w:w="381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Monitor → Understand → Decide → Explore</w:t>
            </w:r>
          </w:p>
        </w:tc>
        <w:tc>
          <w:tcPr>
            <w:tcW w:type="dxa" w:w="424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My Research、Research Hub、Study Overview、Analysis、Output、Asset</w:t>
            </w:r>
          </w:p>
        </w:tc>
      </w:tr>
      <w:tr>
        <w:trPr>
          <w:cantSplit/>
        </w:trPr>
        <w:tc>
          <w:tcPr>
            <w:tcW w:type="dxa" w:w="2015"/>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研究员与临床科研人员</w:t>
            </w:r>
          </w:p>
        </w:tc>
        <w:tc>
          <w:tcPr>
            <w:tcW w:type="dxa" w:w="3816"/>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Execute → Confirm → Resolve</w:t>
            </w:r>
          </w:p>
        </w:tc>
        <w:tc>
          <w:tcPr>
            <w:tcW w:type="dxa" w:w="424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My Research Today、Subject、Visit、Data Capture、Data Quality</w:t>
            </w:r>
          </w:p>
        </w:tc>
      </w:tr>
      <w:tr>
        <w:trPr>
          <w:cantSplit/>
        </w:trPr>
        <w:tc>
          <w:tcPr>
            <w:tcW w:type="dxa" w:w="2015"/>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机构与治理角色</w:t>
            </w:r>
          </w:p>
        </w:tc>
        <w:tc>
          <w:tcPr>
            <w:tcW w:type="dxa" w:w="381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Authorize → Govern → Audit</w:t>
            </w:r>
          </w:p>
        </w:tc>
        <w:tc>
          <w:tcPr>
            <w:tcW w:type="dxa" w:w="424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管理与治理、Study Settings、Asset Governance</w:t>
            </w:r>
          </w:p>
        </w:tc>
      </w:tr>
      <w:tr>
        <w:trPr>
          <w:cantSplit/>
        </w:trPr>
        <w:tc>
          <w:tcPr>
            <w:tcW w:type="dxa" w:w="2015"/>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领域成员与协作者</w:t>
            </w:r>
          </w:p>
        </w:tc>
        <w:tc>
          <w:tcPr>
            <w:tcW w:type="dxa" w:w="3816"/>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Discover → Learn → Collaborate → Reuse</w:t>
            </w:r>
          </w:p>
        </w:tc>
        <w:tc>
          <w:tcPr>
            <w:tcW w:type="dxa" w:w="424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Research Hub、Radar、Studies、Assets</w:t>
            </w:r>
          </w:p>
        </w:tc>
      </w:tr>
    </w:tbl>
    <w:p>
      <w:pPr>
        <w:keepNext w:val="0"/>
        <w:widowControl/>
        <w:spacing w:before="0" w:after="120" w:line="240" w:lineRule="auto"/>
      </w:pPr>
    </w:p>
    <w:p>
      <w:pPr>
        <w:pStyle w:val="Heading1"/>
        <w:keepNext/>
        <w:pageBreakBefore/>
        <w:spacing w:line="276" w:lineRule="auto" w:before="160" w:after="160"/>
      </w:pPr>
      <w:r>
        <w:rPr>
          <w:rFonts w:ascii="Arial Unicode MS" w:hAnsi="Arial Unicode MS" w:eastAsia="Arial Unicode MS"/>
          <w:b/>
          <w:i w:val="0"/>
          <w:color w:val="000000"/>
          <w:sz w:val="33"/>
        </w:rPr>
        <w:t>4 产品模型</w:t>
      </w:r>
    </w:p>
    <w:p>
      <w:pPr>
        <w:pStyle w:val="Heading2"/>
        <w:keepNext/>
        <w:spacing w:line="276" w:lineRule="auto"/>
      </w:pPr>
      <w:r>
        <w:rPr>
          <w:rFonts w:ascii="Arial Unicode MS" w:hAnsi="Arial Unicode MS" w:eastAsia="Arial Unicode MS"/>
          <w:b/>
          <w:i w:val="0"/>
          <w:color w:val="000000"/>
          <w:sz w:val="26"/>
        </w:rPr>
        <w:t>4 1 四层产品结构</w:t>
      </w:r>
    </w:p>
    <w:p>
      <w:pPr>
        <w:keepNext w:val="0"/>
        <w:widowControl/>
        <w:spacing w:before="100" w:after="80" w:line="317" w:lineRule="auto"/>
        <w:jc w:val="center"/>
      </w:pPr>
      <w:r>
        <w:rPr>
          <w:rFonts w:ascii="Arial Unicode MS" w:hAnsi="Arial Unicode MS" w:eastAsia="Arial Unicode MS"/>
          <w:b/>
          <w:i w:val="0"/>
          <w:color w:val="17365D"/>
          <w:sz w:val="21"/>
        </w:rPr>
        <w:t>Qiyan Platform → My Research ↔ Research Hub ↔ Study Workspace</w:t>
      </w:r>
    </w:p>
    <w:p>
      <w:pPr>
        <w:keepNext w:val="0"/>
        <w:widowControl/>
        <w:spacing w:before="0" w:after="140" w:line="317" w:lineRule="auto"/>
      </w:pPr>
      <w:r>
        <w:rPr>
          <w:rFonts w:ascii="Arial Unicode MS" w:hAnsi="Arial Unicode MS" w:eastAsia="Arial Unicode MS"/>
          <w:b w:val="0"/>
          <w:i w:val="0"/>
          <w:color w:val="000000"/>
          <w:sz w:val="22"/>
        </w:rPr>
        <w:t>My Research、Research Hub 和 Study 不是严格的父子页面。研究员可从 My Research 直接进入今天的访视；教授可从 Research Brief 进入 Hub；也可以从某个异常直接进入 Study。AI Context 与当前工作上下文同步变化。</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val="true"/>
          <w:tblHeader w:val="true"/>
        </w:trPr>
        <w:tc>
          <w:tcPr>
            <w:tcW w:type="dxa" w:w="1800"/>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层级</w:t>
            </w:r>
          </w:p>
        </w:tc>
        <w:tc>
          <w:tcPr>
            <w:tcW w:type="dxa" w:w="2736"/>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回答的问题</w:t>
            </w:r>
          </w:p>
        </w:tc>
        <w:tc>
          <w:tcPr>
            <w:tcW w:type="dxa" w:w="3528"/>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核心内容</w:t>
            </w:r>
          </w:p>
        </w:tc>
        <w:tc>
          <w:tcPr>
            <w:tcW w:type="dxa" w:w="1872"/>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明确边界</w:t>
            </w:r>
          </w:p>
        </w:tc>
      </w:tr>
      <w:tr>
        <w:trPr>
          <w:cantSplit/>
        </w:trPr>
        <w:tc>
          <w:tcPr>
            <w:tcW w:type="dxa" w:w="180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Qiyan Platform</w:t>
            </w:r>
          </w:p>
        </w:tc>
        <w:tc>
          <w:tcPr>
            <w:tcW w:type="dxa" w:w="273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平台如何提供统一科研基础能力</w:t>
            </w:r>
          </w:p>
        </w:tc>
        <w:tc>
          <w:tcPr>
            <w:tcW w:type="dxa" w:w="352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身份、机构、权限、数据治理、审计、通用 Study Engine、AI 基础设施</w:t>
            </w:r>
          </w:p>
        </w:tc>
        <w:tc>
          <w:tcPr>
            <w:tcW w:type="dxa" w:w="1872"/>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不承载某一个领域的全部专业内容</w:t>
            </w:r>
          </w:p>
        </w:tc>
      </w:tr>
      <w:tr>
        <w:trPr>
          <w:cantSplit/>
        </w:trPr>
        <w:tc>
          <w:tcPr>
            <w:tcW w:type="dxa" w:w="180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My Research</w:t>
            </w:r>
          </w:p>
        </w:tc>
        <w:tc>
          <w:tcPr>
            <w:tcW w:type="dxa" w:w="2736"/>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我现在应该关注和处理什么</w:t>
            </w:r>
          </w:p>
        </w:tc>
        <w:tc>
          <w:tcPr>
            <w:tcW w:type="dxa" w:w="352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Research Inbox、Portfolio、Research Brief、Today’s Work、AI</w:t>
            </w:r>
          </w:p>
        </w:tc>
        <w:tc>
          <w:tcPr>
            <w:tcW w:type="dxa" w:w="1872"/>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不是另一个功能仓库，不复制 Study 全量导航</w:t>
            </w:r>
          </w:p>
        </w:tc>
      </w:tr>
      <w:tr>
        <w:trPr>
          <w:cantSplit/>
        </w:trPr>
        <w:tc>
          <w:tcPr>
            <w:tcW w:type="dxa" w:w="180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Research Hub</w:t>
            </w:r>
          </w:p>
        </w:tc>
        <w:tc>
          <w:tcPr>
            <w:tcW w:type="dxa" w:w="273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这个领域发生了什么，什么值得继续研究</w:t>
            </w:r>
          </w:p>
        </w:tc>
        <w:tc>
          <w:tcPr>
            <w:tcW w:type="dxa" w:w="352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概览、Radar、Studies、Assets、AI；Network 后置</w:t>
            </w:r>
          </w:p>
        </w:tc>
        <w:tc>
          <w:tcPr>
            <w:tcW w:type="dxa" w:w="1872"/>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不拥有所有 Study 的管理权，不自动汇聚私有数据</w:t>
            </w:r>
          </w:p>
        </w:tc>
      </w:tr>
      <w:tr>
        <w:trPr>
          <w:cantSplit/>
        </w:trPr>
        <w:tc>
          <w:tcPr>
            <w:tcW w:type="dxa" w:w="180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Study Workspace</w:t>
            </w:r>
          </w:p>
        </w:tc>
        <w:tc>
          <w:tcPr>
            <w:tcW w:type="dxa" w:w="2736"/>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如何把一个研究问题变成可信研究结果</w:t>
            </w:r>
          </w:p>
        </w:tc>
        <w:tc>
          <w:tcPr>
            <w:tcW w:type="dxa" w:w="352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设计、执行、数据与质量、分析、产出、资产、团队与设置</w:t>
            </w:r>
          </w:p>
        </w:tc>
        <w:tc>
          <w:tcPr>
            <w:tcW w:type="dxa" w:w="1872"/>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保持课题自治和精细权限</w:t>
            </w:r>
          </w:p>
        </w:tc>
      </w:tr>
    </w:tbl>
    <w:p>
      <w:pPr>
        <w:keepNext w:val="0"/>
        <w:widowControl/>
        <w:spacing w:before="0" w:after="120" w:line="240" w:lineRule="auto"/>
      </w:pPr>
    </w:p>
    <w:p>
      <w:pPr>
        <w:pStyle w:val="Heading2"/>
        <w:keepNext/>
        <w:spacing w:line="276" w:lineRule="auto"/>
      </w:pPr>
      <w:r>
        <w:rPr>
          <w:rFonts w:ascii="Arial Unicode MS" w:hAnsi="Arial Unicode MS" w:eastAsia="Arial Unicode MS"/>
          <w:b/>
          <w:i w:val="0"/>
          <w:color w:val="000000"/>
          <w:sz w:val="26"/>
        </w:rPr>
        <w:t>4 2 建议的一级导航模型</w:t>
      </w:r>
    </w:p>
    <w:p>
      <w:pPr>
        <w:keepNext w:val="0"/>
        <w:widowControl/>
        <w:spacing w:before="100" w:after="80" w:line="317" w:lineRule="auto"/>
        <w:jc w:val="center"/>
      </w:pPr>
      <w:r>
        <w:rPr>
          <w:rFonts w:ascii="Arial Unicode MS" w:hAnsi="Arial Unicode MS" w:eastAsia="Arial Unicode MS"/>
          <w:b/>
          <w:i w:val="0"/>
          <w:color w:val="17365D"/>
          <w:sz w:val="21"/>
        </w:rPr>
        <w:t>我的科研   领域研究   岐研 AI   管理与治理</w:t>
      </w:r>
    </w:p>
    <w:p>
      <w:pPr>
        <w:keepNext w:val="0"/>
        <w:widowControl/>
        <w:spacing w:before="0" w:after="140" w:line="317" w:lineRule="auto"/>
      </w:pPr>
      <w:r>
        <w:rPr>
          <w:rFonts w:ascii="Arial Unicode MS" w:hAnsi="Arial Unicode MS" w:eastAsia="Arial Unicode MS"/>
          <w:b w:val="0"/>
          <w:i w:val="0"/>
          <w:color w:val="000000"/>
          <w:sz w:val="22"/>
        </w:rPr>
        <w:t>管理与治理仅对有权限的用户开放，并承载机构、成员、权限、标准配置、AI 配置、数据治理、审计和费用等后台能力。科研工作成为前台主体验。</w:t>
      </w:r>
    </w:p>
    <w:p>
      <w:pPr>
        <w:keepNext w:val="0"/>
        <w:widowControl/>
        <w:spacing w:before="0" w:after="140" w:line="317" w:lineRule="auto"/>
      </w:pPr>
      <w:r>
        <w:rPr>
          <w:rFonts w:ascii="Arial Unicode MS" w:hAnsi="Arial Unicode MS" w:eastAsia="Arial Unicode MS"/>
          <w:b/>
          <w:i w:val="0"/>
          <w:color w:val="9A6700"/>
          <w:sz w:val="19"/>
        </w:rPr>
        <w:t xml:space="preserve">HYPOTHESIS HYP-005  </w:t>
      </w:r>
      <w:r>
        <w:rPr>
          <w:rFonts w:ascii="Arial Unicode MS" w:hAnsi="Arial Unicode MS" w:eastAsia="Arial Unicode MS"/>
          <w:b w:val="0"/>
          <w:i w:val="0"/>
          <w:color w:val="000000"/>
          <w:sz w:val="21"/>
        </w:rPr>
        <w:t>Research Hub v0.1 的用户可见入口为概览、领域动态、研究、科研资产、AI。Research Network 在数据和关系足够丰富前不进入 MVP 核心导航。</w:t>
      </w:r>
    </w:p>
    <w:p>
      <w:pPr>
        <w:pStyle w:val="Heading2"/>
        <w:keepNext/>
        <w:spacing w:line="276" w:lineRule="auto"/>
      </w:pPr>
      <w:r>
        <w:rPr>
          <w:rFonts w:ascii="Arial Unicode MS" w:hAnsi="Arial Unicode MS" w:eastAsia="Arial Unicode MS"/>
          <w:b/>
          <w:i w:val="0"/>
          <w:color w:val="000000"/>
          <w:sz w:val="26"/>
        </w:rPr>
        <w:t>4 3 上下文与面包屑</w:t>
      </w:r>
    </w:p>
    <w:p>
      <w:pPr>
        <w:pStyle w:val="ListBullet"/>
        <w:keepNext w:val="0"/>
        <w:widowControl/>
        <w:spacing w:before="0" w:after="100" w:line="298" w:lineRule="auto"/>
        <w:ind w:left="360" w:hanging="230"/>
      </w:pPr>
      <w:r>
        <w:rPr>
          <w:rFonts w:ascii="Arial Unicode MS" w:hAnsi="Arial Unicode MS" w:eastAsia="Arial Unicode MS"/>
          <w:b w:val="0"/>
          <w:i w:val="0"/>
          <w:color w:val="000000"/>
          <w:sz w:val="21"/>
        </w:rPr>
        <w:t>My Research：聚合本人跨 Hub、跨 Study 的工作与注意力。</w:t>
      </w:r>
    </w:p>
    <w:p>
      <w:pPr>
        <w:pStyle w:val="ListBullet"/>
        <w:keepNext w:val="0"/>
        <w:widowControl/>
        <w:spacing w:before="0" w:after="100" w:line="298" w:lineRule="auto"/>
        <w:ind w:left="360" w:hanging="230"/>
      </w:pPr>
      <w:r>
        <w:rPr>
          <w:rFonts w:ascii="Arial Unicode MS" w:hAnsi="Arial Unicode MS" w:eastAsia="Arial Unicode MS"/>
          <w:b w:val="0"/>
          <w:i w:val="0"/>
          <w:color w:val="000000"/>
          <w:sz w:val="21"/>
        </w:rPr>
        <w:t>Hub Context：例如岐研／领域研究中心／针灸治疗情志病。</w:t>
      </w:r>
    </w:p>
    <w:p>
      <w:pPr>
        <w:pStyle w:val="ListBullet"/>
        <w:keepNext w:val="0"/>
        <w:widowControl/>
        <w:spacing w:before="0" w:after="100" w:line="298" w:lineRule="auto"/>
        <w:ind w:left="360" w:hanging="230"/>
      </w:pPr>
      <w:r>
        <w:rPr>
          <w:rFonts w:ascii="Arial Unicode MS" w:hAnsi="Arial Unicode MS" w:eastAsia="Arial Unicode MS"/>
          <w:b w:val="0"/>
          <w:i w:val="0"/>
          <w:color w:val="000000"/>
          <w:sz w:val="21"/>
        </w:rPr>
        <w:t>Study Context：例如岐研／针灸治疗情志病／针刺治疗抑郁症研究。</w:t>
      </w:r>
    </w:p>
    <w:p>
      <w:pPr>
        <w:pStyle w:val="ListBullet"/>
        <w:keepNext w:val="0"/>
        <w:widowControl/>
        <w:spacing w:before="0" w:after="100" w:line="298" w:lineRule="auto"/>
        <w:ind w:left="360" w:hanging="230"/>
      </w:pPr>
      <w:r>
        <w:rPr>
          <w:rFonts w:ascii="Arial Unicode MS" w:hAnsi="Arial Unicode MS" w:eastAsia="Arial Unicode MS"/>
          <w:b w:val="0"/>
          <w:i w:val="0"/>
          <w:color w:val="000000"/>
          <w:sz w:val="21"/>
        </w:rPr>
        <w:t>Subject 与 Visit Context：在具体受试者或访视工作区中缩小数据和 AI 的作用范围。</w:t>
      </w:r>
    </w:p>
    <w:p>
      <w:pPr>
        <w:pStyle w:val="ListBullet"/>
        <w:keepNext w:val="0"/>
        <w:widowControl/>
        <w:spacing w:before="0" w:after="100" w:line="298" w:lineRule="auto"/>
        <w:ind w:left="360" w:hanging="230"/>
      </w:pPr>
      <w:r>
        <w:rPr>
          <w:rFonts w:ascii="Arial Unicode MS" w:hAnsi="Arial Unicode MS" w:eastAsia="Arial Unicode MS"/>
          <w:b w:val="0"/>
          <w:i w:val="0"/>
          <w:color w:val="000000"/>
          <w:sz w:val="21"/>
        </w:rPr>
        <w:t>Artifact Context：用户查看某篇文献、报告或分析时，AI 可结合当前对象和 Study Context 回答。</w:t>
      </w:r>
    </w:p>
    <w:p>
      <w:pPr>
        <w:pStyle w:val="Heading1"/>
        <w:keepNext/>
        <w:pageBreakBefore/>
        <w:spacing w:line="276" w:lineRule="auto" w:before="160" w:after="160"/>
      </w:pPr>
      <w:r>
        <w:rPr>
          <w:rFonts w:ascii="Arial Unicode MS" w:hAnsi="Arial Unicode MS" w:eastAsia="Arial Unicode MS"/>
          <w:b/>
          <w:i w:val="0"/>
          <w:color w:val="000000"/>
          <w:sz w:val="33"/>
        </w:rPr>
        <w:t>5 研究生命周期</w:t>
      </w:r>
    </w:p>
    <w:p>
      <w:pPr>
        <w:keepNext w:val="0"/>
        <w:widowControl/>
        <w:spacing w:before="0" w:after="140" w:line="317" w:lineRule="auto"/>
      </w:pPr>
      <w:r>
        <w:rPr>
          <w:rFonts w:ascii="Arial Unicode MS" w:hAnsi="Arial Unicode MS" w:eastAsia="Arial Unicode MS"/>
          <w:b w:val="0"/>
          <w:i w:val="0"/>
          <w:color w:val="000000"/>
          <w:sz w:val="22"/>
        </w:rPr>
        <w:t>岐研以 Research Lifecycle 组织产品能力，使功能、数据、AI 和科研产出围绕真实研究过程连接，而不是平铺为菜单。</w:t>
      </w:r>
    </w:p>
    <w:p>
      <w:pPr>
        <w:keepNext w:val="0"/>
        <w:widowControl/>
        <w:spacing w:before="100" w:after="80" w:line="317" w:lineRule="auto"/>
        <w:jc w:val="center"/>
      </w:pPr>
      <w:r>
        <w:rPr>
          <w:rFonts w:ascii="Arial Unicode MS" w:hAnsi="Arial Unicode MS" w:eastAsia="Arial Unicode MS"/>
          <w:b/>
          <w:i w:val="0"/>
          <w:color w:val="17365D"/>
          <w:sz w:val="21"/>
        </w:rPr>
        <w:t>Discover → Ideate → Design → Launch → Execute → Data and Quality → Analyze → Produce → Accumulate → New Discovery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val="true"/>
          <w:tblHeader w:val="true"/>
        </w:trPr>
        <w:tc>
          <w:tcPr>
            <w:tcW w:type="dxa" w:w="1440"/>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阶段</w:t>
            </w:r>
          </w:p>
        </w:tc>
        <w:tc>
          <w:tcPr>
            <w:tcW w:type="dxa" w:w="2232"/>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研究任务</w:t>
            </w:r>
          </w:p>
        </w:tc>
        <w:tc>
          <w:tcPr>
            <w:tcW w:type="dxa" w:w="3671"/>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产品对象与能力</w:t>
            </w:r>
          </w:p>
        </w:tc>
        <w:tc>
          <w:tcPr>
            <w:tcW w:type="dxa" w:w="2736"/>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可信约束</w:t>
            </w:r>
          </w:p>
        </w:tc>
      </w:tr>
      <w:tr>
        <w:trPr>
          <w:cantSplit/>
        </w:trPr>
        <w:tc>
          <w:tcPr>
            <w:tcW w:type="dxa" w:w="144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01 Discover</w:t>
            </w:r>
          </w:p>
        </w:tc>
        <w:tc>
          <w:tcPr>
            <w:tcW w:type="dxa" w:w="2232"/>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掌握领域变化和外部证据</w:t>
            </w:r>
          </w:p>
        </w:tc>
        <w:tc>
          <w:tcPr>
            <w:tcW w:type="dxa" w:w="3671"/>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Radar、Research Brief、Knowledge、Copilot</w:t>
            </w:r>
          </w:p>
        </w:tc>
        <w:tc>
          <w:tcPr>
            <w:tcW w:type="dxa" w:w="273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发现与当前领域、研究者或 Study 相关的变化</w:t>
            </w:r>
          </w:p>
        </w:tc>
      </w:tr>
      <w:tr>
        <w:trPr>
          <w:cantSplit/>
        </w:trPr>
        <w:tc>
          <w:tcPr>
            <w:tcW w:type="dxa" w:w="144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02 Ideate</w:t>
            </w:r>
          </w:p>
        </w:tc>
        <w:tc>
          <w:tcPr>
            <w:tcW w:type="dxa" w:w="2232"/>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判断什么值得进一步研究</w:t>
            </w:r>
          </w:p>
        </w:tc>
        <w:tc>
          <w:tcPr>
            <w:tcW w:type="dxa" w:w="3671"/>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Research Opportunity、Evidence、Research Question Draft</w:t>
            </w:r>
          </w:p>
        </w:tc>
        <w:tc>
          <w:tcPr>
            <w:tcW w:type="dxa" w:w="2736"/>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保留支持证据、相反证据和不确定性</w:t>
            </w:r>
          </w:p>
        </w:tc>
      </w:tr>
      <w:tr>
        <w:trPr>
          <w:cantSplit/>
        </w:trPr>
        <w:tc>
          <w:tcPr>
            <w:tcW w:type="dxa" w:w="144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03 Design</w:t>
            </w:r>
          </w:p>
        </w:tc>
        <w:tc>
          <w:tcPr>
            <w:tcW w:type="dxa" w:w="2232"/>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把问题转成可执行研究设计</w:t>
            </w:r>
          </w:p>
        </w:tc>
        <w:tc>
          <w:tcPr>
            <w:tcW w:type="dxa" w:w="3671"/>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Question、Hypothesis、Protocol、Outcome、Visit、eCRF、Analysis Plan</w:t>
            </w:r>
          </w:p>
        </w:tc>
        <w:tc>
          <w:tcPr>
            <w:tcW w:type="dxa" w:w="273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AI 起草，研究团队审阅</w:t>
            </w:r>
          </w:p>
        </w:tc>
      </w:tr>
      <w:tr>
        <w:trPr>
          <w:cantSplit/>
        </w:trPr>
        <w:tc>
          <w:tcPr>
            <w:tcW w:type="dxa" w:w="144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04 Launch</w:t>
            </w:r>
          </w:p>
        </w:tc>
        <w:tc>
          <w:tcPr>
            <w:tcW w:type="dxa" w:w="2232"/>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完成团队、配置与启动检查</w:t>
            </w:r>
          </w:p>
        </w:tc>
        <w:tc>
          <w:tcPr>
            <w:tcW w:type="dxa" w:w="3671"/>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成员权限、方案发布、启动清单</w:t>
            </w:r>
          </w:p>
        </w:tc>
        <w:tc>
          <w:tcPr>
            <w:tcW w:type="dxa" w:w="2736"/>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复用现有启动能力</w:t>
            </w:r>
          </w:p>
        </w:tc>
      </w:tr>
      <w:tr>
        <w:trPr>
          <w:cantSplit/>
        </w:trPr>
        <w:tc>
          <w:tcPr>
            <w:tcW w:type="dxa" w:w="144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05 Execute</w:t>
            </w:r>
          </w:p>
        </w:tc>
        <w:tc>
          <w:tcPr>
            <w:tcW w:type="dxa" w:w="2232"/>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完成招募、入组、访视、采集和随访</w:t>
            </w:r>
          </w:p>
        </w:tc>
        <w:tc>
          <w:tcPr>
            <w:tcW w:type="dxa" w:w="3671"/>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Subject、Visit、eCRF、Questionnaire、Task</w:t>
            </w:r>
          </w:p>
        </w:tc>
        <w:tc>
          <w:tcPr>
            <w:tcW w:type="dxa" w:w="273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保护现有执行效率</w:t>
            </w:r>
          </w:p>
        </w:tc>
      </w:tr>
      <w:tr>
        <w:trPr>
          <w:cantSplit/>
        </w:trPr>
        <w:tc>
          <w:tcPr>
            <w:tcW w:type="dxa" w:w="144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06 Data and Quality</w:t>
            </w:r>
          </w:p>
        </w:tc>
        <w:tc>
          <w:tcPr>
            <w:tcW w:type="dxa" w:w="2232"/>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让研究数据完整、一致、可追溯</w:t>
            </w:r>
          </w:p>
        </w:tc>
        <w:tc>
          <w:tcPr>
            <w:tcW w:type="dxa" w:w="3671"/>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Raw/Standard Data、Query、Deviation、Review、Audit</w:t>
            </w:r>
          </w:p>
        </w:tc>
        <w:tc>
          <w:tcPr>
            <w:tcW w:type="dxa" w:w="2736"/>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AI 解析不等于正式数据</w:t>
            </w:r>
          </w:p>
        </w:tc>
      </w:tr>
      <w:tr>
        <w:trPr>
          <w:cantSplit/>
        </w:trPr>
        <w:tc>
          <w:tcPr>
            <w:tcW w:type="dxa" w:w="144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07 Analyze</w:t>
            </w:r>
          </w:p>
        </w:tc>
        <w:tc>
          <w:tcPr>
            <w:tcW w:type="dxa" w:w="2232"/>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理解研究数据和结果</w:t>
            </w:r>
          </w:p>
        </w:tc>
        <w:tc>
          <w:tcPr>
            <w:tcW w:type="dxa" w:w="3671"/>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Dataset、Analysis Artifact、Knowledge、Evidence</w:t>
            </w:r>
          </w:p>
        </w:tc>
        <w:tc>
          <w:tcPr>
            <w:tcW w:type="dxa" w:w="273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数据版本和方法必须可追溯</w:t>
            </w:r>
          </w:p>
        </w:tc>
      </w:tr>
      <w:tr>
        <w:trPr>
          <w:cantSplit/>
        </w:trPr>
        <w:tc>
          <w:tcPr>
            <w:tcW w:type="dxa" w:w="144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08 Produce</w:t>
            </w:r>
          </w:p>
        </w:tc>
        <w:tc>
          <w:tcPr>
            <w:tcW w:type="dxa" w:w="2232"/>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形成阶段报告、汇报和研究成果</w:t>
            </w:r>
          </w:p>
        </w:tc>
        <w:tc>
          <w:tcPr>
            <w:tcW w:type="dxa" w:w="3671"/>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Research Report、PPT、Paper Workspace</w:t>
            </w:r>
          </w:p>
        </w:tc>
        <w:tc>
          <w:tcPr>
            <w:tcW w:type="dxa" w:w="2736"/>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优先使用已审核的 Study Context</w:t>
            </w:r>
          </w:p>
        </w:tc>
      </w:tr>
      <w:tr>
        <w:trPr>
          <w:cantSplit/>
        </w:trPr>
        <w:tc>
          <w:tcPr>
            <w:tcW w:type="dxa" w:w="144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09 Accumulate</w:t>
            </w:r>
          </w:p>
        </w:tc>
        <w:tc>
          <w:tcPr>
            <w:tcW w:type="dxa" w:w="2232"/>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识别和治理可复用科研资产</w:t>
            </w:r>
          </w:p>
        </w:tc>
        <w:tc>
          <w:tcPr>
            <w:tcW w:type="dxa" w:w="3671"/>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Candidate Asset、Review、Share、Lineage</w:t>
            </w:r>
          </w:p>
        </w:tc>
        <w:tc>
          <w:tcPr>
            <w:tcW w:type="dxa" w:w="273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研究完成不等于价值沉淀完成</w:t>
            </w:r>
          </w:p>
        </w:tc>
      </w:tr>
    </w:tbl>
    <w:p>
      <w:pPr>
        <w:keepNext w:val="0"/>
        <w:widowControl/>
        <w:spacing w:before="0" w:after="120" w:line="240" w:lineRule="auto"/>
      </w:pPr>
    </w:p>
    <w:p>
      <w:pPr>
        <w:pStyle w:val="Heading2"/>
        <w:keepNext/>
        <w:spacing w:line="276" w:lineRule="auto"/>
      </w:pPr>
      <w:r>
        <w:rPr>
          <w:rFonts w:ascii="Arial Unicode MS" w:hAnsi="Arial Unicode MS" w:eastAsia="Arial Unicode MS"/>
          <w:b/>
          <w:i w:val="0"/>
          <w:color w:val="000000"/>
          <w:sz w:val="26"/>
        </w:rPr>
        <w:t>5 1 生命周期不是强制线性流程</w:t>
      </w:r>
    </w:p>
    <w:p>
      <w:pPr>
        <w:keepNext w:val="0"/>
        <w:widowControl/>
        <w:spacing w:before="0" w:after="140" w:line="317" w:lineRule="auto"/>
      </w:pPr>
      <w:r>
        <w:rPr>
          <w:rFonts w:ascii="Arial Unicode MS" w:hAnsi="Arial Unicode MS" w:eastAsia="Arial Unicode MS"/>
          <w:b w:val="0"/>
          <w:i w:val="0"/>
          <w:color w:val="000000"/>
          <w:sz w:val="22"/>
        </w:rPr>
        <w:t>研究者可从三个入口进入。探索型从 Radar 开始；已有方案型从 Protocol 解析开始；已有 Study 型直接进入执行、分析、产出和资产。产品不得为了展示 AI 而强迫所有用户走完同一条路径。</w:t>
      </w:r>
    </w:p>
    <w:p>
      <w:pPr>
        <w:pStyle w:val="Heading1"/>
        <w:keepNext/>
        <w:pageBreakBefore/>
        <w:spacing w:line="276" w:lineRule="auto" w:before="160" w:after="160"/>
      </w:pPr>
      <w:r>
        <w:rPr>
          <w:rFonts w:ascii="Arial Unicode MS" w:hAnsi="Arial Unicode MS" w:eastAsia="Arial Unicode MS"/>
          <w:b/>
          <w:i w:val="0"/>
          <w:color w:val="000000"/>
          <w:sz w:val="33"/>
        </w:rPr>
        <w:t>6 核心领域模型</w:t>
      </w:r>
    </w:p>
    <w:p>
      <w:pPr>
        <w:keepNext w:val="0"/>
        <w:widowControl/>
        <w:spacing w:before="0" w:after="140" w:line="317" w:lineRule="auto"/>
      </w:pPr>
      <w:r>
        <w:rPr>
          <w:rFonts w:ascii="Arial Unicode MS" w:hAnsi="Arial Unicode MS" w:eastAsia="Arial Unicode MS"/>
          <w:b w:val="0"/>
          <w:i w:val="0"/>
          <w:color w:val="000000"/>
          <w:sz w:val="22"/>
        </w:rPr>
        <w:t>领域模型以科研价值对象为中心。对象的状态、来源、权限和关系比页面名称更稳定，因此后续 UX、接口和数据模型应以本节为共同语言。</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blHeader w:val="true"/>
        </w:trPr>
        <w:tc>
          <w:tcPr>
            <w:tcW w:type="dxa" w:w="1944"/>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对象</w:t>
            </w:r>
          </w:p>
        </w:tc>
        <w:tc>
          <w:tcPr>
            <w:tcW w:type="dxa" w:w="3024"/>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定义</w:t>
            </w:r>
          </w:p>
        </w:tc>
        <w:tc>
          <w:tcPr>
            <w:tcW w:type="dxa" w:w="5112"/>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关键边界</w:t>
            </w:r>
          </w:p>
        </w:tc>
      </w:tr>
      <w:tr>
        <w:trPr>
          <w:cantSplit/>
        </w:trPr>
        <w:tc>
          <w:tcPr>
            <w:tcW w:type="dxa" w:w="194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Researcher</w:t>
            </w:r>
          </w:p>
        </w:tc>
        <w:tc>
          <w:tcPr>
            <w:tcW w:type="dxa" w:w="302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科研人员的全局身份</w:t>
            </w:r>
          </w:p>
        </w:tc>
        <w:tc>
          <w:tcPr>
            <w:tcW w:type="dxa" w:w="5112"/>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通过 Membership 在 Institution、Hub、Study 中获得上下文角色</w:t>
            </w:r>
          </w:p>
        </w:tc>
      </w:tr>
      <w:tr>
        <w:trPr>
          <w:cantSplit/>
        </w:trPr>
        <w:tc>
          <w:tcPr>
            <w:tcW w:type="dxa" w:w="194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Institution</w:t>
            </w:r>
          </w:p>
        </w:tc>
        <w:tc>
          <w:tcPr>
            <w:tcW w:type="dxa" w:w="302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医疗或科研机构</w:t>
            </w:r>
          </w:p>
        </w:tc>
        <w:tc>
          <w:tcPr>
            <w:tcW w:type="dxa" w:w="5112"/>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承担成员、资源与部分数据治理责任；具体权利待项目政策确认</w:t>
            </w:r>
          </w:p>
        </w:tc>
      </w:tr>
      <w:tr>
        <w:trPr>
          <w:cantSplit/>
        </w:trPr>
        <w:tc>
          <w:tcPr>
            <w:tcW w:type="dxa" w:w="194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Membership</w:t>
            </w:r>
          </w:p>
        </w:tc>
        <w:tc>
          <w:tcPr>
            <w:tcW w:type="dxa" w:w="302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用户与某个空间的关系</w:t>
            </w:r>
          </w:p>
        </w:tc>
        <w:tc>
          <w:tcPr>
            <w:tcW w:type="dxa" w:w="5112"/>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承载 Role、Scope、Permission，避免账号绑定单一角色</w:t>
            </w:r>
          </w:p>
        </w:tc>
      </w:tr>
      <w:tr>
        <w:trPr>
          <w:cantSplit/>
        </w:trPr>
        <w:tc>
          <w:tcPr>
            <w:tcW w:type="dxa" w:w="194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Research Hub</w:t>
            </w:r>
          </w:p>
        </w:tc>
        <w:tc>
          <w:tcPr>
            <w:tcW w:type="dxa" w:w="302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围绕一个领域形成的研究中心</w:t>
            </w:r>
          </w:p>
        </w:tc>
        <w:tc>
          <w:tcPr>
            <w:tcW w:type="dxa" w:w="5112"/>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聚合领域动态、Studies、Assets 和 AI Context，不拥有所有课题</w:t>
            </w:r>
          </w:p>
        </w:tc>
      </w:tr>
      <w:tr>
        <w:trPr>
          <w:cantSplit/>
        </w:trPr>
        <w:tc>
          <w:tcPr>
            <w:tcW w:type="dxa" w:w="194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Study</w:t>
            </w:r>
          </w:p>
        </w:tc>
        <w:tc>
          <w:tcPr>
            <w:tcW w:type="dxa" w:w="302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具体研究的执行与责任单元</w:t>
            </w:r>
          </w:p>
        </w:tc>
        <w:tc>
          <w:tcPr>
            <w:tcW w:type="dxa" w:w="5112"/>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自治管理 Protocol、Team、Subject、Data、Output 和 Asset</w:t>
            </w:r>
          </w:p>
        </w:tc>
      </w:tr>
      <w:tr>
        <w:trPr>
          <w:cantSplit/>
        </w:trPr>
        <w:tc>
          <w:tcPr>
            <w:tcW w:type="dxa" w:w="194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Protocol</w:t>
            </w:r>
          </w:p>
        </w:tc>
        <w:tc>
          <w:tcPr>
            <w:tcW w:type="dxa" w:w="302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Study 的正式研究设计及其版本</w:t>
            </w:r>
          </w:p>
        </w:tc>
        <w:tc>
          <w:tcPr>
            <w:tcW w:type="dxa" w:w="5112"/>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发布前可由 AI 起草，正式版本需要授权人员审核</w:t>
            </w:r>
          </w:p>
        </w:tc>
      </w:tr>
      <w:tr>
        <w:trPr>
          <w:cantSplit/>
        </w:trPr>
        <w:tc>
          <w:tcPr>
            <w:tcW w:type="dxa" w:w="194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Subject</w:t>
            </w:r>
          </w:p>
        </w:tc>
        <w:tc>
          <w:tcPr>
            <w:tcW w:type="dxa" w:w="302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研究中的受试者</w:t>
            </w:r>
          </w:p>
        </w:tc>
        <w:tc>
          <w:tcPr>
            <w:tcW w:type="dxa" w:w="5112"/>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进入 Visit、Data 和 Evidence 链条；权限受 Study Context 约束</w:t>
            </w:r>
          </w:p>
        </w:tc>
      </w:tr>
      <w:tr>
        <w:trPr>
          <w:cantSplit/>
        </w:trPr>
        <w:tc>
          <w:tcPr>
            <w:tcW w:type="dxa" w:w="194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Visit</w:t>
            </w:r>
          </w:p>
        </w:tc>
        <w:tc>
          <w:tcPr>
            <w:tcW w:type="dxa" w:w="302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按方案和时间窗口组织的一次研究接触</w:t>
            </w:r>
          </w:p>
        </w:tc>
        <w:tc>
          <w:tcPr>
            <w:tcW w:type="dxa" w:w="5112"/>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包含必需 Evidence、采集任务和完成条件</w:t>
            </w:r>
          </w:p>
        </w:tc>
      </w:tr>
      <w:tr>
        <w:trPr>
          <w:cantSplit/>
        </w:trPr>
        <w:tc>
          <w:tcPr>
            <w:tcW w:type="dxa" w:w="194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Research Data</w:t>
            </w:r>
          </w:p>
        </w:tc>
        <w:tc>
          <w:tcPr>
            <w:tcW w:type="dxa" w:w="302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原始、提议、确认和标准化研究数据</w:t>
            </w:r>
          </w:p>
        </w:tc>
        <w:tc>
          <w:tcPr>
            <w:tcW w:type="dxa" w:w="5112"/>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必须记录来源、版本、变更和人工确认</w:t>
            </w:r>
          </w:p>
        </w:tc>
      </w:tr>
      <w:tr>
        <w:trPr>
          <w:cantSplit/>
        </w:trPr>
        <w:tc>
          <w:tcPr>
            <w:tcW w:type="dxa" w:w="194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Dataset</w:t>
            </w:r>
          </w:p>
        </w:tc>
        <w:tc>
          <w:tcPr>
            <w:tcW w:type="dxa" w:w="302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可管理、可分析的数据版本</w:t>
            </w:r>
          </w:p>
        </w:tc>
        <w:tc>
          <w:tcPr>
            <w:tcW w:type="dxa" w:w="5112"/>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Study Dataset 与 Governed Dataset 采用不同治理强度</w:t>
            </w:r>
          </w:p>
        </w:tc>
      </w:tr>
      <w:tr>
        <w:trPr>
          <w:cantSplit/>
        </w:trPr>
        <w:tc>
          <w:tcPr>
            <w:tcW w:type="dxa" w:w="194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External Evidence</w:t>
            </w:r>
          </w:p>
        </w:tc>
        <w:tc>
          <w:tcPr>
            <w:tcW w:type="dxa" w:w="302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外部论文、试验、指南和研究来源</w:t>
            </w:r>
          </w:p>
        </w:tc>
        <w:tc>
          <w:tcPr>
            <w:tcW w:type="dxa" w:w="5112"/>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保留来源与版权边界，不自动成为岐研资产</w:t>
            </w:r>
          </w:p>
        </w:tc>
      </w:tr>
      <w:tr>
        <w:trPr>
          <w:cantSplit/>
        </w:trPr>
        <w:tc>
          <w:tcPr>
            <w:tcW w:type="dxa" w:w="194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Knowledge</w:t>
            </w:r>
          </w:p>
        </w:tc>
        <w:tc>
          <w:tcPr>
            <w:tcW w:type="dxa" w:w="302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用户在阅读和研究中组织的知识</w:t>
            </w:r>
          </w:p>
        </w:tc>
        <w:tc>
          <w:tcPr>
            <w:tcW w:type="dxa" w:w="5112"/>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属于工作空间；可在审阅后升级为 Research Knowledge Asset</w:t>
            </w:r>
          </w:p>
        </w:tc>
      </w:tr>
      <w:tr>
        <w:trPr>
          <w:cantSplit/>
        </w:trPr>
        <w:tc>
          <w:tcPr>
            <w:tcW w:type="dxa" w:w="194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Research Opportunity</w:t>
            </w:r>
          </w:p>
        </w:tc>
        <w:tc>
          <w:tcPr>
            <w:tcW w:type="dxa" w:w="302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可能值得研究的空白、矛盾、趋势或方向</w:t>
            </w:r>
          </w:p>
        </w:tc>
        <w:tc>
          <w:tcPr>
            <w:tcW w:type="dxa" w:w="5112"/>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连接 Evidence 与 Research Question，当前为待验证核心对象</w:t>
            </w:r>
          </w:p>
        </w:tc>
      </w:tr>
      <w:tr>
        <w:trPr>
          <w:cantSplit/>
          <w:cantSplit/>
        </w:trPr>
        <w:tc>
          <w:tcPr>
            <w:tcW w:type="dxa" w:w="1944"/>
            <w:tcMar>
              <w:top w:w="105" w:type="dxa"/>
              <w:start w:w="115" w:type="dxa"/>
              <w:bottom w:w="105" w:type="dxa"/>
              <w:end w:w="115" w:type="dxa"/>
            </w:tcMar>
            <w:vAlign w:val="center"/>
          </w:tcPr>
          <w:p>
            <w:pPr>
              <w:spacing w:after="0" w:before="0"/>
            </w:pPr>
            <w:r>
              <w:rPr>
                <w:rFonts w:ascii="Arial Unicode MS" w:hAnsi="Arial Unicode MS" w:eastAsia="Arial Unicode MS"/>
              </w:rPr>
            </w:r>
            <w:r>
              <w:rPr>
                <w:rFonts w:ascii="Arial Unicode MS" w:hAnsi="Arial Unicode MS" w:eastAsia="Arial Unicode MS"/>
                <w:b w:val="0"/>
                <w:color w:val="202124"/>
                <w:sz w:val="17"/>
              </w:rPr>
              <w:t>Research Question</w:t>
            </w:r>
          </w:p>
        </w:tc>
        <w:tc>
          <w:tcPr>
            <w:tcW w:type="dxa" w:w="3024"/>
            <w:tcMar>
              <w:top w:w="105" w:type="dxa"/>
              <w:start w:w="115" w:type="dxa"/>
              <w:bottom w:w="105" w:type="dxa"/>
              <w:end w:w="115" w:type="dxa"/>
            </w:tcMar>
            <w:vAlign w:val="center"/>
          </w:tcPr>
          <w:p>
            <w:pPr>
              <w:spacing w:after="0" w:before="0"/>
            </w:pPr>
            <w:r>
              <w:rPr>
                <w:rFonts w:ascii="Arial Unicode MS" w:hAnsi="Arial Unicode MS" w:eastAsia="Arial Unicode MS"/>
              </w:rPr>
            </w:r>
            <w:r>
              <w:rPr>
                <w:rFonts w:ascii="Arial Unicode MS" w:hAnsi="Arial Unicode MS" w:eastAsia="Arial Unicode MS"/>
                <w:b w:val="0"/>
                <w:color w:val="202124"/>
                <w:sz w:val="17"/>
              </w:rPr>
              <w:t>由研究者基于 Evidence 与 Opportunity 明确提出、可进入研究设计的问题</w:t>
            </w:r>
          </w:p>
        </w:tc>
        <w:tc>
          <w:tcPr>
            <w:tcW w:type="dxa" w:w="5112"/>
            <w:tcMar>
              <w:top w:w="105" w:type="dxa"/>
              <w:start w:w="115" w:type="dxa"/>
              <w:bottom w:w="105" w:type="dxa"/>
              <w:end w:w="115" w:type="dxa"/>
            </w:tcMar>
            <w:vAlign w:val="center"/>
          </w:tcPr>
          <w:p>
            <w:pPr>
              <w:spacing w:after="0" w:before="0"/>
            </w:pPr>
            <w:r>
              <w:rPr>
                <w:rFonts w:ascii="Arial Unicode MS" w:hAnsi="Arial Unicode MS" w:eastAsia="Arial Unicode MS"/>
              </w:rPr>
            </w:r>
            <w:r>
              <w:rPr>
                <w:rFonts w:ascii="Arial Unicode MS" w:hAnsi="Arial Unicode MS" w:eastAsia="Arial Unicode MS"/>
                <w:b w:val="0"/>
                <w:color w:val="202124"/>
                <w:sz w:val="17"/>
              </w:rPr>
              <w:t>可在 Study 之前独立存在、保存、编辑、讨论并引用 Evidence；须经人工确认后进入 Design；不是 Opportunity、Hypothesis、Protocol 或正式 Study；一个 Question 可产生多个 Study</w:t>
            </w:r>
          </w:p>
        </w:tc>
      </w:tr>
      <w:tr>
        <w:trPr>
          <w:cantSplit/>
        </w:trPr>
        <w:tc>
          <w:tcPr>
            <w:tcW w:type="dxa" w:w="194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Research Attention</w:t>
            </w:r>
          </w:p>
        </w:tc>
        <w:tc>
          <w:tcPr>
            <w:tcW w:type="dxa" w:w="302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需要某位用户注意的一件科研事项</w:t>
            </w:r>
          </w:p>
        </w:tc>
        <w:tc>
          <w:tcPr>
            <w:tcW w:type="dxa" w:w="5112"/>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统一聚合 Task、Risk、Query、Approval、Insight 和 Opportunity，当前为假设</w:t>
            </w:r>
          </w:p>
        </w:tc>
      </w:tr>
      <w:tr>
        <w:trPr>
          <w:cantSplit/>
        </w:trPr>
        <w:tc>
          <w:tcPr>
            <w:tcW w:type="dxa" w:w="194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Research Artifact</w:t>
            </w:r>
          </w:p>
        </w:tc>
        <w:tc>
          <w:tcPr>
            <w:tcW w:type="dxa" w:w="302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研究过程产生或使用的内容</w:t>
            </w:r>
          </w:p>
        </w:tc>
        <w:tc>
          <w:tcPr>
            <w:tcW w:type="dxa" w:w="5112"/>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不自动等于可复用资产</w:t>
            </w:r>
          </w:p>
        </w:tc>
      </w:tr>
      <w:tr>
        <w:trPr>
          <w:cantSplit/>
        </w:trPr>
        <w:tc>
          <w:tcPr>
            <w:tcW w:type="dxa" w:w="194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Research Asset</w:t>
            </w:r>
          </w:p>
        </w:tc>
        <w:tc>
          <w:tcPr>
            <w:tcW w:type="dxa" w:w="302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经过整理、来源确认、责任确认和治理的价值对象</w:t>
            </w:r>
          </w:p>
        </w:tc>
        <w:tc>
          <w:tcPr>
            <w:tcW w:type="dxa" w:w="5112"/>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可保存、共享、引用、派生并保留 Lineage</w:t>
            </w:r>
          </w:p>
        </w:tc>
      </w:tr>
      <w:tr>
        <w:trPr>
          <w:cantSplit/>
        </w:trPr>
        <w:tc>
          <w:tcPr>
            <w:tcW w:type="dxa" w:w="194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AI Research Artifact</w:t>
            </w:r>
          </w:p>
        </w:tc>
        <w:tc>
          <w:tcPr>
            <w:tcW w:type="dxa" w:w="302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AI 生成的 Brief、Insight、Draft 或 Analysis</w:t>
            </w:r>
          </w:p>
        </w:tc>
        <w:tc>
          <w:tcPr>
            <w:tcW w:type="dxa" w:w="5112"/>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Human Review 后才能进入正式 Artifact 或 Asset 生命周期</w:t>
            </w:r>
          </w:p>
        </w:tc>
      </w:tr>
      <w:tr>
        <w:trPr>
          <w:cantSplit/>
        </w:trPr>
        <w:tc>
          <w:tcPr>
            <w:tcW w:type="dxa" w:w="194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Research Output</w:t>
            </w:r>
          </w:p>
        </w:tc>
        <w:tc>
          <w:tcPr>
            <w:tcW w:type="dxa" w:w="302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报告、汇报、论文相关工作和研究总结</w:t>
            </w:r>
          </w:p>
        </w:tc>
        <w:tc>
          <w:tcPr>
            <w:tcW w:type="dxa" w:w="5112"/>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应绑定 Study Context、数据版本和已审核分析</w:t>
            </w:r>
          </w:p>
        </w:tc>
      </w:tr>
    </w:tbl>
    <w:p>
      <w:pPr>
        <w:keepNext w:val="0"/>
        <w:widowControl/>
        <w:spacing w:before="0" w:after="120" w:line="240" w:lineRule="auto"/>
      </w:pPr>
    </w:p>
    <w:p>
      <w:pPr>
        <w:pStyle w:val="Heading2"/>
        <w:keepNext/>
        <w:spacing w:line="276" w:lineRule="auto"/>
      </w:pPr>
      <w:r>
        <w:rPr>
          <w:rFonts w:ascii="Arial Unicode MS" w:hAnsi="Arial Unicode MS" w:eastAsia="Arial Unicode MS"/>
          <w:b/>
          <w:i w:val="0"/>
          <w:color w:val="000000"/>
          <w:sz w:val="26"/>
        </w:rPr>
        <w:t>6 1 核心关系</w:t>
      </w:r>
    </w:p>
    <w:p>
      <w:pPr>
        <w:keepNext w:val="0"/>
        <w:widowControl/>
        <w:spacing w:before="100" w:after="80" w:line="317" w:lineRule="auto"/>
        <w:jc w:val="center"/>
      </w:pPr>
      <w:r>
        <w:rPr>
          <w:rFonts w:ascii="Arial Unicode MS" w:hAnsi="Arial Unicode MS" w:eastAsia="Arial Unicode MS"/>
          <w:b/>
          <w:i w:val="0"/>
          <w:color w:val="17365D"/>
          <w:sz w:val="21"/>
        </w:rPr>
        <w:t>Researcher ↔ Membership ↔ Institution Hub Study</w:t>
      </w:r>
    </w:p>
    <w:p>
      <w:pPr>
        <w:keepNext w:val="0"/>
        <w:widowControl/>
        <w:spacing w:before="100" w:after="80" w:line="317" w:lineRule="auto"/>
        <w:jc w:val="center"/>
      </w:pPr>
      <w:r>
        <w:rPr>
          <w:rFonts w:ascii="Arial Unicode MS" w:hAnsi="Arial Unicode MS" w:eastAsia="Arial Unicode MS"/>
          <w:b/>
          <w:i w:val="0"/>
          <w:color w:val="17365D"/>
          <w:sz w:val="21"/>
        </w:rPr>
        <w:t>Study → Subject → Visit → Research Data → Dataset → Analysis → Output</w:t>
      </w:r>
    </w:p>
    <w:p>
      <w:pPr>
        <w:keepNext w:val="0"/>
        <w:widowControl/>
        <w:spacing w:before="100" w:after="80" w:line="317" w:lineRule="auto"/>
        <w:jc w:val="center"/>
      </w:pPr>
      <w:r>
        <w:rPr>
          <w:rFonts w:ascii="Arial Unicode MS" w:hAnsi="Arial Unicode MS" w:eastAsia="Arial Unicode MS"/>
        </w:rPr>
        <w:t>External Evidence → Research Opportunity → Research Question → Hypothesis → Study / Protocol</w:t>
      </w:r>
    </w:p>
    <w:p>
      <w:pPr>
        <w:keepNext w:val="0"/>
        <w:widowControl/>
        <w:spacing w:before="100" w:after="80" w:line="317" w:lineRule="auto"/>
        <w:jc w:val="center"/>
      </w:pPr>
      <w:r>
        <w:rPr>
          <w:rFonts w:ascii="Arial Unicode MS" w:hAnsi="Arial Unicode MS" w:eastAsia="Arial Unicode MS"/>
          <w:b/>
          <w:i w:val="0"/>
          <w:color w:val="17365D"/>
          <w:sz w:val="21"/>
        </w:rPr>
        <w:t>Study → Research Artifact → Research Asset → Hub → Reuse → New Study</w:t>
      </w:r>
    </w:p>
    <w:p>
      <w:pPr>
        <w:keepNext w:val="0"/>
        <w:widowControl/>
        <w:spacing w:before="100" w:after="80" w:line="317" w:lineRule="auto"/>
        <w:jc w:val="center"/>
      </w:pPr>
      <w:r>
        <w:rPr>
          <w:rFonts w:ascii="Arial Unicode MS" w:hAnsi="Arial Unicode MS" w:eastAsia="Arial Unicode MS"/>
          <w:b/>
          <w:i w:val="0"/>
          <w:color w:val="17365D"/>
          <w:sz w:val="21"/>
        </w:rPr>
        <w:t>My Research ← Research Attention ← Task Risk Query Approval Insight Opportunity</w:t>
      </w:r>
    </w:p>
    <w:p>
      <w:pPr>
        <w:pStyle w:val="Heading2"/>
        <w:keepNext/>
        <w:spacing w:line="276" w:lineRule="auto"/>
      </w:pPr>
      <w:r>
        <w:rPr>
          <w:rFonts w:ascii="Arial Unicode MS" w:hAnsi="Arial Unicode MS" w:eastAsia="Arial Unicode MS"/>
        </w:rPr>
        <w:t>6 2 Research Question 领域对象</w:t>
      </w:r>
    </w:p>
    <w:p>
      <w:r>
        <w:rPr>
          <w:rFonts w:ascii="Arial Unicode MS" w:hAnsi="Arial Unicode MS" w:eastAsia="Arial Unicode MS"/>
        </w:rPr>
        <w:t>Research Question 是 Study 之前可独立存在的科研构思对象。它承接 External Evidence 与 Research Opportunity，经研究者判断后形成可表达、可讨论、可追溯的问题，并在人工确认后进入 Research Design。</w:t>
      </w:r>
    </w:p>
    <w:tbl>
      <w:tblPr>
        <w:tblStyle w:val="TableGrid"/>
        <w:tblW w:type="auto" w:w="0"/>
        <w:tblLayout w:type="autofit"/>
        <w:tblLook w:firstColumn="1" w:firstRow="1" w:lastColumn="0" w:lastRow="0" w:noHBand="0" w:noVBand="1" w:val="04A0"/>
      </w:tblPr>
      <w:tblGrid>
        <w:gridCol w:w="3293"/>
        <w:gridCol w:w="3293"/>
        <w:gridCol w:w="3293"/>
      </w:tblGrid>
      <w:tr>
        <w:trPr>
          <w:cantSplit/>
          <w:tblHeader w:val="true"/>
          <w:tblHeader w:val="true"/>
        </w:trPr>
        <w:tc>
          <w:tcPr>
            <w:tcW w:type="dxa" w:w="3293"/>
            <w:vAlign w:val="center"/>
            <w:shd w:fill="17365D"/>
          </w:tcPr>
          <w:p>
            <w:pPr>
              <w:spacing w:after="0" w:before="0" w:line="252" w:lineRule="auto"/>
            </w:pPr>
            <w:r>
              <w:rPr>
                <w:rFonts w:ascii="Arial Unicode MS" w:hAnsi="Arial Unicode MS" w:eastAsia="Arial Unicode MS"/>
                <w:b/>
                <w:color w:val="FFFFFF"/>
                <w:sz w:val="17"/>
              </w:rPr>
            </w:r>
            <w:r>
              <w:rPr>
                <w:rFonts w:ascii="Arial Unicode MS" w:hAnsi="Arial Unicode MS" w:eastAsia="Arial Unicode MS"/>
                <w:b/>
                <w:color w:val="FFFFFF"/>
                <w:sz w:val="17"/>
              </w:rPr>
              <w:t>能力</w:t>
            </w:r>
          </w:p>
        </w:tc>
        <w:tc>
          <w:tcPr>
            <w:tcW w:type="dxa" w:w="3293"/>
            <w:vAlign w:val="center"/>
            <w:shd w:fill="17365D"/>
          </w:tcPr>
          <w:p>
            <w:pPr>
              <w:spacing w:after="0" w:before="0" w:line="252" w:lineRule="auto"/>
            </w:pPr>
            <w:r>
              <w:rPr>
                <w:rFonts w:ascii="Arial Unicode MS" w:hAnsi="Arial Unicode MS" w:eastAsia="Arial Unicode MS"/>
                <w:b/>
                <w:color w:val="FFFFFF"/>
                <w:sz w:val="17"/>
              </w:rPr>
            </w:r>
            <w:r>
              <w:rPr>
                <w:rFonts w:ascii="Arial Unicode MS" w:hAnsi="Arial Unicode MS" w:eastAsia="Arial Unicode MS"/>
                <w:b/>
                <w:color w:val="FFFFFF"/>
                <w:sz w:val="17"/>
              </w:rPr>
              <w:t>v1.0.1 基线</w:t>
            </w:r>
          </w:p>
        </w:tc>
        <w:tc>
          <w:tcPr>
            <w:tcW w:type="dxa" w:w="3293"/>
            <w:vAlign w:val="center"/>
            <w:shd w:fill="17365D"/>
          </w:tcPr>
          <w:p>
            <w:pPr>
              <w:spacing w:after="0" w:before="0" w:line="252" w:lineRule="auto"/>
            </w:pPr>
            <w:r>
              <w:rPr>
                <w:rFonts w:ascii="Arial Unicode MS" w:hAnsi="Arial Unicode MS" w:eastAsia="Arial Unicode MS"/>
                <w:b/>
                <w:color w:val="FFFFFF"/>
                <w:sz w:val="17"/>
              </w:rPr>
            </w:r>
            <w:r>
              <w:rPr>
                <w:rFonts w:ascii="Arial Unicode MS" w:hAnsi="Arial Unicode MS" w:eastAsia="Arial Unicode MS"/>
                <w:b/>
                <w:color w:val="FFFFFF"/>
                <w:sz w:val="17"/>
              </w:rPr>
              <w:t>边界</w:t>
            </w:r>
          </w:p>
        </w:tc>
      </w:tr>
      <w:tr>
        <w:trPr>
          <w:cantSplit/>
        </w:trPr>
        <w:tc>
          <w:tcPr>
            <w:tcW w:type="dxa" w:w="3293"/>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独立存在</w:t>
            </w:r>
          </w:p>
        </w:tc>
        <w:tc>
          <w:tcPr>
            <w:tcW w:type="dxa" w:w="3293"/>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Question 可在创建 Study 前保存</w:t>
            </w:r>
          </w:p>
        </w:tc>
        <w:tc>
          <w:tcPr>
            <w:tcW w:type="dxa" w:w="3293"/>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不自动创建 Study 或 Protocol</w:t>
            </w:r>
          </w:p>
        </w:tc>
      </w:tr>
      <w:tr>
        <w:trPr>
          <w:cantSplit/>
        </w:trPr>
        <w:tc>
          <w:tcPr>
            <w:tcW w:type="dxa" w:w="3293"/>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知识工作</w:t>
            </w:r>
          </w:p>
        </w:tc>
        <w:tc>
          <w:tcPr>
            <w:tcW w:type="dxa" w:w="3293"/>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可编辑、讨论、引用 Evidence，并保留来源关系</w:t>
            </w:r>
          </w:p>
        </w:tc>
        <w:tc>
          <w:tcPr>
            <w:tcW w:type="dxa" w:w="3293"/>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协作细则、版本策略与复杂状态机留待详细规格</w:t>
            </w:r>
          </w:p>
        </w:tc>
      </w:tr>
      <w:tr>
        <w:trPr>
          <w:cantSplit/>
        </w:trPr>
        <w:tc>
          <w:tcPr>
            <w:tcW w:type="dxa" w:w="3293"/>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进入设计</w:t>
            </w:r>
          </w:p>
        </w:tc>
        <w:tc>
          <w:tcPr>
            <w:tcW w:type="dxa" w:w="3293"/>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经授权研究者人工确认后进入 Design，形成 Hypothesis 与 Protocol</w:t>
            </w:r>
          </w:p>
        </w:tc>
        <w:tc>
          <w:tcPr>
            <w:tcW w:type="dxa" w:w="3293"/>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AI Draft 不等于正式科研状态</w:t>
            </w:r>
          </w:p>
        </w:tc>
      </w:tr>
      <w:tr>
        <w:trPr>
          <w:cantSplit/>
        </w:trPr>
        <w:tc>
          <w:tcPr>
            <w:tcW w:type="dxa" w:w="3293"/>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派生关系</w:t>
            </w:r>
          </w:p>
        </w:tc>
        <w:tc>
          <w:tcPr>
            <w:tcW w:type="dxa" w:w="3293"/>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一个 Question 可产生多个 Study</w:t>
            </w:r>
          </w:p>
        </w:tc>
        <w:tc>
          <w:tcPr>
            <w:tcW w:type="dxa" w:w="3293"/>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各 Study 仍保持自治、权限和责任边界</w:t>
            </w:r>
          </w:p>
        </w:tc>
      </w:tr>
    </w:tbl>
    <w:p>
      <w:r>
        <w:rPr>
          <w:rFonts w:ascii="Arial Unicode MS" w:hAnsi="Arial Unicode MS" w:eastAsia="Arial Unicode MS"/>
        </w:rPr>
        <w:t>OPEN QUESTION OQ-016  Question 的所有权、协作、版本与生命周期状态仍需在 Detailed Spec 中确认；本修订不引入复杂状态机。</w:t>
      </w:r>
    </w:p>
    <w:p>
      <w:pPr>
        <w:pStyle w:val="Heading2"/>
        <w:keepNext/>
        <w:spacing w:line="276" w:lineRule="auto"/>
      </w:pPr>
      <w:r>
        <w:rPr>
          <w:rFonts w:ascii="Arial Unicode MS" w:hAnsi="Arial Unicode MS" w:eastAsia="Arial Unicode MS"/>
        </w:rPr>
        <w:t>6 3 Evidence、Knowledge 与 Asset</w:t>
      </w:r>
    </w:p>
    <w:p>
      <w:r>
        <w:rPr>
          <w:rFonts w:ascii="Arial Unicode MS" w:hAnsi="Arial Unicode MS" w:eastAsia="Arial Unicode MS"/>
        </w:rPr>
        <w:t>External Evidence → Save / Annotate / Organize → Personal Knowledge → Use in Study → Study Knowledge → Human Review → Research Knowledge Asset → Authorized Share → Hub</w:t>
      </w:r>
    </w:p>
    <w:tbl>
      <w:tblPr>
        <w:tblStyle w:val="TableGrid"/>
        <w:tblW w:type="auto" w:w="0"/>
        <w:tblLayout w:type="autofit"/>
        <w:tblLook w:firstColumn="1" w:firstRow="1" w:lastColumn="0" w:lastRow="0" w:noHBand="0" w:noVBand="1" w:val="04A0"/>
      </w:tblPr>
      <w:tblGrid>
        <w:gridCol w:w="3293"/>
        <w:gridCol w:w="3293"/>
        <w:gridCol w:w="3293"/>
      </w:tblGrid>
      <w:tr>
        <w:trPr>
          <w:cantSplit/>
          <w:tblHeader w:val="true"/>
          <w:tblHeader w:val="true"/>
        </w:trPr>
        <w:tc>
          <w:tcPr>
            <w:tcW w:type="dxa" w:w="3293"/>
            <w:vAlign w:val="center"/>
            <w:shd w:fill="17365D"/>
          </w:tcPr>
          <w:p>
            <w:pPr>
              <w:spacing w:after="0" w:before="0" w:line="252" w:lineRule="auto"/>
            </w:pPr>
            <w:r>
              <w:rPr>
                <w:rFonts w:ascii="Arial Unicode MS" w:hAnsi="Arial Unicode MS" w:eastAsia="Arial Unicode MS"/>
                <w:b/>
                <w:color w:val="FFFFFF"/>
                <w:sz w:val="17"/>
              </w:rPr>
            </w:r>
            <w:r>
              <w:rPr>
                <w:rFonts w:ascii="Arial Unicode MS" w:hAnsi="Arial Unicode MS" w:eastAsia="Arial Unicode MS"/>
                <w:b/>
                <w:color w:val="FFFFFF"/>
                <w:sz w:val="17"/>
              </w:rPr>
              <w:t>对象</w:t>
            </w:r>
          </w:p>
        </w:tc>
        <w:tc>
          <w:tcPr>
            <w:tcW w:type="dxa" w:w="3293"/>
            <w:vAlign w:val="center"/>
            <w:shd w:fill="17365D"/>
          </w:tcPr>
          <w:p>
            <w:pPr>
              <w:spacing w:after="0" w:before="0" w:line="252" w:lineRule="auto"/>
            </w:pPr>
            <w:r>
              <w:rPr>
                <w:rFonts w:ascii="Arial Unicode MS" w:hAnsi="Arial Unicode MS" w:eastAsia="Arial Unicode MS"/>
                <w:b/>
                <w:color w:val="FFFFFF"/>
                <w:sz w:val="17"/>
              </w:rPr>
            </w:r>
            <w:r>
              <w:rPr>
                <w:rFonts w:ascii="Arial Unicode MS" w:hAnsi="Arial Unicode MS" w:eastAsia="Arial Unicode MS"/>
                <w:b/>
                <w:color w:val="FFFFFF"/>
                <w:sz w:val="17"/>
              </w:rPr>
              <w:t>本基线定义</w:t>
            </w:r>
          </w:p>
        </w:tc>
        <w:tc>
          <w:tcPr>
            <w:tcW w:type="dxa" w:w="3293"/>
            <w:vAlign w:val="center"/>
            <w:shd w:fill="17365D"/>
          </w:tcPr>
          <w:p>
            <w:pPr>
              <w:spacing w:after="0" w:before="0" w:line="252" w:lineRule="auto"/>
            </w:pPr>
            <w:r>
              <w:rPr>
                <w:rFonts w:ascii="Arial Unicode MS" w:hAnsi="Arial Unicode MS" w:eastAsia="Arial Unicode MS"/>
                <w:b/>
                <w:color w:val="FFFFFF"/>
                <w:sz w:val="17"/>
              </w:rPr>
            </w:r>
            <w:r>
              <w:rPr>
                <w:rFonts w:ascii="Arial Unicode MS" w:hAnsi="Arial Unicode MS" w:eastAsia="Arial Unicode MS"/>
                <w:b/>
                <w:color w:val="FFFFFF"/>
                <w:sz w:val="17"/>
              </w:rPr>
              <w:t>不得混同</w:t>
            </w:r>
          </w:p>
        </w:tc>
      </w:tr>
      <w:tr>
        <w:trPr>
          <w:cantSplit/>
        </w:trPr>
        <w:tc>
          <w:tcPr>
            <w:tcW w:type="dxa" w:w="3293"/>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External Evidence</w:t>
            </w:r>
          </w:p>
        </w:tc>
        <w:tc>
          <w:tcPr>
            <w:tcW w:type="dxa" w:w="3293"/>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来自平台外部的论文、试验、指南或研究来源，保留来源、时间与版权边界</w:t>
            </w:r>
          </w:p>
        </w:tc>
        <w:tc>
          <w:tcPr>
            <w:tcW w:type="dxa" w:w="3293"/>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收藏一篇论文或上传一个文件不会自动产生岐研 Asset</w:t>
            </w:r>
          </w:p>
        </w:tc>
      </w:tr>
      <w:tr>
        <w:trPr>
          <w:cantSplit/>
        </w:trPr>
        <w:tc>
          <w:tcPr>
            <w:tcW w:type="dxa" w:w="3293"/>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Personal / Study Knowledge</w:t>
            </w:r>
          </w:p>
        </w:tc>
        <w:tc>
          <w:tcPr>
            <w:tcW w:type="dxa" w:w="3293"/>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研究者围绕阅读、注释、组织、讨论与 Study 使用而持续加工的活跃知识工作对象</w:t>
            </w:r>
          </w:p>
        </w:tc>
        <w:tc>
          <w:tcPr>
            <w:tcW w:type="dxa" w:w="3293"/>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不是只读文件夹，也不因被 Study 使用就自动受治理发布</w:t>
            </w:r>
          </w:p>
        </w:tc>
      </w:tr>
      <w:tr>
        <w:trPr>
          <w:cantSplit/>
        </w:trPr>
        <w:tc>
          <w:tcPr>
            <w:tcW w:type="dxa" w:w="3293"/>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Research Knowledge Asset</w:t>
            </w:r>
          </w:p>
        </w:tc>
        <w:tc>
          <w:tcPr>
            <w:tcW w:type="dxa" w:w="3293"/>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经 Human Review、来源确认、责任确认与治理，可长期保存、引用、派生和复用的 Knowledge</w:t>
            </w:r>
          </w:p>
        </w:tc>
        <w:tc>
          <w:tcPr>
            <w:tcW w:type="dxa" w:w="3293"/>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不是任意 Artifact、AI Draft 或未经审阅的知识条目</w:t>
            </w:r>
          </w:p>
        </w:tc>
      </w:tr>
    </w:tbl>
    <w:p>
      <w:r>
        <w:rPr>
          <w:rFonts w:ascii="Arial Unicode MS" w:hAnsi="Arial Unicode MS" w:eastAsia="Arial Unicode MS"/>
        </w:rPr>
        <w:t>Institution Knowledge 可能成为后续组织级知识层，但其责任、范围、继承与治理尚未确定，登记为 LATER-09，不进入本轮 Production MVP。</w:t>
      </w:r>
    </w:p>
    <w:p>
      <w:pPr>
        <w:pStyle w:val="Heading1"/>
        <w:keepNext/>
        <w:pageBreakBefore/>
        <w:spacing w:line="276" w:lineRule="auto" w:before="160" w:after="160"/>
      </w:pPr>
      <w:r>
        <w:rPr>
          <w:rFonts w:ascii="Arial Unicode MS" w:hAnsi="Arial Unicode MS" w:eastAsia="Arial Unicode MS"/>
          <w:b/>
          <w:i w:val="0"/>
          <w:color w:val="000000"/>
          <w:sz w:val="33"/>
        </w:rPr>
        <w:t>7 Research Hub Value Loop 价值循环</w:t>
      </w:r>
    </w:p>
    <w:p>
      <w:pPr>
        <w:pStyle w:val="Heading2"/>
        <w:keepNext/>
        <w:spacing w:line="276" w:lineRule="auto"/>
      </w:pPr>
      <w:r>
        <w:rPr>
          <w:rFonts w:ascii="Arial Unicode MS" w:hAnsi="Arial Unicode MS" w:eastAsia="Arial Unicode MS"/>
          <w:b/>
          <w:i w:val="0"/>
          <w:color w:val="000000"/>
          <w:sz w:val="26"/>
        </w:rPr>
        <w:t>7 1 Hub 的核心工作</w:t>
      </w:r>
    </w:p>
    <w:p>
      <w:pPr>
        <w:keepNext w:val="0"/>
        <w:widowControl/>
        <w:spacing w:before="60" w:after="180" w:line="307" w:lineRule="auto"/>
        <w:ind w:left="504" w:right="360"/>
      </w:pPr>
      <w:r>
        <w:rPr>
          <w:rFonts w:ascii="Arial Unicode MS" w:hAnsi="Arial Unicode MS" w:eastAsia="Arial Unicode MS"/>
          <w:b/>
          <w:i w:val="0"/>
          <w:color w:val="17365D"/>
          <w:sz w:val="21"/>
        </w:rPr>
        <w:t>帮助研究者持续发现值得研究的问题，并把领域信息、科研证据、科研资产和科研协作转化为新的研究。</w:t>
      </w:r>
    </w:p>
    <w:p>
      <w:pPr>
        <w:keepNext w:val="0"/>
        <w:widowControl/>
        <w:spacing w:before="0" w:after="140" w:line="317" w:lineRule="auto"/>
      </w:pPr>
      <w:r>
        <w:rPr>
          <w:rFonts w:ascii="Arial Unicode MS" w:hAnsi="Arial Unicode MS" w:eastAsia="Arial Unicode MS"/>
          <w:b w:val="0"/>
          <w:i w:val="0"/>
          <w:color w:val="000000"/>
          <w:sz w:val="22"/>
        </w:rPr>
        <w:t>Hub 的长期价值不来自内容数量，而来自它能否持续回答领域发生了什么、哪些变化与我有关、什么值得探索、已有谁和什么、下一步可以做什么。</w:t>
      </w:r>
    </w:p>
    <w:p>
      <w:pPr>
        <w:pStyle w:val="Heading2"/>
        <w:keepNext/>
        <w:spacing w:line="276" w:lineRule="auto"/>
      </w:pPr>
      <w:r>
        <w:rPr>
          <w:rFonts w:ascii="Arial Unicode MS" w:hAnsi="Arial Unicode MS" w:eastAsia="Arial Unicode MS"/>
          <w:b/>
          <w:i w:val="0"/>
          <w:color w:val="000000"/>
          <w:sz w:val="26"/>
        </w:rPr>
        <w:t>7 2 两条相互连接的循环</w:t>
      </w:r>
    </w:p>
    <w:p>
      <w:pPr>
        <w:keepNext w:val="0"/>
        <w:widowControl/>
        <w:spacing w:before="100" w:after="80" w:line="317" w:lineRule="auto"/>
        <w:jc w:val="center"/>
      </w:pPr>
      <w:r>
        <w:rPr>
          <w:rFonts w:ascii="Arial Unicode MS" w:hAnsi="Arial Unicode MS" w:eastAsia="Arial Unicode MS"/>
          <w:b/>
          <w:i w:val="0"/>
          <w:color w:val="17365D"/>
          <w:sz w:val="21"/>
        </w:rPr>
        <w:t>外部科研世界 → Radar → 相关 Evidence → Research Opportunity → Research Question</w:t>
      </w:r>
    </w:p>
    <w:p>
      <w:pPr>
        <w:keepNext w:val="0"/>
        <w:widowControl/>
        <w:spacing w:before="0" w:after="180" w:line="317" w:lineRule="auto"/>
        <w:jc w:val="center"/>
      </w:pPr>
      <w:r>
        <w:rPr>
          <w:rFonts w:ascii="Arial Unicode MS" w:hAnsi="Arial Unicode MS" w:eastAsia="Arial Unicode MS"/>
          <w:b w:val="0"/>
          <w:i w:val="0"/>
          <w:color w:val="666666"/>
          <w:sz w:val="18"/>
        </w:rPr>
        <w:t>Research Discovery Loop</w:t>
      </w:r>
    </w:p>
    <w:p>
      <w:pPr>
        <w:keepNext w:val="0"/>
        <w:widowControl/>
        <w:spacing w:before="100" w:after="80" w:line="317" w:lineRule="auto"/>
        <w:jc w:val="center"/>
      </w:pPr>
      <w:r>
        <w:rPr>
          <w:rFonts w:ascii="Arial Unicode MS" w:hAnsi="Arial Unicode MS" w:eastAsia="Arial Unicode MS"/>
          <w:b/>
          <w:i w:val="0"/>
          <w:color w:val="17365D"/>
          <w:sz w:val="21"/>
        </w:rPr>
        <w:t>Research Question → Design → Study → Data → Analysis → Output → Asset → Hub</w:t>
      </w:r>
    </w:p>
    <w:p>
      <w:pPr>
        <w:keepNext w:val="0"/>
        <w:widowControl/>
        <w:spacing w:before="0" w:after="180" w:line="317" w:lineRule="auto"/>
        <w:jc w:val="center"/>
      </w:pPr>
      <w:r>
        <w:rPr>
          <w:rFonts w:ascii="Arial Unicode MS" w:hAnsi="Arial Unicode MS" w:eastAsia="Arial Unicode MS"/>
          <w:b w:val="0"/>
          <w:i w:val="0"/>
          <w:color w:val="666666"/>
          <w:sz w:val="18"/>
        </w:rPr>
        <w:t>Research Production Loop</w:t>
      </w:r>
    </w:p>
    <w:p>
      <w:pPr>
        <w:keepNext w:val="0"/>
        <w:widowControl/>
        <w:spacing w:before="0" w:after="140" w:line="317" w:lineRule="auto"/>
      </w:pPr>
      <w:r>
        <w:rPr>
          <w:rFonts w:ascii="Arial Unicode MS" w:hAnsi="Arial Unicode MS" w:eastAsia="Arial Unicode MS"/>
          <w:b w:val="0"/>
          <w:i w:val="0"/>
          <w:color w:val="000000"/>
          <w:sz w:val="22"/>
        </w:rPr>
        <w:t>Discovery Loop 解决接下来值得研究什么；Production Loop 解决如何把研究问题转成可信成果。两条循环通过 Research Asset 和 Knowledge 连接。</w:t>
      </w:r>
    </w:p>
    <w:p>
      <w:pPr>
        <w:pStyle w:val="Heading2"/>
        <w:keepNext/>
        <w:spacing w:line="276" w:lineRule="auto"/>
      </w:pPr>
      <w:r>
        <w:rPr>
          <w:rFonts w:ascii="Arial Unicode MS" w:hAnsi="Arial Unicode MS" w:eastAsia="Arial Unicode MS"/>
          <w:b/>
          <w:i w:val="0"/>
          <w:color w:val="000000"/>
          <w:sz w:val="26"/>
        </w:rPr>
        <w:t>7 3 Hub 首页必须回答的五个问题</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blHeader w:val="true"/>
        </w:trPr>
        <w:tc>
          <w:tcPr>
            <w:tcW w:type="dxa" w:w="2160"/>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问题</w:t>
            </w:r>
          </w:p>
        </w:tc>
        <w:tc>
          <w:tcPr>
            <w:tcW w:type="dxa" w:w="4536"/>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产品回答</w:t>
            </w:r>
          </w:p>
        </w:tc>
        <w:tc>
          <w:tcPr>
            <w:tcW w:type="dxa" w:w="3384"/>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主要动作</w:t>
            </w:r>
          </w:p>
        </w:tc>
      </w:tr>
      <w:tr>
        <w:trPr>
          <w:cantSplit/>
        </w:trPr>
        <w:tc>
          <w:tcPr>
            <w:tcW w:type="dxa" w:w="216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What is new</w:t>
            </w:r>
          </w:p>
        </w:tc>
        <w:tc>
          <w:tcPr>
            <w:tcW w:type="dxa" w:w="453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领域最近发生了什么</w:t>
            </w:r>
          </w:p>
        </w:tc>
        <w:tc>
          <w:tcPr>
            <w:tcW w:type="dxa" w:w="338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查看 Radar 与 Research Brief</w:t>
            </w:r>
          </w:p>
        </w:tc>
      </w:tr>
      <w:tr>
        <w:trPr>
          <w:cantSplit/>
        </w:trPr>
        <w:tc>
          <w:tcPr>
            <w:tcW w:type="dxa" w:w="216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What is important to me</w:t>
            </w:r>
          </w:p>
        </w:tc>
        <w:tc>
          <w:tcPr>
            <w:tcW w:type="dxa" w:w="4536"/>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哪些变化与我的方向或 Study 有关</w:t>
            </w:r>
          </w:p>
        </w:tc>
        <w:tc>
          <w:tcPr>
            <w:tcW w:type="dxa" w:w="338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查看相关性、依据和影响</w:t>
            </w:r>
          </w:p>
        </w:tc>
      </w:tr>
      <w:tr>
        <w:trPr>
          <w:cantSplit/>
        </w:trPr>
        <w:tc>
          <w:tcPr>
            <w:tcW w:type="dxa" w:w="216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What is worth exploring</w:t>
            </w:r>
          </w:p>
        </w:tc>
        <w:tc>
          <w:tcPr>
            <w:tcW w:type="dxa" w:w="453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有没有值得进一步验证的 Research Opportunity</w:t>
            </w:r>
          </w:p>
        </w:tc>
        <w:tc>
          <w:tcPr>
            <w:tcW w:type="dxa" w:w="338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关注、讨论、AI 深入调研</w:t>
            </w:r>
          </w:p>
        </w:tc>
      </w:tr>
      <w:tr>
        <w:trPr>
          <w:cantSplit/>
        </w:trPr>
        <w:tc>
          <w:tcPr>
            <w:tcW w:type="dxa" w:w="216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Who and what already exist</w:t>
            </w:r>
          </w:p>
        </w:tc>
        <w:tc>
          <w:tcPr>
            <w:tcW w:type="dxa" w:w="4536"/>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有哪些团队、Studies、Knowledge 和 Assets</w:t>
            </w:r>
          </w:p>
        </w:tc>
        <w:tc>
          <w:tcPr>
            <w:tcW w:type="dxa" w:w="338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查看、收藏、引用、申请合作</w:t>
            </w:r>
          </w:p>
        </w:tc>
      </w:tr>
      <w:tr>
        <w:trPr>
          <w:cantSplit/>
        </w:trPr>
        <w:tc>
          <w:tcPr>
            <w:tcW w:type="dxa" w:w="216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What can I do next</w:t>
            </w:r>
          </w:p>
        </w:tc>
        <w:tc>
          <w:tcPr>
            <w:tcW w:type="dxa" w:w="453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如何从信息进入研究行动</w:t>
            </w:r>
          </w:p>
        </w:tc>
        <w:tc>
          <w:tcPr>
            <w:tcW w:type="dxa" w:w="338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形成 Question、创建 Study、引用 Asset</w:t>
            </w:r>
          </w:p>
        </w:tc>
      </w:tr>
    </w:tbl>
    <w:p>
      <w:pPr>
        <w:keepNext w:val="0"/>
        <w:widowControl/>
        <w:spacing w:before="0" w:after="120" w:line="240" w:lineRule="auto"/>
      </w:pPr>
    </w:p>
    <w:p>
      <w:pPr>
        <w:pStyle w:val="Heading2"/>
        <w:keepNext/>
        <w:spacing w:line="276" w:lineRule="auto"/>
      </w:pPr>
      <w:r>
        <w:rPr>
          <w:rFonts w:ascii="Arial Unicode MS" w:hAnsi="Arial Unicode MS" w:eastAsia="Arial Unicode MS"/>
          <w:b/>
          <w:i w:val="0"/>
          <w:color w:val="000000"/>
          <w:sz w:val="26"/>
        </w:rPr>
        <w:t>7 4 Hub 内容来源</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blHeader w:val="true"/>
        </w:trPr>
        <w:tc>
          <w:tcPr>
            <w:tcW w:type="dxa" w:w="1728"/>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来源</w:t>
            </w:r>
          </w:p>
        </w:tc>
        <w:tc>
          <w:tcPr>
            <w:tcW w:type="dxa" w:w="3744"/>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内容</w:t>
            </w:r>
          </w:p>
        </w:tc>
        <w:tc>
          <w:tcPr>
            <w:tcW w:type="dxa" w:w="4608"/>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治理要求</w:t>
            </w:r>
          </w:p>
        </w:tc>
      </w:tr>
      <w:tr>
        <w:trPr>
          <w:cantSplit/>
        </w:trPr>
        <w:tc>
          <w:tcPr>
            <w:tcW w:type="dxa" w:w="172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External</w:t>
            </w:r>
          </w:p>
        </w:tc>
        <w:tc>
          <w:tcPr>
            <w:tcW w:type="dxa" w:w="374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外部科研证据和研究动态</w:t>
            </w:r>
          </w:p>
        </w:tc>
        <w:tc>
          <w:tcPr>
            <w:tcW w:type="dxa" w:w="460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保留来源、时间范围、版权和证据链接</w:t>
            </w:r>
          </w:p>
        </w:tc>
      </w:tr>
      <w:tr>
        <w:trPr>
          <w:cantSplit/>
        </w:trPr>
        <w:tc>
          <w:tcPr>
            <w:tcW w:type="dxa" w:w="172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Platform</w:t>
            </w:r>
          </w:p>
        </w:tc>
        <w:tc>
          <w:tcPr>
            <w:tcW w:type="dxa" w:w="374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AI 筛选、Insight、Opportunity</w:t>
            </w:r>
          </w:p>
        </w:tc>
        <w:tc>
          <w:tcPr>
            <w:tcW w:type="dxa" w:w="460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显示判断依据、置信度、不确定性和限制</w:t>
            </w:r>
          </w:p>
        </w:tc>
      </w:tr>
      <w:tr>
        <w:trPr>
          <w:cantSplit/>
        </w:trPr>
        <w:tc>
          <w:tcPr>
            <w:tcW w:type="dxa" w:w="172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Study</w:t>
            </w:r>
          </w:p>
        </w:tc>
        <w:tc>
          <w:tcPr>
            <w:tcW w:type="dxa" w:w="374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经授权沉淀的 Protocol、Instrument、Knowledge、Report、Dataset Catalog</w:t>
            </w:r>
          </w:p>
        </w:tc>
        <w:tc>
          <w:tcPr>
            <w:tcW w:type="dxa" w:w="460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Study Publisher 审批，数据走独立治理</w:t>
            </w:r>
          </w:p>
        </w:tc>
      </w:tr>
      <w:tr>
        <w:trPr>
          <w:cantSplit/>
        </w:trPr>
        <w:tc>
          <w:tcPr>
            <w:tcW w:type="dxa" w:w="172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Researcher</w:t>
            </w:r>
          </w:p>
        </w:tc>
        <w:tc>
          <w:tcPr>
            <w:tcW w:type="dxa" w:w="374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笔记、知识、讨论与合作贡献</w:t>
            </w:r>
          </w:p>
        </w:tc>
        <w:tc>
          <w:tcPr>
            <w:tcW w:type="dxa" w:w="460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保留作者和团队来源，明确共享范围</w:t>
            </w:r>
          </w:p>
        </w:tc>
      </w:tr>
    </w:tbl>
    <w:p>
      <w:pPr>
        <w:keepNext w:val="0"/>
        <w:widowControl/>
        <w:spacing w:before="0" w:after="120" w:line="240" w:lineRule="auto"/>
      </w:pPr>
    </w:p>
    <w:p>
      <w:pPr>
        <w:pStyle w:val="Heading2"/>
        <w:keepNext/>
        <w:spacing w:line="276" w:lineRule="auto"/>
      </w:pPr>
      <w:r>
        <w:rPr>
          <w:rFonts w:ascii="Arial Unicode MS" w:hAnsi="Arial Unicode MS" w:eastAsia="Arial Unicode MS"/>
          <w:b/>
          <w:i w:val="0"/>
          <w:color w:val="000000"/>
          <w:sz w:val="26"/>
        </w:rPr>
        <w:t>7 5 Research Hub Flywheel</w:t>
      </w:r>
    </w:p>
    <w:p>
      <w:pPr>
        <w:keepNext w:val="0"/>
        <w:widowControl/>
        <w:spacing w:before="100" w:after="80" w:line="317" w:lineRule="auto"/>
        <w:jc w:val="center"/>
      </w:pPr>
      <w:r>
        <w:rPr>
          <w:rFonts w:ascii="Arial Unicode MS" w:hAnsi="Arial Unicode MS" w:eastAsia="Arial Unicode MS"/>
          <w:b/>
          <w:i w:val="0"/>
          <w:color w:val="17365D"/>
          <w:sz w:val="21"/>
        </w:rPr>
        <w:t>更多研究者 → 更多 Studies → 更多研究活动 → 更多 Research Assets → 更强 Research Context → 更有价值的 Copilot → 更多 Research Opportunities → 更多 Studies</w:t>
      </w:r>
    </w:p>
    <w:p>
      <w:pPr>
        <w:keepNext w:val="0"/>
        <w:widowControl/>
        <w:spacing w:before="0" w:after="140" w:line="317" w:lineRule="auto"/>
      </w:pPr>
      <w:r>
        <w:rPr>
          <w:rFonts w:ascii="Arial Unicode MS" w:hAnsi="Arial Unicode MS" w:eastAsia="Arial Unicode MS"/>
          <w:b/>
          <w:i w:val="0"/>
          <w:color w:val="9A6700"/>
          <w:sz w:val="19"/>
        </w:rPr>
        <w:t xml:space="preserve">HYPOTHESIS HYP-010  </w:t>
      </w:r>
      <w:r>
        <w:rPr>
          <w:rFonts w:ascii="Arial Unicode MS" w:hAnsi="Arial Unicode MS" w:eastAsia="Arial Unicode MS"/>
          <w:b w:val="0"/>
          <w:i w:val="0"/>
          <w:color w:val="000000"/>
          <w:sz w:val="21"/>
        </w:rPr>
        <w:t>岐研的长期壁垒来自 Research Context、Research Graph、Research Assets、Data 和 Evidence 的积累，而不是 Agent 数量。</w:t>
      </w:r>
    </w:p>
    <w:p>
      <w:pPr>
        <w:keepNext w:val="0"/>
        <w:widowControl/>
        <w:spacing w:before="0" w:after="140" w:line="317" w:lineRule="auto"/>
      </w:pPr>
      <w:r>
        <w:rPr>
          <w:rFonts w:ascii="Arial Unicode MS" w:hAnsi="Arial Unicode MS" w:eastAsia="Arial Unicode MS"/>
          <w:b/>
          <w:i w:val="0"/>
          <w:color w:val="9A6700"/>
          <w:sz w:val="19"/>
        </w:rPr>
        <w:t xml:space="preserve">HYPOTHESIS HYP-008  </w:t>
      </w:r>
      <w:r>
        <w:rPr>
          <w:rFonts w:ascii="Arial Unicode MS" w:hAnsi="Arial Unicode MS" w:eastAsia="Arial Unicode MS"/>
          <w:b w:val="0"/>
          <w:i w:val="0"/>
          <w:color w:val="000000"/>
          <w:sz w:val="21"/>
        </w:rPr>
        <w:t>Radar 的首要产品形态是 Personalized Research Brief，而不是传统最新论文 Feed。</w:t>
      </w:r>
    </w:p>
    <w:p>
      <w:pPr>
        <w:keepNext w:val="0"/>
        <w:widowControl/>
        <w:spacing w:before="0" w:after="140" w:line="317" w:lineRule="auto"/>
      </w:pPr>
      <w:r>
        <w:rPr>
          <w:rFonts w:ascii="Arial Unicode MS" w:hAnsi="Arial Unicode MS" w:eastAsia="Arial Unicode MS"/>
          <w:b/>
          <w:i w:val="0"/>
          <w:color w:val="6B3FA0"/>
          <w:sz w:val="19"/>
        </w:rPr>
        <w:t xml:space="preserve">LATER  </w:t>
      </w:r>
      <w:r>
        <w:rPr>
          <w:rFonts w:ascii="Arial Unicode MS" w:hAnsi="Arial Unicode MS" w:eastAsia="Arial Unicode MS"/>
          <w:b w:val="0"/>
          <w:i w:val="0"/>
          <w:color w:val="000000"/>
          <w:sz w:val="21"/>
        </w:rPr>
        <w:t>Research Network 以科研关系和协作为核心，不以帖子、评论和点赞为核心；在 Hub 关系数据不足时不进入 MVP。</w:t>
      </w:r>
    </w:p>
    <w:p>
      <w:pPr>
        <w:pStyle w:val="Heading1"/>
        <w:keepNext/>
        <w:pageBreakBefore/>
        <w:spacing w:line="276" w:lineRule="auto" w:before="160" w:after="160"/>
      </w:pPr>
      <w:r>
        <w:rPr>
          <w:rFonts w:ascii="Arial Unicode MS" w:hAnsi="Arial Unicode MS" w:eastAsia="Arial Unicode MS"/>
          <w:b/>
          <w:i w:val="0"/>
          <w:color w:val="000000"/>
          <w:sz w:val="33"/>
        </w:rPr>
        <w:t>8 Study Workspace vNext</w:t>
      </w:r>
    </w:p>
    <w:p>
      <w:pPr>
        <w:pStyle w:val="Heading2"/>
        <w:keepNext/>
        <w:spacing w:line="276" w:lineRule="auto"/>
      </w:pPr>
      <w:r>
        <w:rPr>
          <w:rFonts w:ascii="Arial Unicode MS" w:hAnsi="Arial Unicode MS" w:eastAsia="Arial Unicode MS"/>
          <w:b/>
          <w:i w:val="0"/>
          <w:color w:val="000000"/>
          <w:sz w:val="26"/>
        </w:rPr>
        <w:t>8 1 vNext 结构</w:t>
      </w:r>
    </w:p>
    <w:p>
      <w:pPr>
        <w:keepNext w:val="0"/>
        <w:widowControl/>
        <w:spacing w:before="100" w:after="80" w:line="317" w:lineRule="auto"/>
        <w:jc w:val="center"/>
      </w:pPr>
      <w:r>
        <w:rPr>
          <w:rFonts w:ascii="Arial Unicode MS" w:hAnsi="Arial Unicode MS" w:eastAsia="Arial Unicode MS"/>
          <w:b/>
          <w:i w:val="0"/>
          <w:color w:val="17365D"/>
          <w:sz w:val="21"/>
        </w:rPr>
        <w:t>课题概览 → 研究设计 → 研究执行 → 数据与质量 → 研究分析 → 科研产出 → 科研资产 → 团队与设置</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blHeader w:val="true"/>
        </w:trPr>
        <w:tc>
          <w:tcPr>
            <w:tcW w:type="dxa" w:w="1800"/>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工作域</w:t>
            </w:r>
          </w:p>
        </w:tc>
        <w:tc>
          <w:tcPr>
            <w:tcW w:type="dxa" w:w="3528"/>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用户问题</w:t>
            </w:r>
          </w:p>
        </w:tc>
        <w:tc>
          <w:tcPr>
            <w:tcW w:type="dxa" w:w="4752"/>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主要内容</w:t>
            </w:r>
          </w:p>
        </w:tc>
      </w:tr>
      <w:tr>
        <w:trPr>
          <w:cantSplit/>
        </w:trPr>
        <w:tc>
          <w:tcPr>
            <w:tcW w:type="dxa" w:w="180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课题概览</w:t>
            </w:r>
          </w:p>
        </w:tc>
        <w:tc>
          <w:tcPr>
            <w:tcW w:type="dxa" w:w="352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研究整体走到哪里，什么需要关注</w:t>
            </w:r>
          </w:p>
        </w:tc>
        <w:tc>
          <w:tcPr>
            <w:tcW w:type="dxa" w:w="4752"/>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生命周期状态、关键进度、Research Attention、AI 决策支持</w:t>
            </w:r>
          </w:p>
        </w:tc>
      </w:tr>
      <w:tr>
        <w:trPr>
          <w:cantSplit/>
        </w:trPr>
        <w:tc>
          <w:tcPr>
            <w:tcW w:type="dxa" w:w="180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研究设计</w:t>
            </w:r>
          </w:p>
        </w:tc>
        <w:tc>
          <w:tcPr>
            <w:tcW w:type="dxa" w:w="352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研究问题如何转成 Protocol</w:t>
            </w:r>
          </w:p>
        </w:tc>
        <w:tc>
          <w:tcPr>
            <w:tcW w:type="dxa" w:w="4752"/>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Question、Hypothesis、对象、干预、结局、访视、eCRF、Analysis Plan</w:t>
            </w:r>
          </w:p>
        </w:tc>
      </w:tr>
      <w:tr>
        <w:trPr>
          <w:cantSplit/>
        </w:trPr>
        <w:tc>
          <w:tcPr>
            <w:tcW w:type="dxa" w:w="180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研究执行</w:t>
            </w:r>
          </w:p>
        </w:tc>
        <w:tc>
          <w:tcPr>
            <w:tcW w:type="dxa" w:w="352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如何完成招募、入组、访视和采集</w:t>
            </w:r>
          </w:p>
        </w:tc>
        <w:tc>
          <w:tcPr>
            <w:tcW w:type="dxa" w:w="4752"/>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Subject、Enrollment、Visit、Follow-up、Capture、Task</w:t>
            </w:r>
          </w:p>
        </w:tc>
      </w:tr>
      <w:tr>
        <w:trPr>
          <w:cantSplit/>
        </w:trPr>
        <w:tc>
          <w:tcPr>
            <w:tcW w:type="dxa" w:w="180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数据与质量</w:t>
            </w:r>
          </w:p>
        </w:tc>
        <w:tc>
          <w:tcPr>
            <w:tcW w:type="dxa" w:w="352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研究数据是否完整可信</w:t>
            </w:r>
          </w:p>
        </w:tc>
        <w:tc>
          <w:tcPr>
            <w:tcW w:type="dxa" w:w="4752"/>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Raw/Standard Data、Dataset、Quality、Query、Deviation、Review</w:t>
            </w:r>
          </w:p>
        </w:tc>
      </w:tr>
      <w:tr>
        <w:trPr>
          <w:cantSplit/>
        </w:trPr>
        <w:tc>
          <w:tcPr>
            <w:tcW w:type="dxa" w:w="180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研究分析</w:t>
            </w:r>
          </w:p>
        </w:tc>
        <w:tc>
          <w:tcPr>
            <w:tcW w:type="dxa" w:w="352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数据说明了什么</w:t>
            </w:r>
          </w:p>
        </w:tc>
        <w:tc>
          <w:tcPr>
            <w:tcW w:type="dxa" w:w="4752"/>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主要结局、次要结局、探索分析、AI Insights、Analysis Artifact</w:t>
            </w:r>
          </w:p>
        </w:tc>
      </w:tr>
      <w:tr>
        <w:trPr>
          <w:cantSplit/>
        </w:trPr>
        <w:tc>
          <w:tcPr>
            <w:tcW w:type="dxa" w:w="180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科研产出</w:t>
            </w:r>
          </w:p>
        </w:tc>
        <w:tc>
          <w:tcPr>
            <w:tcW w:type="dxa" w:w="352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如何形成阶段报告与学术材料</w:t>
            </w:r>
          </w:p>
        </w:tc>
        <w:tc>
          <w:tcPr>
            <w:tcW w:type="dxa" w:w="4752"/>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Report、Presentation、Paper Workspace、Study-aware Draft</w:t>
            </w:r>
          </w:p>
        </w:tc>
      </w:tr>
      <w:tr>
        <w:trPr>
          <w:cantSplit/>
        </w:trPr>
        <w:tc>
          <w:tcPr>
            <w:tcW w:type="dxa" w:w="180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科研资产</w:t>
            </w:r>
          </w:p>
        </w:tc>
        <w:tc>
          <w:tcPr>
            <w:tcW w:type="dxa" w:w="352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什么值得保存、治理和复用</w:t>
            </w:r>
          </w:p>
        </w:tc>
        <w:tc>
          <w:tcPr>
            <w:tcW w:type="dxa" w:w="4752"/>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Asset Discovery、Review、Share、Lineage</w:t>
            </w:r>
          </w:p>
        </w:tc>
      </w:tr>
      <w:tr>
        <w:trPr>
          <w:cantSplit/>
        </w:trPr>
        <w:tc>
          <w:tcPr>
            <w:tcW w:type="dxa" w:w="180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团队与设置</w:t>
            </w:r>
          </w:p>
        </w:tc>
        <w:tc>
          <w:tcPr>
            <w:tcW w:type="dxa" w:w="352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谁可以做什么，课题如何配置</w:t>
            </w:r>
          </w:p>
        </w:tc>
        <w:tc>
          <w:tcPr>
            <w:tcW w:type="dxa" w:w="4752"/>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Team、Role、Permission、Integration、Advanced Settings</w:t>
            </w:r>
          </w:p>
        </w:tc>
      </w:tr>
    </w:tbl>
    <w:p>
      <w:pPr>
        <w:keepNext w:val="0"/>
        <w:widowControl/>
        <w:spacing w:before="0" w:after="120" w:line="240" w:lineRule="auto"/>
      </w:pPr>
    </w:p>
    <w:p>
      <w:pPr>
        <w:pStyle w:val="Heading2"/>
        <w:keepNext/>
        <w:spacing w:line="276" w:lineRule="auto"/>
      </w:pPr>
      <w:r>
        <w:rPr>
          <w:rFonts w:ascii="Arial Unicode MS" w:hAnsi="Arial Unicode MS" w:eastAsia="Arial Unicode MS"/>
          <w:b/>
          <w:i w:val="0"/>
          <w:color w:val="000000"/>
          <w:sz w:val="26"/>
        </w:rPr>
        <w:t>8 2 Current 到 vNext Migration Map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val="true"/>
          <w:tblHeader w:val="true"/>
        </w:trPr>
        <w:tc>
          <w:tcPr>
            <w:tcW w:type="dxa" w:w="1800"/>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Current</w:t>
            </w:r>
          </w:p>
        </w:tc>
        <w:tc>
          <w:tcPr>
            <w:tcW w:type="dxa" w:w="2088"/>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vNext</w:t>
            </w:r>
          </w:p>
        </w:tc>
        <w:tc>
          <w:tcPr>
            <w:tcW w:type="dxa" w:w="1728"/>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动作</w:t>
            </w:r>
          </w:p>
        </w:tc>
        <w:tc>
          <w:tcPr>
            <w:tcW w:type="dxa" w:w="4464"/>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迁移说明</w:t>
            </w:r>
          </w:p>
        </w:tc>
      </w:tr>
      <w:tr>
        <w:trPr>
          <w:cantSplit/>
        </w:trPr>
        <w:tc>
          <w:tcPr>
            <w:tcW w:type="dxa" w:w="180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执行驾驶舱</w:t>
            </w:r>
          </w:p>
        </w:tc>
        <w:tc>
          <w:tcPr>
            <w:tcW w:type="dxa" w:w="208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课题概览</w:t>
            </w:r>
          </w:p>
        </w:tc>
        <w:tc>
          <w:tcPr>
            <w:tcW w:type="dxa" w:w="1728"/>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IMPROVE</w:t>
            </w:r>
          </w:p>
        </w:tc>
        <w:tc>
          <w:tcPr>
            <w:tcW w:type="dxa" w:w="446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从指标展示升级为 Research Status 与 Decision Support</w:t>
            </w:r>
          </w:p>
        </w:tc>
      </w:tr>
      <w:tr>
        <w:trPr>
          <w:cantSplit/>
        </w:trPr>
        <w:tc>
          <w:tcPr>
            <w:tcW w:type="dxa" w:w="180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项目启动清单</w:t>
            </w:r>
          </w:p>
        </w:tc>
        <w:tc>
          <w:tcPr>
            <w:tcW w:type="dxa" w:w="208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研究设计与启动</w:t>
            </w:r>
          </w:p>
        </w:tc>
        <w:tc>
          <w:tcPr>
            <w:tcW w:type="dxa" w:w="1728"/>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MOVE</w:t>
            </w:r>
          </w:p>
        </w:tc>
        <w:tc>
          <w:tcPr>
            <w:tcW w:type="dxa" w:w="446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保留检查能力，进入生命周期上下文</w:t>
            </w:r>
          </w:p>
        </w:tc>
      </w:tr>
      <w:tr>
        <w:trPr>
          <w:cantSplit/>
        </w:trPr>
        <w:tc>
          <w:tcPr>
            <w:tcW w:type="dxa" w:w="180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方案版本</w:t>
            </w:r>
          </w:p>
        </w:tc>
        <w:tc>
          <w:tcPr>
            <w:tcW w:type="dxa" w:w="208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研究设计</w:t>
            </w:r>
          </w:p>
        </w:tc>
        <w:tc>
          <w:tcPr>
            <w:tcW w:type="dxa" w:w="1728"/>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KEEP + EXPAND</w:t>
            </w:r>
          </w:p>
        </w:tc>
        <w:tc>
          <w:tcPr>
            <w:tcW w:type="dxa" w:w="446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保留版本能力，向 Question、Outcome、Visit 和 Analysis Plan 扩展</w:t>
            </w:r>
          </w:p>
        </w:tc>
      </w:tr>
      <w:tr>
        <w:trPr>
          <w:cantSplit/>
        </w:trPr>
        <w:tc>
          <w:tcPr>
            <w:tcW w:type="dxa" w:w="180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入组</w:t>
            </w:r>
          </w:p>
        </w:tc>
        <w:tc>
          <w:tcPr>
            <w:tcW w:type="dxa" w:w="208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研究执行 受试者</w:t>
            </w:r>
          </w:p>
        </w:tc>
        <w:tc>
          <w:tcPr>
            <w:tcW w:type="dxa" w:w="1728"/>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KEEP</w:t>
            </w:r>
          </w:p>
        </w:tc>
        <w:tc>
          <w:tcPr>
            <w:tcW w:type="dxa" w:w="446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保护现有业务逻辑</w:t>
            </w:r>
          </w:p>
        </w:tc>
      </w:tr>
      <w:tr>
        <w:trPr>
          <w:cantSplit/>
        </w:trPr>
        <w:tc>
          <w:tcPr>
            <w:tcW w:type="dxa" w:w="180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访视时间线</w:t>
            </w:r>
          </w:p>
        </w:tc>
        <w:tc>
          <w:tcPr>
            <w:tcW w:type="dxa" w:w="208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研究执行 访视</w:t>
            </w:r>
          </w:p>
        </w:tc>
        <w:tc>
          <w:tcPr>
            <w:tcW w:type="dxa" w:w="1728"/>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KEEP</w:t>
            </w:r>
          </w:p>
        </w:tc>
        <w:tc>
          <w:tcPr>
            <w:tcW w:type="dxa" w:w="446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保护窗口和 Evidence 完成条件</w:t>
            </w:r>
          </w:p>
        </w:tc>
      </w:tr>
      <w:tr>
        <w:trPr>
          <w:cantSplit/>
        </w:trPr>
        <w:tc>
          <w:tcPr>
            <w:tcW w:type="dxa" w:w="180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eCRF 与问卷</w:t>
            </w:r>
          </w:p>
        </w:tc>
        <w:tc>
          <w:tcPr>
            <w:tcW w:type="dxa" w:w="208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研究设计 + 研究执行</w:t>
            </w:r>
          </w:p>
        </w:tc>
        <w:tc>
          <w:tcPr>
            <w:tcW w:type="dxa" w:w="1728"/>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KEEP + MOVE</w:t>
            </w:r>
          </w:p>
        </w:tc>
        <w:tc>
          <w:tcPr>
            <w:tcW w:type="dxa" w:w="446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设计阶段定义，执行阶段采集</w:t>
            </w:r>
          </w:p>
        </w:tc>
      </w:tr>
      <w:tr>
        <w:trPr>
          <w:cantSplit/>
        </w:trPr>
        <w:tc>
          <w:tcPr>
            <w:tcW w:type="dxa" w:w="180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H5 邀请</w:t>
            </w:r>
          </w:p>
        </w:tc>
        <w:tc>
          <w:tcPr>
            <w:tcW w:type="dxa" w:w="208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随访与采集渠道</w:t>
            </w:r>
          </w:p>
        </w:tc>
        <w:tc>
          <w:tcPr>
            <w:tcW w:type="dxa" w:w="1728"/>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MOVE</w:t>
            </w:r>
          </w:p>
        </w:tc>
        <w:tc>
          <w:tcPr>
            <w:tcW w:type="dxa" w:w="446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H5 是渠道，不是科研业务对象</w:t>
            </w:r>
          </w:p>
        </w:tc>
      </w:tr>
      <w:tr>
        <w:trPr>
          <w:cantSplit/>
        </w:trPr>
        <w:tc>
          <w:tcPr>
            <w:tcW w:type="dxa" w:w="180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任务看板</w:t>
            </w:r>
          </w:p>
        </w:tc>
        <w:tc>
          <w:tcPr>
            <w:tcW w:type="dxa" w:w="208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研究执行 协作</w:t>
            </w:r>
          </w:p>
        </w:tc>
        <w:tc>
          <w:tcPr>
            <w:tcW w:type="dxa" w:w="1728"/>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KEEP</w:t>
            </w:r>
          </w:p>
        </w:tc>
        <w:tc>
          <w:tcPr>
            <w:tcW w:type="dxa" w:w="446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保留多人协作和证据验收</w:t>
            </w:r>
          </w:p>
        </w:tc>
      </w:tr>
      <w:tr>
        <w:trPr>
          <w:cantSplit/>
        </w:trPr>
        <w:tc>
          <w:tcPr>
            <w:tcW w:type="dxa" w:w="180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偏离</w:t>
            </w:r>
          </w:p>
        </w:tc>
        <w:tc>
          <w:tcPr>
            <w:tcW w:type="dxa" w:w="208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数据与质量</w:t>
            </w:r>
          </w:p>
        </w:tc>
        <w:tc>
          <w:tcPr>
            <w:tcW w:type="dxa" w:w="1728"/>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KEEP</w:t>
            </w:r>
          </w:p>
        </w:tc>
        <w:tc>
          <w:tcPr>
            <w:tcW w:type="dxa" w:w="446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保持复核和审计</w:t>
            </w:r>
          </w:p>
        </w:tc>
      </w:tr>
      <w:tr>
        <w:trPr>
          <w:cantSplit/>
        </w:trPr>
        <w:tc>
          <w:tcPr>
            <w:tcW w:type="dxa" w:w="180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数据疑问</w:t>
            </w:r>
          </w:p>
        </w:tc>
        <w:tc>
          <w:tcPr>
            <w:tcW w:type="dxa" w:w="208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数据与质量</w:t>
            </w:r>
          </w:p>
        </w:tc>
        <w:tc>
          <w:tcPr>
            <w:tcW w:type="dxa" w:w="1728"/>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KEEP</w:t>
            </w:r>
          </w:p>
        </w:tc>
        <w:tc>
          <w:tcPr>
            <w:tcW w:type="dxa" w:w="446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保持提出、处理和关闭机制</w:t>
            </w:r>
          </w:p>
        </w:tc>
      </w:tr>
      <w:tr>
        <w:trPr>
          <w:cantSplit/>
        </w:trPr>
        <w:tc>
          <w:tcPr>
            <w:tcW w:type="dxa" w:w="180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Data Agent</w:t>
            </w:r>
          </w:p>
        </w:tc>
        <w:tc>
          <w:tcPr>
            <w:tcW w:type="dxa" w:w="208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Embedded AI</w:t>
            </w:r>
          </w:p>
        </w:tc>
        <w:tc>
          <w:tcPr>
            <w:tcW w:type="dxa" w:w="1728"/>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MERGE</w:t>
            </w:r>
          </w:p>
        </w:tc>
        <w:tc>
          <w:tcPr>
            <w:tcW w:type="dxa" w:w="446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能力进入资料上传、采集和数据确认</w:t>
            </w:r>
          </w:p>
        </w:tc>
      </w:tr>
      <w:tr>
        <w:trPr>
          <w:cantSplit/>
        </w:trPr>
        <w:tc>
          <w:tcPr>
            <w:tcW w:type="dxa" w:w="180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科研 Agent</w:t>
            </w:r>
          </w:p>
        </w:tc>
        <w:tc>
          <w:tcPr>
            <w:tcW w:type="dxa" w:w="208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Research Copilot</w:t>
            </w:r>
          </w:p>
        </w:tc>
        <w:tc>
          <w:tcPr>
            <w:tcW w:type="dxa" w:w="1728"/>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MERGE + EXPAND</w:t>
            </w:r>
          </w:p>
        </w:tc>
        <w:tc>
          <w:tcPr>
            <w:tcW w:type="dxa" w:w="446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成为 Study-aware 的分析和产出能力</w:t>
            </w:r>
          </w:p>
        </w:tc>
      </w:tr>
      <w:tr>
        <w:trPr>
          <w:cantSplit/>
        </w:trPr>
        <w:tc>
          <w:tcPr>
            <w:tcW w:type="dxa" w:w="180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原始数据</w:t>
            </w:r>
          </w:p>
        </w:tc>
        <w:tc>
          <w:tcPr>
            <w:tcW w:type="dxa" w:w="208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数据与质量</w:t>
            </w:r>
          </w:p>
        </w:tc>
        <w:tc>
          <w:tcPr>
            <w:tcW w:type="dxa" w:w="1728"/>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KEEP</w:t>
            </w:r>
          </w:p>
        </w:tc>
        <w:tc>
          <w:tcPr>
            <w:tcW w:type="dxa" w:w="446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保留来源和原始 Evidence</w:t>
            </w:r>
          </w:p>
        </w:tc>
      </w:tr>
      <w:tr>
        <w:trPr>
          <w:cantSplit/>
        </w:trPr>
        <w:tc>
          <w:tcPr>
            <w:tcW w:type="dxa" w:w="180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标准数据</w:t>
            </w:r>
          </w:p>
        </w:tc>
        <w:tc>
          <w:tcPr>
            <w:tcW w:type="dxa" w:w="208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数据与质量</w:t>
            </w:r>
          </w:p>
        </w:tc>
        <w:tc>
          <w:tcPr>
            <w:tcW w:type="dxa" w:w="1728"/>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KEEP</w:t>
            </w:r>
          </w:p>
        </w:tc>
        <w:tc>
          <w:tcPr>
            <w:tcW w:type="dxa" w:w="446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保留人工确认后的正式数据</w:t>
            </w:r>
          </w:p>
        </w:tc>
      </w:tr>
      <w:tr>
        <w:trPr>
          <w:cantSplit/>
        </w:trPr>
        <w:tc>
          <w:tcPr>
            <w:tcW w:type="dxa" w:w="180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知识库</w:t>
            </w:r>
          </w:p>
        </w:tc>
        <w:tc>
          <w:tcPr>
            <w:tcW w:type="dxa" w:w="208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Study Knowledge + Research Asset</w:t>
            </w:r>
          </w:p>
        </w:tc>
        <w:tc>
          <w:tcPr>
            <w:tcW w:type="dxa" w:w="1728"/>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IMPROVE</w:t>
            </w:r>
          </w:p>
        </w:tc>
        <w:tc>
          <w:tcPr>
            <w:tcW w:type="dxa" w:w="446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工作空间与治理资产分离</w:t>
            </w:r>
          </w:p>
        </w:tc>
      </w:tr>
      <w:tr>
        <w:trPr>
          <w:cantSplit/>
        </w:trPr>
        <w:tc>
          <w:tcPr>
            <w:tcW w:type="dxa" w:w="180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审计日志</w:t>
            </w:r>
          </w:p>
        </w:tc>
        <w:tc>
          <w:tcPr>
            <w:tcW w:type="dxa" w:w="208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Governance</w:t>
            </w:r>
          </w:p>
        </w:tc>
        <w:tc>
          <w:tcPr>
            <w:tcW w:type="dxa" w:w="1728"/>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MOVE</w:t>
            </w:r>
          </w:p>
        </w:tc>
        <w:tc>
          <w:tcPr>
            <w:tcW w:type="dxa" w:w="446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按记录可查看变更，高级审计进入治理后台</w:t>
            </w:r>
          </w:p>
        </w:tc>
      </w:tr>
      <w:tr>
        <w:trPr>
          <w:cantSplit/>
        </w:trPr>
        <w:tc>
          <w:tcPr>
            <w:tcW w:type="dxa" w:w="180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科研分析</w:t>
            </w:r>
          </w:p>
        </w:tc>
        <w:tc>
          <w:tcPr>
            <w:tcW w:type="dxa" w:w="208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Research Analysis</w:t>
            </w:r>
          </w:p>
        </w:tc>
        <w:tc>
          <w:tcPr>
            <w:tcW w:type="dxa" w:w="1728"/>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EXPAND</w:t>
            </w:r>
          </w:p>
        </w:tc>
        <w:tc>
          <w:tcPr>
            <w:tcW w:type="dxa" w:w="446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形成可追溯 Analysis Artifact</w:t>
            </w:r>
          </w:p>
        </w:tc>
      </w:tr>
      <w:tr>
        <w:trPr>
          <w:cantSplit/>
        </w:trPr>
        <w:tc>
          <w:tcPr>
            <w:tcW w:type="dxa" w:w="180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科研产出</w:t>
            </w:r>
          </w:p>
        </w:tc>
        <w:tc>
          <w:tcPr>
            <w:tcW w:type="dxa" w:w="208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Research Output</w:t>
            </w:r>
          </w:p>
        </w:tc>
        <w:tc>
          <w:tcPr>
            <w:tcW w:type="dxa" w:w="1728"/>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EXPAND</w:t>
            </w:r>
          </w:p>
        </w:tc>
        <w:tc>
          <w:tcPr>
            <w:tcW w:type="dxa" w:w="446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基于已审核 Study Context 形成报告和汇报</w:t>
            </w:r>
          </w:p>
        </w:tc>
      </w:tr>
      <w:tr>
        <w:trPr>
          <w:cantSplit/>
        </w:trPr>
        <w:tc>
          <w:tcPr>
            <w:tcW w:type="dxa" w:w="180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无对应能力</w:t>
            </w:r>
          </w:p>
        </w:tc>
        <w:tc>
          <w:tcPr>
            <w:tcW w:type="dxa" w:w="208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Research Asset</w:t>
            </w:r>
          </w:p>
        </w:tc>
        <w:tc>
          <w:tcPr>
            <w:tcW w:type="dxa" w:w="1728"/>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NEW</w:t>
            </w:r>
          </w:p>
        </w:tc>
        <w:tc>
          <w:tcPr>
            <w:tcW w:type="dxa" w:w="446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连接 Study 与 Hub 的价值传递机制</w:t>
            </w:r>
          </w:p>
        </w:tc>
      </w:tr>
    </w:tbl>
    <w:p>
      <w:pPr>
        <w:keepNext w:val="0"/>
        <w:widowControl/>
        <w:spacing w:before="0" w:after="120" w:line="240" w:lineRule="auto"/>
      </w:pPr>
    </w:p>
    <w:p>
      <w:pPr>
        <w:pStyle w:val="Heading2"/>
        <w:keepNext/>
        <w:spacing w:line="276" w:lineRule="auto"/>
      </w:pPr>
      <w:r>
        <w:rPr>
          <w:rFonts w:ascii="Arial Unicode MS" w:hAnsi="Arial Unicode MS" w:eastAsia="Arial Unicode MS"/>
          <w:b/>
          <w:i w:val="0"/>
          <w:color w:val="000000"/>
          <w:sz w:val="26"/>
        </w:rPr>
        <w:t>8 3 迁移约束</w:t>
      </w:r>
    </w:p>
    <w:p>
      <w:pPr>
        <w:pStyle w:val="ListBullet"/>
        <w:keepNext w:val="0"/>
        <w:widowControl/>
        <w:spacing w:before="0" w:after="100" w:line="298" w:lineRule="auto"/>
        <w:ind w:left="360" w:hanging="230"/>
      </w:pPr>
      <w:r>
        <w:rPr>
          <w:rFonts w:ascii="Arial Unicode MS" w:hAnsi="Arial Unicode MS" w:eastAsia="Arial Unicode MS"/>
          <w:b w:val="0"/>
          <w:i w:val="0"/>
          <w:color w:val="000000"/>
          <w:sz w:val="21"/>
        </w:rPr>
        <w:t>先调整入口和上下文，再决定是否需要重构底层业务。</w:t>
      </w:r>
    </w:p>
    <w:p>
      <w:pPr>
        <w:pStyle w:val="ListBullet"/>
        <w:keepNext w:val="0"/>
        <w:widowControl/>
        <w:spacing w:before="0" w:after="100" w:line="298" w:lineRule="auto"/>
        <w:ind w:left="360" w:hanging="230"/>
      </w:pPr>
      <w:r>
        <w:rPr>
          <w:rFonts w:ascii="Arial Unicode MS" w:hAnsi="Arial Unicode MS" w:eastAsia="Arial Unicode MS"/>
          <w:b w:val="0"/>
          <w:i w:val="0"/>
          <w:color w:val="000000"/>
          <w:sz w:val="21"/>
        </w:rPr>
        <w:t>现有课题数据、权限、方案版本、访视、疑问、偏离、复核和审计能力必须可继承。</w:t>
      </w:r>
    </w:p>
    <w:p>
      <w:pPr>
        <w:pStyle w:val="ListBullet"/>
        <w:keepNext w:val="0"/>
        <w:widowControl/>
        <w:spacing w:before="0" w:after="100" w:line="298" w:lineRule="auto"/>
        <w:ind w:left="360" w:hanging="230"/>
      </w:pPr>
      <w:r>
        <w:rPr>
          <w:rFonts w:ascii="Arial Unicode MS" w:hAnsi="Arial Unicode MS" w:eastAsia="Arial Unicode MS"/>
          <w:b w:val="0"/>
          <w:i w:val="0"/>
          <w:color w:val="000000"/>
          <w:sz w:val="21"/>
        </w:rPr>
        <w:t>所有新增 AI 行为必须沿用原始资料、提议数据、人工确认、正式数据的可信链条。</w:t>
      </w:r>
    </w:p>
    <w:p>
      <w:pPr>
        <w:pStyle w:val="ListBullet"/>
        <w:keepNext w:val="0"/>
        <w:widowControl/>
        <w:spacing w:before="0" w:after="100" w:line="298" w:lineRule="auto"/>
        <w:ind w:left="360" w:hanging="230"/>
      </w:pPr>
      <w:r>
        <w:rPr>
          <w:rFonts w:ascii="Arial Unicode MS" w:hAnsi="Arial Unicode MS" w:eastAsia="Arial Unicode MS"/>
          <w:b w:val="0"/>
          <w:i w:val="0"/>
          <w:color w:val="000000"/>
          <w:sz w:val="21"/>
        </w:rPr>
        <w:t>研究设计、分析、产出和资产可以渐进增加，不阻塞现有执行工作。</w:t>
      </w:r>
    </w:p>
    <w:p>
      <w:pPr>
        <w:pStyle w:val="Heading1"/>
        <w:keepNext/>
        <w:pageBreakBefore/>
        <w:spacing w:line="276" w:lineRule="auto" w:before="160" w:after="160"/>
      </w:pPr>
      <w:r>
        <w:rPr>
          <w:rFonts w:ascii="Arial Unicode MS" w:hAnsi="Arial Unicode MS" w:eastAsia="Arial Unicode MS"/>
          <w:b/>
          <w:i w:val="0"/>
          <w:color w:val="000000"/>
          <w:sz w:val="33"/>
        </w:rPr>
        <w:t>9 My Research Workspace</w:t>
      </w:r>
    </w:p>
    <w:p>
      <w:pPr>
        <w:pStyle w:val="Heading2"/>
        <w:keepNext/>
        <w:spacing w:line="276" w:lineRule="auto"/>
      </w:pPr>
      <w:r>
        <w:rPr>
          <w:rFonts w:ascii="Arial Unicode MS" w:hAnsi="Arial Unicode MS" w:eastAsia="Arial Unicode MS"/>
          <w:b/>
          <w:i w:val="0"/>
          <w:color w:val="000000"/>
          <w:sz w:val="26"/>
        </w:rPr>
        <w:t>9 1 产品角色</w:t>
      </w:r>
    </w:p>
    <w:p>
      <w:pPr>
        <w:keepNext w:val="0"/>
        <w:widowControl/>
        <w:spacing w:before="60" w:after="180" w:line="307" w:lineRule="auto"/>
        <w:ind w:left="504" w:right="360"/>
      </w:pPr>
      <w:r>
        <w:rPr>
          <w:rFonts w:ascii="Arial Unicode MS" w:hAnsi="Arial Unicode MS" w:eastAsia="Arial Unicode MS"/>
          <w:b/>
          <w:i w:val="0"/>
          <w:color w:val="17365D"/>
          <w:sz w:val="21"/>
        </w:rPr>
        <w:t>My Research 是个人科研指挥中心，不是传统 Dashboard。</w:t>
      </w:r>
    </w:p>
    <w:p>
      <w:pPr>
        <w:keepNext w:val="0"/>
        <w:widowControl/>
        <w:spacing w:before="0" w:after="140" w:line="317" w:lineRule="auto"/>
      </w:pPr>
      <w:r>
        <w:rPr>
          <w:rFonts w:ascii="Arial Unicode MS" w:hAnsi="Arial Unicode MS" w:eastAsia="Arial Unicode MS"/>
          <w:b w:val="0"/>
          <w:i w:val="0"/>
          <w:color w:val="000000"/>
          <w:sz w:val="22"/>
        </w:rPr>
        <w:t>它聚合用户跨 Study 和跨 Hub 的实际工作、研究组合、科研动态与 AI 辅助。复杂业务仍属于 Study；My Research 负责让用户知道现在最值得做什么。</w:t>
      </w:r>
    </w:p>
    <w:p>
      <w:pPr>
        <w:pStyle w:val="Heading2"/>
        <w:keepNext/>
        <w:spacing w:line="276" w:lineRule="auto"/>
      </w:pPr>
      <w:r>
        <w:rPr>
          <w:rFonts w:ascii="Arial Unicode MS" w:hAnsi="Arial Unicode MS" w:eastAsia="Arial Unicode MS"/>
          <w:b/>
          <w:i w:val="0"/>
          <w:color w:val="000000"/>
          <w:sz w:val="26"/>
        </w:rPr>
        <w:t>9 2 四个核心组成</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blHeader w:val="true"/>
        </w:trPr>
        <w:tc>
          <w:tcPr>
            <w:tcW w:type="dxa" w:w="2088"/>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组成</w:t>
            </w:r>
          </w:p>
        </w:tc>
        <w:tc>
          <w:tcPr>
            <w:tcW w:type="dxa" w:w="3960"/>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回答的问题</w:t>
            </w:r>
          </w:p>
        </w:tc>
        <w:tc>
          <w:tcPr>
            <w:tcW w:type="dxa" w:w="4031"/>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示例</w:t>
            </w:r>
          </w:p>
        </w:tc>
      </w:tr>
      <w:tr>
        <w:trPr>
          <w:cantSplit/>
        </w:trPr>
        <w:tc>
          <w:tcPr>
            <w:tcW w:type="dxa" w:w="208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Research Inbox</w:t>
            </w:r>
          </w:p>
        </w:tc>
        <w:tc>
          <w:tcPr>
            <w:tcW w:type="dxa" w:w="396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现在有什么需要我处理或关注</w:t>
            </w:r>
          </w:p>
        </w:tc>
        <w:tc>
          <w:tcPr>
            <w:tcW w:type="dxa" w:w="4031"/>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决策、审批、风险、数据疑问、Research Opportunity</w:t>
            </w:r>
          </w:p>
        </w:tc>
      </w:tr>
      <w:tr>
        <w:trPr>
          <w:cantSplit/>
        </w:trPr>
        <w:tc>
          <w:tcPr>
            <w:tcW w:type="dxa" w:w="208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Research Portfolio</w:t>
            </w:r>
          </w:p>
        </w:tc>
        <w:tc>
          <w:tcPr>
            <w:tcW w:type="dxa" w:w="396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我的研究组合处在哪些生命周期阶段</w:t>
            </w:r>
          </w:p>
        </w:tc>
        <w:tc>
          <w:tcPr>
            <w:tcW w:type="dxa" w:w="4031"/>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主持、参与、协作的 Study 及当前状态</w:t>
            </w:r>
          </w:p>
        </w:tc>
      </w:tr>
      <w:tr>
        <w:trPr>
          <w:cantSplit/>
        </w:trPr>
        <w:tc>
          <w:tcPr>
            <w:tcW w:type="dxa" w:w="208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Research Brief</w:t>
            </w:r>
          </w:p>
        </w:tc>
        <w:tc>
          <w:tcPr>
            <w:tcW w:type="dxa" w:w="396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外部变化中哪些与我有关</w:t>
            </w:r>
          </w:p>
        </w:tc>
        <w:tc>
          <w:tcPr>
            <w:tcW w:type="dxa" w:w="4031"/>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与关注方向或当前 Study 相关的新证据和变化</w:t>
            </w:r>
          </w:p>
        </w:tc>
      </w:tr>
      <w:tr>
        <w:trPr>
          <w:cantSplit/>
        </w:trPr>
        <w:tc>
          <w:tcPr>
            <w:tcW w:type="dxa" w:w="208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Qiyan AI</w:t>
            </w:r>
          </w:p>
        </w:tc>
        <w:tc>
          <w:tcPr>
            <w:tcW w:type="dxa" w:w="396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系统如何帮助我理解并行动</w:t>
            </w:r>
          </w:p>
        </w:tc>
        <w:tc>
          <w:tcPr>
            <w:tcW w:type="dxa" w:w="4031"/>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总结进展、分析异常、探索方向、进入对应工作区</w:t>
            </w:r>
          </w:p>
        </w:tc>
      </w:tr>
    </w:tbl>
    <w:p>
      <w:pPr>
        <w:keepNext w:val="0"/>
        <w:widowControl/>
        <w:spacing w:before="0" w:after="120" w:line="240" w:lineRule="auto"/>
      </w:pPr>
    </w:p>
    <w:p>
      <w:pPr>
        <w:pStyle w:val="Heading2"/>
        <w:keepNext/>
        <w:spacing w:line="276" w:lineRule="auto"/>
      </w:pPr>
      <w:r>
        <w:rPr>
          <w:rFonts w:ascii="Arial Unicode MS" w:hAnsi="Arial Unicode MS" w:eastAsia="Arial Unicode MS"/>
          <w:b/>
          <w:i w:val="0"/>
          <w:color w:val="000000"/>
          <w:sz w:val="26"/>
        </w:rPr>
        <w:t>9 3 Job Adaptive Experience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blHeader w:val="true"/>
        </w:trPr>
        <w:tc>
          <w:tcPr>
            <w:tcW w:type="dxa" w:w="1728"/>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维度</w:t>
            </w:r>
          </w:p>
        </w:tc>
        <w:tc>
          <w:tcPr>
            <w:tcW w:type="dxa" w:w="4176"/>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PI 与教授</w:t>
            </w:r>
          </w:p>
        </w:tc>
        <w:tc>
          <w:tcPr>
            <w:tcW w:type="dxa" w:w="4176"/>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研究员与临床科研人员</w:t>
            </w:r>
          </w:p>
        </w:tc>
      </w:tr>
      <w:tr>
        <w:trPr>
          <w:cantSplit/>
        </w:trPr>
        <w:tc>
          <w:tcPr>
            <w:tcW w:type="dxa" w:w="172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核心 Job</w:t>
            </w:r>
          </w:p>
        </w:tc>
        <w:tc>
          <w:tcPr>
            <w:tcW w:type="dxa" w:w="417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Monitor → Understand → Decide → Explore</w:t>
            </w:r>
          </w:p>
        </w:tc>
        <w:tc>
          <w:tcPr>
            <w:tcW w:type="dxa" w:w="417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Execute → Confirm → Resolve</w:t>
            </w:r>
          </w:p>
        </w:tc>
      </w:tr>
      <w:tr>
        <w:trPr>
          <w:cantSplit/>
        </w:trPr>
        <w:tc>
          <w:tcPr>
            <w:tcW w:type="dxa" w:w="172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首要内容</w:t>
            </w:r>
          </w:p>
        </w:tc>
        <w:tc>
          <w:tcPr>
            <w:tcW w:type="dxa" w:w="4176"/>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需要决策、研究组合、Research Brief、AI 分析</w:t>
            </w:r>
          </w:p>
        </w:tc>
        <w:tc>
          <w:tcPr>
            <w:tcW w:type="dxa" w:w="4176"/>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今日访视、随访、数据确认、疑问、即将逾期</w:t>
            </w:r>
          </w:p>
        </w:tc>
      </w:tr>
      <w:tr>
        <w:trPr>
          <w:cantSplit/>
        </w:trPr>
        <w:tc>
          <w:tcPr>
            <w:tcW w:type="dxa" w:w="172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主要进入方式</w:t>
            </w:r>
          </w:p>
        </w:tc>
        <w:tc>
          <w:tcPr>
            <w:tcW w:type="dxa" w:w="417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从 Attention 进入 Study 或 Hub</w:t>
            </w:r>
          </w:p>
        </w:tc>
        <w:tc>
          <w:tcPr>
            <w:tcW w:type="dxa" w:w="417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从 Today’s Work 直接进入 Subject 或 Visit</w:t>
            </w:r>
          </w:p>
        </w:tc>
      </w:tr>
      <w:tr>
        <w:trPr>
          <w:cantSplit/>
        </w:trPr>
        <w:tc>
          <w:tcPr>
            <w:tcW w:type="dxa" w:w="172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成功体验</w:t>
            </w:r>
          </w:p>
        </w:tc>
        <w:tc>
          <w:tcPr>
            <w:tcW w:type="dxa" w:w="4176"/>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较短时间内知道最需要关注的研究问题和下一步</w:t>
            </w:r>
          </w:p>
        </w:tc>
        <w:tc>
          <w:tcPr>
            <w:tcW w:type="dxa" w:w="4176"/>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无需在多个 Study 菜单间巡检即可开始工作</w:t>
            </w:r>
          </w:p>
        </w:tc>
      </w:tr>
    </w:tbl>
    <w:p>
      <w:pPr>
        <w:keepNext w:val="0"/>
        <w:widowControl/>
        <w:spacing w:before="0" w:after="120" w:line="240" w:lineRule="auto"/>
      </w:pPr>
    </w:p>
    <w:p>
      <w:pPr>
        <w:pStyle w:val="Heading2"/>
        <w:keepNext/>
        <w:spacing w:line="276" w:lineRule="auto"/>
      </w:pPr>
      <w:r>
        <w:rPr>
          <w:rFonts w:ascii="Arial Unicode MS" w:hAnsi="Arial Unicode MS" w:eastAsia="Arial Unicode MS"/>
          <w:b/>
          <w:i w:val="0"/>
          <w:color w:val="000000"/>
          <w:sz w:val="26"/>
        </w:rPr>
        <w:t>9 4 Research Attention</w:t>
      </w:r>
    </w:p>
    <w:p>
      <w:pPr>
        <w:keepNext w:val="0"/>
        <w:widowControl/>
        <w:spacing w:before="0" w:after="140" w:line="317" w:lineRule="auto"/>
      </w:pPr>
      <w:r>
        <w:rPr>
          <w:rFonts w:ascii="Arial Unicode MS" w:hAnsi="Arial Unicode MS" w:eastAsia="Arial Unicode MS"/>
          <w:b/>
          <w:i w:val="0"/>
          <w:color w:val="9A6700"/>
          <w:sz w:val="19"/>
        </w:rPr>
        <w:t xml:space="preserve">HYPOTHESIS HYP-012  </w:t>
      </w:r>
      <w:r>
        <w:rPr>
          <w:rFonts w:ascii="Arial Unicode MS" w:hAnsi="Arial Unicode MS" w:eastAsia="Arial Unicode MS"/>
          <w:b w:val="0"/>
          <w:i w:val="0"/>
          <w:color w:val="000000"/>
          <w:sz w:val="21"/>
        </w:rPr>
        <w:t>Research Attention 是 My Research 的核心聚合对象，用于统一 Task、Risk、Query、Approval、Insight、Opportunity、Collaboration 和 Literature 等来源。</w:t>
      </w:r>
    </w:p>
    <w:p>
      <w:pPr>
        <w:keepNext w:val="0"/>
        <w:widowControl/>
        <w:spacing w:before="0" w:after="140" w:line="317" w:lineRule="auto"/>
      </w:pPr>
      <w:r>
        <w:rPr>
          <w:rFonts w:ascii="Arial Unicode MS" w:hAnsi="Arial Unicode MS" w:eastAsia="Arial Unicode MS"/>
          <w:b w:val="0"/>
          <w:i w:val="0"/>
          <w:color w:val="000000"/>
          <w:sz w:val="22"/>
        </w:rPr>
        <w:t>每个 Attention Item 至少需要 Type、Priority、Context、Reason、Owner、Due Date、Suggested Action 和 Source。它与普通通知不同：通知说明发生了什么，Attention 解释为什么值得某位科研人员现在关注。</w:t>
      </w:r>
    </w:p>
    <w:p>
      <w:pPr>
        <w:keepNext w:val="0"/>
        <w:widowControl/>
        <w:spacing w:before="0" w:after="140" w:line="317" w:lineRule="auto"/>
      </w:pPr>
      <w:r>
        <w:rPr>
          <w:rFonts w:ascii="Arial Unicode MS" w:hAnsi="Arial Unicode MS" w:eastAsia="Arial Unicode MS"/>
          <w:b/>
          <w:i w:val="0"/>
          <w:color w:val="A61B1B"/>
          <w:sz w:val="19"/>
        </w:rPr>
        <w:t xml:space="preserve">OPEN QUESTION OQ-010  </w:t>
      </w:r>
      <w:r>
        <w:rPr>
          <w:rFonts w:ascii="Arial Unicode MS" w:hAnsi="Arial Unicode MS" w:eastAsia="Arial Unicode MS"/>
          <w:b w:val="0"/>
          <w:i w:val="0"/>
          <w:color w:val="000000"/>
          <w:sz w:val="21"/>
        </w:rPr>
        <w:t>Attention 的生成规则、优先级、去重、关闭状态和误报反馈尚未定义，需要在原型与真实数据审查中验证。</w:t>
      </w:r>
    </w:p>
    <w:p>
      <w:pPr>
        <w:pStyle w:val="Heading1"/>
        <w:keepNext/>
        <w:pageBreakBefore/>
        <w:spacing w:line="276" w:lineRule="auto" w:before="160" w:after="160"/>
      </w:pPr>
      <w:r>
        <w:rPr>
          <w:rFonts w:ascii="Arial Unicode MS" w:hAnsi="Arial Unicode MS" w:eastAsia="Arial Unicode MS"/>
          <w:b/>
          <w:i w:val="0"/>
          <w:color w:val="000000"/>
          <w:sz w:val="33"/>
        </w:rPr>
        <w:t>10 科研资产与治理</w:t>
      </w:r>
    </w:p>
    <w:p>
      <w:pPr>
        <w:pStyle w:val="Heading2"/>
        <w:keepNext/>
        <w:spacing w:line="276" w:lineRule="auto"/>
      </w:pPr>
      <w:r>
        <w:rPr>
          <w:rFonts w:ascii="Arial Unicode MS" w:hAnsi="Arial Unicode MS" w:eastAsia="Arial Unicode MS"/>
          <w:b/>
          <w:i w:val="0"/>
          <w:color w:val="000000"/>
          <w:sz w:val="26"/>
        </w:rPr>
        <w:t>10 1 Artifact 与 Asset</w:t>
      </w:r>
    </w:p>
    <w:p>
      <w:pPr>
        <w:keepNext w:val="0"/>
        <w:widowControl/>
        <w:spacing w:before="0" w:after="140" w:line="317" w:lineRule="auto"/>
      </w:pPr>
      <w:r>
        <w:rPr>
          <w:rFonts w:ascii="Arial Unicode MS" w:hAnsi="Arial Unicode MS" w:eastAsia="Arial Unicode MS"/>
          <w:b/>
          <w:i w:val="0"/>
          <w:color w:val="1F4E79"/>
          <w:sz w:val="19"/>
        </w:rPr>
        <w:t xml:space="preserve">DECISION DEC-023  </w:t>
      </w:r>
      <w:r>
        <w:rPr>
          <w:rFonts w:ascii="Arial Unicode MS" w:hAnsi="Arial Unicode MS" w:eastAsia="Arial Unicode MS"/>
          <w:b w:val="0"/>
          <w:i w:val="0"/>
          <w:color w:val="000000"/>
          <w:sz w:val="21"/>
        </w:rPr>
        <w:t>研究过程中产生或使用的内容首先是 Research Artifact。只有经过整理、来源确认、版本管理、责任确认并具有长期保存或复用价值，才升级为 Research Asset。</w:t>
      </w:r>
    </w:p>
    <w:p>
      <w:pPr>
        <w:keepNext w:val="0"/>
        <w:widowControl/>
        <w:spacing w:before="0" w:after="140" w:line="317" w:lineRule="auto"/>
      </w:pPr>
      <w:r>
        <w:rPr>
          <w:rFonts w:ascii="Arial Unicode MS" w:hAnsi="Arial Unicode MS" w:eastAsia="Arial Unicode MS"/>
          <w:b w:val="0"/>
          <w:i w:val="0"/>
          <w:color w:val="000000"/>
          <w:sz w:val="22"/>
        </w:rPr>
        <w:t>一张访视量表是 Artifact；一个团队经过研究形成并治理的标准随访量表组合，才可能成为 Asset。外部论文原文属于 External Evidence；围绕论文形成并审阅的证据笔记可以成为 Research Knowledge Asset。</w:t>
      </w:r>
    </w:p>
    <w:p>
      <w:r>
        <w:rPr>
          <w:rFonts w:ascii="Arial Unicode MS" w:hAnsi="Arial Unicode MS" w:eastAsia="Arial Unicode MS"/>
        </w:rPr>
        <w:t>Evidence、Knowledge、Artifact 与 Asset 采用分层语义：Evidence 是来源，Knowledge 是活跃知识工作对象，Artifact 是过程产物，Asset 是经过 Human Review 与治理后可长期复用的价值对象。论文收藏、上传文件或 AI Draft 均不自动成为 Asset。</w:t>
      </w:r>
    </w:p>
    <w:p>
      <w:pPr>
        <w:pStyle w:val="Heading2"/>
        <w:keepNext/>
        <w:spacing w:line="276" w:lineRule="auto"/>
      </w:pPr>
      <w:r>
        <w:rPr>
          <w:rFonts w:ascii="Arial Unicode MS" w:hAnsi="Arial Unicode MS" w:eastAsia="Arial Unicode MS"/>
          <w:b/>
          <w:i w:val="0"/>
          <w:color w:val="000000"/>
          <w:sz w:val="26"/>
        </w:rPr>
        <w:t>10 2 资产类型</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blHeader w:val="true"/>
        </w:trPr>
        <w:tc>
          <w:tcPr>
            <w:tcW w:type="dxa" w:w="2088"/>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类型</w:t>
            </w:r>
          </w:p>
        </w:tc>
        <w:tc>
          <w:tcPr>
            <w:tcW w:type="dxa" w:w="3888"/>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示例</w:t>
            </w:r>
          </w:p>
        </w:tc>
        <w:tc>
          <w:tcPr>
            <w:tcW w:type="dxa" w:w="4104"/>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MVP 处理</w:t>
            </w:r>
          </w:p>
        </w:tc>
      </w:tr>
      <w:tr>
        <w:trPr>
          <w:cantSplit/>
        </w:trPr>
        <w:tc>
          <w:tcPr>
            <w:tcW w:type="dxa" w:w="208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Research Data</w:t>
            </w:r>
          </w:p>
        </w:tc>
        <w:tc>
          <w:tcPr>
            <w:tcW w:type="dxa" w:w="388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Study Dataset、脱敏数据集、领域数据集</w:t>
            </w:r>
          </w:p>
        </w:tc>
        <w:tc>
          <w:tcPr>
            <w:tcW w:type="dxa" w:w="410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先支持 Metadata 与 Catalog；数据访问走独立治理</w:t>
            </w:r>
          </w:p>
        </w:tc>
      </w:tr>
      <w:tr>
        <w:trPr>
          <w:cantSplit/>
        </w:trPr>
        <w:tc>
          <w:tcPr>
            <w:tcW w:type="dxa" w:w="208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Research Protocol</w:t>
            </w:r>
          </w:p>
        </w:tc>
        <w:tc>
          <w:tcPr>
            <w:tcW w:type="dxa" w:w="388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研究方案、访视方案、随访方案、干预方案</w:t>
            </w:r>
          </w:p>
        </w:tc>
        <w:tc>
          <w:tcPr>
            <w:tcW w:type="dxa" w:w="410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支持版本、来源、引用和派生</w:t>
            </w:r>
          </w:p>
        </w:tc>
      </w:tr>
      <w:tr>
        <w:trPr>
          <w:cantSplit/>
        </w:trPr>
        <w:tc>
          <w:tcPr>
            <w:tcW w:type="dxa" w:w="208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Clinical Standard</w:t>
            </w:r>
          </w:p>
        </w:tc>
        <w:tc>
          <w:tcPr>
            <w:tcW w:type="dxa" w:w="388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证型、诊断标准、穴位体系、针刺规范</w:t>
            </w:r>
          </w:p>
        </w:tc>
        <w:tc>
          <w:tcPr>
            <w:tcW w:type="dxa" w:w="410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记录适用范围和治理责任</w:t>
            </w:r>
          </w:p>
        </w:tc>
      </w:tr>
      <w:tr>
        <w:trPr>
          <w:cantSplit/>
        </w:trPr>
        <w:tc>
          <w:tcPr>
            <w:tcW w:type="dxa" w:w="208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Research Instrument</w:t>
            </w:r>
          </w:p>
        </w:tc>
        <w:tc>
          <w:tcPr>
            <w:tcW w:type="dxa" w:w="388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量表、eCRF、问卷、采集模板</w:t>
            </w:r>
          </w:p>
        </w:tc>
        <w:tc>
          <w:tcPr>
            <w:tcW w:type="dxa" w:w="410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支持引用到 Study 并形成 Derived Version</w:t>
            </w:r>
          </w:p>
        </w:tc>
      </w:tr>
      <w:tr>
        <w:trPr>
          <w:cantSplit/>
        </w:trPr>
        <w:tc>
          <w:tcPr>
            <w:tcW w:type="dxa" w:w="208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Research Knowledge</w:t>
            </w:r>
          </w:p>
        </w:tc>
        <w:tc>
          <w:tcPr>
            <w:tcW w:type="dxa" w:w="388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证据总结、研究笔记、方法知识</w:t>
            </w:r>
          </w:p>
        </w:tc>
        <w:tc>
          <w:tcPr>
            <w:tcW w:type="dxa" w:w="410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AI Draft 经 Human Review 后进入资产审阅</w:t>
            </w:r>
          </w:p>
        </w:tc>
      </w:tr>
      <w:tr>
        <w:trPr>
          <w:cantSplit/>
        </w:trPr>
        <w:tc>
          <w:tcPr>
            <w:tcW w:type="dxa" w:w="208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Research Output</w:t>
            </w:r>
          </w:p>
        </w:tc>
        <w:tc>
          <w:tcPr>
            <w:tcW w:type="dxa" w:w="388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分析报告、研究总结、汇报材料、论文相关成果</w:t>
            </w:r>
          </w:p>
        </w:tc>
        <w:tc>
          <w:tcPr>
            <w:tcW w:type="dxa" w:w="410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绑定 Study、数据版本和审核状态</w:t>
            </w:r>
          </w:p>
        </w:tc>
      </w:tr>
    </w:tbl>
    <w:p>
      <w:pPr>
        <w:keepNext w:val="0"/>
        <w:widowControl/>
        <w:spacing w:before="0" w:after="120" w:line="240" w:lineRule="auto"/>
      </w:pPr>
    </w:p>
    <w:p>
      <w:pPr>
        <w:pStyle w:val="Heading2"/>
        <w:keepNext/>
        <w:spacing w:line="276" w:lineRule="auto"/>
      </w:pPr>
      <w:r>
        <w:rPr>
          <w:rFonts w:ascii="Arial Unicode MS" w:hAnsi="Arial Unicode MS" w:eastAsia="Arial Unicode MS"/>
          <w:b/>
          <w:i w:val="0"/>
          <w:color w:val="000000"/>
          <w:sz w:val="26"/>
        </w:rPr>
        <w:t>10 3 生命周期</w:t>
      </w:r>
    </w:p>
    <w:p>
      <w:pPr>
        <w:keepNext w:val="0"/>
        <w:widowControl/>
        <w:spacing w:before="100" w:after="80" w:line="317" w:lineRule="auto"/>
        <w:jc w:val="center"/>
      </w:pPr>
      <w:r>
        <w:rPr>
          <w:rFonts w:ascii="Arial Unicode MS" w:hAnsi="Arial Unicode MS" w:eastAsia="Arial Unicode MS"/>
          <w:b/>
          <w:i w:val="0"/>
          <w:color w:val="17365D"/>
          <w:sz w:val="21"/>
        </w:rPr>
        <w:t>Research Artifact → Candidate Asset → Reviewed Asset → Research Asset → Shared Asset → Hub Asset → Domain Asset</w:t>
      </w:r>
    </w:p>
    <w:p>
      <w:pPr>
        <w:keepNext w:val="0"/>
        <w:widowControl/>
        <w:spacing w:before="0" w:after="140" w:line="317" w:lineRule="auto"/>
      </w:pPr>
      <w:r>
        <w:rPr>
          <w:rFonts w:ascii="Arial Unicode MS" w:hAnsi="Arial Unicode MS" w:eastAsia="Arial Unicode MS"/>
          <w:b w:val="0"/>
          <w:i w:val="0"/>
          <w:color w:val="000000"/>
          <w:sz w:val="22"/>
        </w:rPr>
        <w:t>绝大多数 Artifact 可以停留在 Study Private。AI 可识别 Candidate Asset 并给出复用理由，但不能自动发布。Domain Asset 需要多研究使用、专家治理或领域认可，不能由 AI 单独决定。</w:t>
      </w:r>
    </w:p>
    <w:p>
      <w:pPr>
        <w:pStyle w:val="Heading2"/>
        <w:keepNext/>
        <w:spacing w:line="276" w:lineRule="auto"/>
      </w:pPr>
      <w:r>
        <w:rPr>
          <w:rFonts w:ascii="Arial Unicode MS" w:hAnsi="Arial Unicode MS" w:eastAsia="Arial Unicode MS"/>
          <w:b/>
          <w:i w:val="0"/>
          <w:color w:val="000000"/>
          <w:sz w:val="26"/>
        </w:rPr>
        <w:t>10 4 治理角色</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blHeader w:val="true"/>
        </w:trPr>
        <w:tc>
          <w:tcPr>
            <w:tcW w:type="dxa" w:w="1655"/>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角色</w:t>
            </w:r>
          </w:p>
        </w:tc>
        <w:tc>
          <w:tcPr>
            <w:tcW w:type="dxa" w:w="3456"/>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含义</w:t>
            </w:r>
          </w:p>
        </w:tc>
        <w:tc>
          <w:tcPr>
            <w:tcW w:type="dxa" w:w="4968"/>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关键边界</w:t>
            </w:r>
          </w:p>
        </w:tc>
      </w:tr>
      <w:tr>
        <w:trPr>
          <w:cantSplit/>
        </w:trPr>
        <w:tc>
          <w:tcPr>
            <w:tcW w:type="dxa" w:w="1655"/>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Creator</w:t>
            </w:r>
          </w:p>
        </w:tc>
        <w:tc>
          <w:tcPr>
            <w:tcW w:type="dxa" w:w="345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创建资产的人</w:t>
            </w:r>
          </w:p>
        </w:tc>
        <w:tc>
          <w:tcPr>
            <w:tcW w:type="dxa" w:w="496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拥有贡献者身份和发起共享能力，不等于可任意公开</w:t>
            </w:r>
          </w:p>
        </w:tc>
      </w:tr>
      <w:tr>
        <w:trPr>
          <w:cantSplit/>
        </w:trPr>
        <w:tc>
          <w:tcPr>
            <w:tcW w:type="dxa" w:w="1655"/>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Contributor</w:t>
            </w:r>
          </w:p>
        </w:tc>
        <w:tc>
          <w:tcPr>
            <w:tcW w:type="dxa" w:w="3456"/>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共同形成资产的人</w:t>
            </w:r>
          </w:p>
        </w:tc>
        <w:tc>
          <w:tcPr>
            <w:tcW w:type="dxa" w:w="496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共享后保留贡献记录</w:t>
            </w:r>
          </w:p>
        </w:tc>
      </w:tr>
      <w:tr>
        <w:trPr>
          <w:cantSplit/>
        </w:trPr>
        <w:tc>
          <w:tcPr>
            <w:tcW w:type="dxa" w:w="1655"/>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Owner</w:t>
            </w:r>
          </w:p>
        </w:tc>
        <w:tc>
          <w:tcPr>
            <w:tcW w:type="dxa" w:w="345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资产所属科研主体</w:t>
            </w:r>
          </w:p>
        </w:tc>
        <w:tc>
          <w:tcPr>
            <w:tcW w:type="dxa" w:w="496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可能是课题组或机构，具体规则由项目政策确认</w:t>
            </w:r>
          </w:p>
        </w:tc>
      </w:tr>
      <w:tr>
        <w:trPr>
          <w:cantSplit/>
        </w:trPr>
        <w:tc>
          <w:tcPr>
            <w:tcW w:type="dxa" w:w="1655"/>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Steward</w:t>
            </w:r>
          </w:p>
        </w:tc>
        <w:tc>
          <w:tcPr>
            <w:tcW w:type="dxa" w:w="3456"/>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治理责任人</w:t>
            </w:r>
          </w:p>
        </w:tc>
        <w:tc>
          <w:tcPr>
            <w:tcW w:type="dxa" w:w="496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负责版本、适用范围、质量和政策</w:t>
            </w:r>
          </w:p>
        </w:tc>
      </w:tr>
      <w:tr>
        <w:trPr>
          <w:cantSplit/>
        </w:trPr>
        <w:tc>
          <w:tcPr>
            <w:tcW w:type="dxa" w:w="1655"/>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Publisher</w:t>
            </w:r>
          </w:p>
        </w:tc>
        <w:tc>
          <w:tcPr>
            <w:tcW w:type="dxa" w:w="345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获授权的发布审批人</w:t>
            </w:r>
          </w:p>
        </w:tc>
        <w:tc>
          <w:tcPr>
            <w:tcW w:type="dxa" w:w="496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PI 默认可拥有，也可按资产类型委托</w:t>
            </w:r>
          </w:p>
        </w:tc>
      </w:tr>
    </w:tbl>
    <w:p>
      <w:pPr>
        <w:keepNext w:val="0"/>
        <w:widowControl/>
        <w:spacing w:before="0" w:after="120" w:line="240" w:lineRule="auto"/>
      </w:pPr>
    </w:p>
    <w:p>
      <w:pPr>
        <w:pStyle w:val="Heading2"/>
        <w:keepNext/>
        <w:spacing w:line="276" w:lineRule="auto"/>
      </w:pPr>
      <w:r>
        <w:rPr>
          <w:rFonts w:ascii="Arial Unicode MS" w:hAnsi="Arial Unicode MS" w:eastAsia="Arial Unicode MS"/>
          <w:b/>
          <w:i w:val="0"/>
          <w:color w:val="000000"/>
          <w:sz w:val="26"/>
        </w:rPr>
        <w:t>10 5 共享范围</w:t>
      </w:r>
    </w:p>
    <w:p>
      <w:pPr>
        <w:keepNext w:val="0"/>
        <w:widowControl/>
        <w:spacing w:before="100" w:after="80" w:line="317" w:lineRule="auto"/>
        <w:jc w:val="center"/>
      </w:pPr>
      <w:r>
        <w:rPr>
          <w:rFonts w:ascii="Arial Unicode MS" w:hAnsi="Arial Unicode MS" w:eastAsia="Arial Unicode MS"/>
          <w:b/>
          <w:i w:val="0"/>
          <w:color w:val="17365D"/>
          <w:sz w:val="21"/>
        </w:rPr>
        <w:t>Private → Study → Institution → Selected Teams → Research Hub → Public</w:t>
      </w:r>
    </w:p>
    <w:p>
      <w:pPr>
        <w:keepNext w:val="0"/>
        <w:widowControl/>
        <w:spacing w:before="0" w:after="140" w:line="317" w:lineRule="auto"/>
      </w:pPr>
      <w:r>
        <w:rPr>
          <w:rFonts w:ascii="Arial Unicode MS" w:hAnsi="Arial Unicode MS" w:eastAsia="Arial Unicode MS"/>
          <w:b w:val="0"/>
          <w:i w:val="0"/>
          <w:color w:val="000000"/>
          <w:sz w:val="22"/>
        </w:rPr>
        <w:t>Creator 可以发起共享，Publisher 根据资产类型和范围审批。PI 批准共享不改变作者身份；资产进入 Hub 后仍需显示来源 Study、团队、版本、贡献者和共享时间。</w:t>
      </w:r>
    </w:p>
    <w:p>
      <w:pPr>
        <w:pStyle w:val="Heading2"/>
        <w:keepNext/>
        <w:spacing w:line="276" w:lineRule="auto"/>
      </w:pPr>
      <w:r>
        <w:rPr>
          <w:rFonts w:ascii="Arial Unicode MS" w:hAnsi="Arial Unicode MS" w:eastAsia="Arial Unicode MS"/>
          <w:b/>
          <w:i w:val="0"/>
          <w:color w:val="000000"/>
          <w:sz w:val="26"/>
        </w:rPr>
        <w:t>10 6 数据资产采用独立升级路径</w:t>
      </w:r>
    </w:p>
    <w:p>
      <w:pPr>
        <w:keepNext w:val="0"/>
        <w:widowControl/>
        <w:spacing w:before="100" w:after="80" w:line="317" w:lineRule="auto"/>
        <w:jc w:val="center"/>
      </w:pPr>
      <w:r>
        <w:rPr>
          <w:rFonts w:ascii="Arial Unicode MS" w:hAnsi="Arial Unicode MS" w:eastAsia="Arial Unicode MS"/>
          <w:b/>
          <w:i w:val="0"/>
          <w:color w:val="17365D"/>
          <w:sz w:val="21"/>
        </w:rPr>
        <w:t>Raw Clinical Data → Standardized Research Data → Study Dataset → De-identification → Quality Review → Authorization → Governed Dataset → Hub Domain Dataset</w:t>
      </w:r>
    </w:p>
    <w:p>
      <w:pPr>
        <w:keepNext w:val="0"/>
        <w:widowControl/>
        <w:spacing w:before="0" w:after="140" w:line="317" w:lineRule="auto"/>
      </w:pPr>
      <w:r>
        <w:rPr>
          <w:rFonts w:ascii="Arial Unicode MS" w:hAnsi="Arial Unicode MS" w:eastAsia="Arial Unicode MS"/>
          <w:b/>
          <w:i w:val="0"/>
          <w:color w:val="1F4E79"/>
          <w:sz w:val="19"/>
        </w:rPr>
        <w:t xml:space="preserve">DECISION DEC-026  </w:t>
      </w:r>
      <w:r>
        <w:rPr>
          <w:rFonts w:ascii="Arial Unicode MS" w:hAnsi="Arial Unicode MS" w:eastAsia="Arial Unicode MS"/>
          <w:b w:val="0"/>
          <w:i w:val="0"/>
          <w:color w:val="000000"/>
          <w:sz w:val="21"/>
        </w:rPr>
        <w:t>原始受试者数据不得通过普通科研资产共享按钮进入 Hub。知识、方法与数据采用不同治理强度。</w:t>
      </w:r>
    </w:p>
    <w:p>
      <w:pPr>
        <w:keepNext w:val="0"/>
        <w:widowControl/>
        <w:spacing w:before="0" w:after="140" w:line="317" w:lineRule="auto"/>
      </w:pPr>
      <w:r>
        <w:rPr>
          <w:rFonts w:ascii="Arial Unicode MS" w:hAnsi="Arial Unicode MS" w:eastAsia="Arial Unicode MS"/>
          <w:b/>
          <w:i w:val="0"/>
          <w:color w:val="1F4E79"/>
          <w:sz w:val="19"/>
        </w:rPr>
        <w:t xml:space="preserve">DECISION DEC-027  </w:t>
      </w:r>
      <w:r>
        <w:rPr>
          <w:rFonts w:ascii="Arial Unicode MS" w:hAnsi="Arial Unicode MS" w:eastAsia="Arial Unicode MS"/>
          <w:b w:val="0"/>
          <w:i w:val="0"/>
          <w:color w:val="000000"/>
          <w:sz w:val="21"/>
        </w:rPr>
        <w:t>Data Catalog 可以让研究者发现数据集存在，但患者级数据访问必须独立申请和授权。</w:t>
      </w:r>
    </w:p>
    <w:p>
      <w:pPr>
        <w:pStyle w:val="Heading2"/>
        <w:keepNext/>
        <w:spacing w:line="276" w:lineRule="auto"/>
      </w:pPr>
      <w:r>
        <w:rPr>
          <w:rFonts w:ascii="Arial Unicode MS" w:hAnsi="Arial Unicode MS" w:eastAsia="Arial Unicode MS"/>
          <w:b/>
          <w:i w:val="0"/>
          <w:color w:val="000000"/>
          <w:sz w:val="26"/>
        </w:rPr>
        <w:t>10 7 数据治理开放问题</w:t>
      </w:r>
    </w:p>
    <w:p>
      <w:pPr>
        <w:keepNext w:val="0"/>
        <w:widowControl/>
        <w:spacing w:before="0" w:after="140" w:line="317" w:lineRule="auto"/>
      </w:pPr>
      <w:r>
        <w:rPr>
          <w:rFonts w:ascii="Arial Unicode MS" w:hAnsi="Arial Unicode MS" w:eastAsia="Arial Unicode MS"/>
        </w:rPr>
        <w:t>OPEN QUESTION OQ-001  Data Ownership 与 Legal Governance 继续保持开放。本基线不把数据权利简单归给 PI、课题组、医院或平台。</w:t>
      </w:r>
    </w:p>
    <w:p>
      <w:pPr>
        <w:keepNext w:val="0"/>
        <w:widowControl/>
        <w:spacing w:before="0" w:after="140" w:line="317" w:lineRule="auto"/>
      </w:pPr>
      <w:r>
        <w:rPr>
          <w:rFonts w:ascii="Arial Unicode MS" w:hAnsi="Arial Unicode MS" w:eastAsia="Arial Unicode MS"/>
          <w:b w:val="0"/>
          <w:i w:val="0"/>
          <w:color w:val="000000"/>
          <w:sz w:val="22"/>
        </w:rPr>
        <w:t>详细项目需要分别定义 Custody、Control、Access、Use、Share、Governance 和 Contribution，并明确伦理、知情同意、脱敏、跨机构使用、撤回和审计要求。</w:t>
      </w:r>
    </w:p>
    <w:p>
      <w:pPr>
        <w:pStyle w:val="Heading1"/>
        <w:keepNext/>
        <w:pageBreakBefore/>
        <w:spacing w:line="276" w:lineRule="auto" w:before="160" w:after="160"/>
      </w:pPr>
      <w:r>
        <w:rPr>
          <w:rFonts w:ascii="Arial Unicode MS" w:hAnsi="Arial Unicode MS" w:eastAsia="Arial Unicode MS"/>
          <w:b/>
          <w:i w:val="0"/>
          <w:color w:val="000000"/>
          <w:sz w:val="33"/>
        </w:rPr>
        <w:t>11 Qiyan Research Copilot</w:t>
      </w:r>
    </w:p>
    <w:p>
      <w:pPr>
        <w:pStyle w:val="Heading2"/>
        <w:keepNext/>
        <w:spacing w:line="276" w:lineRule="auto"/>
      </w:pPr>
      <w:r>
        <w:rPr>
          <w:rFonts w:ascii="Arial Unicode MS" w:hAnsi="Arial Unicode MS" w:eastAsia="Arial Unicode MS"/>
          <w:b/>
          <w:i w:val="0"/>
          <w:color w:val="000000"/>
          <w:sz w:val="26"/>
        </w:rPr>
        <w:t>11 1 产品定义</w:t>
      </w:r>
    </w:p>
    <w:p>
      <w:pPr>
        <w:keepNext w:val="0"/>
        <w:widowControl/>
        <w:spacing w:before="60" w:after="180" w:line="307" w:lineRule="auto"/>
        <w:ind w:left="504" w:right="360"/>
      </w:pPr>
      <w:r>
        <w:rPr>
          <w:rFonts w:ascii="Arial Unicode MS" w:hAnsi="Arial Unicode MS" w:eastAsia="Arial Unicode MS"/>
          <w:b/>
          <w:i w:val="0"/>
          <w:color w:val="17365D"/>
          <w:sz w:val="21"/>
        </w:rPr>
        <w:t>Multi Agent 是系统架构，Research Copilot 是用户体验。</w:t>
      </w:r>
    </w:p>
    <w:p>
      <w:pPr>
        <w:keepNext w:val="0"/>
        <w:widowControl/>
        <w:spacing w:before="0" w:after="140" w:line="317" w:lineRule="auto"/>
      </w:pPr>
      <w:r>
        <w:rPr>
          <w:rFonts w:ascii="Arial Unicode MS" w:hAnsi="Arial Unicode MS" w:eastAsia="Arial Unicode MS"/>
          <w:b w:val="0"/>
          <w:i w:val="0"/>
          <w:color w:val="000000"/>
          <w:sz w:val="22"/>
        </w:rPr>
        <w:t>用户主要面对统一的岐研 AI。后台可以调用 Data Agent、Research Agent、Knowledge、Analysis 和其他专业能力。产品不要求用户先判断应该找哪个 Agent。</w:t>
      </w:r>
    </w:p>
    <w:p>
      <w:pPr>
        <w:pStyle w:val="Heading2"/>
        <w:keepNext/>
        <w:spacing w:line="276" w:lineRule="auto"/>
      </w:pPr>
      <w:r>
        <w:rPr>
          <w:rFonts w:ascii="Arial Unicode MS" w:hAnsi="Arial Unicode MS" w:eastAsia="Arial Unicode MS"/>
          <w:b/>
          <w:i w:val="0"/>
          <w:color w:val="000000"/>
          <w:sz w:val="26"/>
        </w:rPr>
        <w:t>11 2 CCAE 模型</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blHeader w:val="true"/>
        </w:trPr>
        <w:tc>
          <w:tcPr>
            <w:tcW w:type="dxa" w:w="1728"/>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维度</w:t>
            </w:r>
          </w:p>
        </w:tc>
        <w:tc>
          <w:tcPr>
            <w:tcW w:type="dxa" w:w="3024"/>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评审问题</w:t>
            </w:r>
          </w:p>
        </w:tc>
        <w:tc>
          <w:tcPr>
            <w:tcW w:type="dxa" w:w="5328"/>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产品要求</w:t>
            </w:r>
          </w:p>
        </w:tc>
      </w:tr>
      <w:tr>
        <w:trPr>
          <w:cantSplit/>
        </w:trPr>
        <w:tc>
          <w:tcPr>
            <w:tcW w:type="dxa" w:w="172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Context</w:t>
            </w:r>
          </w:p>
        </w:tc>
        <w:tc>
          <w:tcPr>
            <w:tcW w:type="dxa" w:w="302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AI 知道什么</w:t>
            </w:r>
          </w:p>
        </w:tc>
        <w:tc>
          <w:tcPr>
            <w:tcW w:type="dxa" w:w="532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明确 User、Institution、Hub、Study、Subject、Visit、Artifact 上下文，并受权限约束</w:t>
            </w:r>
          </w:p>
        </w:tc>
      </w:tr>
      <w:tr>
        <w:trPr>
          <w:cantSplit/>
        </w:trPr>
        <w:tc>
          <w:tcPr>
            <w:tcW w:type="dxa" w:w="172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Capability</w:t>
            </w:r>
          </w:p>
        </w:tc>
        <w:tc>
          <w:tcPr>
            <w:tcW w:type="dxa" w:w="302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AI 能做什么</w:t>
            </w:r>
          </w:p>
        </w:tc>
        <w:tc>
          <w:tcPr>
            <w:tcW w:type="dxa" w:w="532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按 Research Job 描述搜索、筛选、抽取、检查、分析、起草等能力</w:t>
            </w:r>
          </w:p>
        </w:tc>
      </w:tr>
      <w:tr>
        <w:trPr>
          <w:cantSplit/>
        </w:trPr>
        <w:tc>
          <w:tcPr>
            <w:tcW w:type="dxa" w:w="172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Authority</w:t>
            </w:r>
          </w:p>
        </w:tc>
        <w:tc>
          <w:tcPr>
            <w:tcW w:type="dxa" w:w="302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AI 可以做到哪一步</w:t>
            </w:r>
          </w:p>
        </w:tc>
        <w:tc>
          <w:tcPr>
            <w:tcW w:type="dxa" w:w="532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区分 Ask、Suggest、Draft、Execute、Approve，不把能力等同于授权</w:t>
            </w:r>
          </w:p>
        </w:tc>
      </w:tr>
      <w:tr>
        <w:trPr>
          <w:cantSplit/>
        </w:trPr>
        <w:tc>
          <w:tcPr>
            <w:tcW w:type="dxa" w:w="172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Evidence</w:t>
            </w:r>
          </w:p>
        </w:tc>
        <w:tc>
          <w:tcPr>
            <w:tcW w:type="dxa" w:w="302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AI 凭什么这么说</w:t>
            </w:r>
          </w:p>
        </w:tc>
        <w:tc>
          <w:tcPr>
            <w:tcW w:type="dxa" w:w="532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显示数据、文献、Protocol、Knowledge、版本、时间范围、限制和可追溯来源</w:t>
            </w:r>
          </w:p>
        </w:tc>
      </w:tr>
    </w:tbl>
    <w:p>
      <w:r>
        <w:rPr>
          <w:rFonts w:ascii="Arial Unicode MS" w:hAnsi="Arial Unicode MS" w:eastAsia="Arial Unicode MS"/>
        </w:rPr>
        <w:t>CCAE 是内部 AI 产品设计与验证框架，不作为教授需要学习的产品术语。教授端以自然语言验证：AI 知道什么、能做什么、依据什么、能做到哪一步、哪里需要人确认。</w:t>
      </w:r>
    </w:p>
    <w:p>
      <w:pPr>
        <w:keepNext w:val="0"/>
        <w:widowControl/>
        <w:spacing w:before="0" w:after="120" w:line="240" w:lineRule="auto"/>
      </w:pPr>
    </w:p>
    <w:p>
      <w:pPr>
        <w:pStyle w:val="Heading2"/>
        <w:keepNext/>
        <w:spacing w:line="276" w:lineRule="auto"/>
      </w:pPr>
      <w:r>
        <w:rPr>
          <w:rFonts w:ascii="Arial Unicode MS" w:hAnsi="Arial Unicode MS" w:eastAsia="Arial Unicode MS"/>
          <w:b/>
          <w:i w:val="0"/>
          <w:color w:val="000000"/>
          <w:sz w:val="26"/>
        </w:rPr>
        <w:t>11 3 Context Stack</w:t>
      </w:r>
    </w:p>
    <w:p>
      <w:pPr>
        <w:keepNext w:val="0"/>
        <w:widowControl/>
        <w:spacing w:before="100" w:after="80" w:line="317" w:lineRule="auto"/>
        <w:jc w:val="center"/>
      </w:pPr>
      <w:r>
        <w:rPr>
          <w:rFonts w:ascii="Arial Unicode MS" w:hAnsi="Arial Unicode MS" w:eastAsia="Arial Unicode MS"/>
          <w:b/>
          <w:i w:val="0"/>
          <w:color w:val="17365D"/>
          <w:sz w:val="21"/>
        </w:rPr>
        <w:t>User → Institution → Research Hub → Study → Subject → Visit → Artifact</w:t>
      </w:r>
    </w:p>
    <w:p>
      <w:pPr>
        <w:keepNext w:val="0"/>
        <w:widowControl/>
        <w:spacing w:before="0" w:after="140" w:line="317" w:lineRule="auto"/>
      </w:pPr>
      <w:r>
        <w:rPr>
          <w:rFonts w:ascii="Arial Unicode MS" w:hAnsi="Arial Unicode MS" w:eastAsia="Arial Unicode MS"/>
          <w:b w:val="0"/>
          <w:i w:val="0"/>
          <w:color w:val="000000"/>
          <w:sz w:val="22"/>
        </w:rPr>
        <w:t>Context 决定 AI 被期望知道什么，也决定 AI 被允许访问什么。实现上不等于把所有数据放入 Prompt，而是按当前任务和权限检索最小充分上下文。</w:t>
      </w:r>
    </w:p>
    <w:p>
      <w:pPr>
        <w:pStyle w:val="Heading2"/>
        <w:keepNext/>
        <w:spacing w:line="276" w:lineRule="auto"/>
      </w:pPr>
      <w:r>
        <w:rPr>
          <w:rFonts w:ascii="Arial Unicode MS" w:hAnsi="Arial Unicode MS" w:eastAsia="Arial Unicode MS"/>
          <w:b/>
          <w:i w:val="0"/>
          <w:color w:val="000000"/>
          <w:sz w:val="26"/>
        </w:rPr>
        <w:t>11 4 Ask Suggest Draft Execute Approve 权限阶梯</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val="true"/>
          <w:tblHeader w:val="true"/>
        </w:trPr>
        <w:tc>
          <w:tcPr>
            <w:tcW w:type="dxa" w:w="1224"/>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级别</w:t>
            </w:r>
          </w:p>
        </w:tc>
        <w:tc>
          <w:tcPr>
            <w:tcW w:type="dxa" w:w="1944"/>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AI 行为</w:t>
            </w:r>
          </w:p>
        </w:tc>
        <w:tc>
          <w:tcPr>
            <w:tcW w:type="dxa" w:w="3600"/>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示例</w:t>
            </w:r>
          </w:p>
        </w:tc>
        <w:tc>
          <w:tcPr>
            <w:tcW w:type="dxa" w:w="3311"/>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责任规则</w:t>
            </w:r>
          </w:p>
        </w:tc>
      </w:tr>
      <w:tr>
        <w:trPr>
          <w:cantSplit/>
        </w:trPr>
        <w:tc>
          <w:tcPr>
            <w:tcW w:type="dxa" w:w="1224"/>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8"/>
              </w:rPr>
              <w:t>ASK</w:t>
            </w:r>
          </w:p>
        </w:tc>
        <w:tc>
          <w:tcPr>
            <w:tcW w:type="dxa" w:w="194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回答问题</w:t>
            </w:r>
          </w:p>
        </w:tc>
        <w:tc>
          <w:tcPr>
            <w:tcW w:type="dxa" w:w="360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当前入组多少人，哪些访视逾期</w:t>
            </w:r>
          </w:p>
        </w:tc>
        <w:tc>
          <w:tcPr>
            <w:tcW w:type="dxa" w:w="3311"/>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只读，回答必须可追溯</w:t>
            </w:r>
          </w:p>
        </w:tc>
      </w:tr>
      <w:tr>
        <w:trPr>
          <w:cantSplit/>
        </w:trPr>
        <w:tc>
          <w:tcPr>
            <w:tcW w:type="dxa" w:w="1224"/>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8"/>
              </w:rPr>
              <w:t>SUGGEST</w:t>
            </w:r>
          </w:p>
        </w:tc>
        <w:tc>
          <w:tcPr>
            <w:tcW w:type="dxa" w:w="194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提出建议</w:t>
            </w:r>
          </w:p>
        </w:tc>
        <w:tc>
          <w:tcPr>
            <w:tcW w:type="dxa" w:w="360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建议检查某中心的筛选失败原因</w:t>
            </w:r>
          </w:p>
        </w:tc>
        <w:tc>
          <w:tcPr>
            <w:tcW w:type="dxa" w:w="3311"/>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不改变系统状态，用户可忽略</w:t>
            </w:r>
          </w:p>
        </w:tc>
      </w:tr>
      <w:tr>
        <w:trPr>
          <w:cantSplit/>
        </w:trPr>
        <w:tc>
          <w:tcPr>
            <w:tcW w:type="dxa" w:w="1224"/>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8"/>
              </w:rPr>
              <w:t>DRAFT</w:t>
            </w:r>
          </w:p>
        </w:tc>
        <w:tc>
          <w:tcPr>
            <w:tcW w:type="dxa" w:w="194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生成草稿</w:t>
            </w:r>
          </w:p>
        </w:tc>
        <w:tc>
          <w:tcPr>
            <w:tcW w:type="dxa" w:w="360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Question、Protocol、eCRF、Analysis Plan、Report Draft</w:t>
            </w:r>
          </w:p>
        </w:tc>
        <w:tc>
          <w:tcPr>
            <w:tcW w:type="dxa" w:w="3311"/>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明确标记 AI Draft，进入人工审阅</w:t>
            </w:r>
          </w:p>
        </w:tc>
      </w:tr>
      <w:tr>
        <w:trPr>
          <w:cantSplit/>
        </w:trPr>
        <w:tc>
          <w:tcPr>
            <w:tcW w:type="dxa" w:w="1224"/>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8"/>
              </w:rPr>
              <w:t>EXECUTE</w:t>
            </w:r>
          </w:p>
        </w:tc>
        <w:tc>
          <w:tcPr>
            <w:tcW w:type="dxa" w:w="194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执行受控操作</w:t>
            </w:r>
          </w:p>
        </w:tc>
        <w:tc>
          <w:tcPr>
            <w:tcW w:type="dxa" w:w="360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抽取字段、创建 Proposed Data、准备任务或草稿结构</w:t>
            </w:r>
          </w:p>
        </w:tc>
        <w:tc>
          <w:tcPr>
            <w:tcW w:type="dxa" w:w="3311"/>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写入提议或待确认状态，保留原始 Evidence</w:t>
            </w:r>
          </w:p>
        </w:tc>
      </w:tr>
      <w:tr>
        <w:trPr>
          <w:cantSplit/>
        </w:trPr>
        <w:tc>
          <w:tcPr>
            <w:tcW w:type="dxa" w:w="1224"/>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8"/>
              </w:rPr>
              <w:t>APPROVE</w:t>
            </w:r>
          </w:p>
        </w:tc>
        <w:tc>
          <w:tcPr>
            <w:tcW w:type="dxa" w:w="194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使对象进入正式状态</w:t>
            </w:r>
          </w:p>
        </w:tc>
        <w:tc>
          <w:tcPr>
            <w:tcW w:type="dxa" w:w="360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发布 Protocol、确认正式数据、共享资产、批准成果</w:t>
            </w:r>
          </w:p>
        </w:tc>
        <w:tc>
          <w:tcPr>
            <w:tcW w:type="dxa" w:w="3311"/>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原则上由授权人员完成，AI 只可检查和准备</w:t>
            </w:r>
          </w:p>
        </w:tc>
      </w:tr>
    </w:tbl>
    <w:p>
      <w:pPr>
        <w:keepNext w:val="0"/>
        <w:widowControl/>
        <w:spacing w:before="0" w:after="120" w:line="240" w:lineRule="auto"/>
      </w:pPr>
    </w:p>
    <w:p>
      <w:pPr>
        <w:pStyle w:val="Heading2"/>
        <w:keepNext/>
        <w:spacing w:line="276" w:lineRule="auto"/>
      </w:pPr>
      <w:r>
        <w:rPr>
          <w:rFonts w:ascii="Arial Unicode MS" w:hAnsi="Arial Unicode MS" w:eastAsia="Arial Unicode MS"/>
          <w:b/>
          <w:i w:val="0"/>
          <w:color w:val="000000"/>
          <w:sz w:val="26"/>
        </w:rPr>
        <w:t>11 5 三种 AI 产品形态</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blHeader w:val="true"/>
        </w:trPr>
        <w:tc>
          <w:tcPr>
            <w:tcW w:type="dxa" w:w="2015"/>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形态</w:t>
            </w:r>
          </w:p>
        </w:tc>
        <w:tc>
          <w:tcPr>
            <w:tcW w:type="dxa" w:w="3816"/>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用户体验</w:t>
            </w:r>
          </w:p>
        </w:tc>
        <w:tc>
          <w:tcPr>
            <w:tcW w:type="dxa" w:w="4248"/>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示例</w:t>
            </w:r>
          </w:p>
        </w:tc>
      </w:tr>
      <w:tr>
        <w:trPr>
          <w:cantSplit/>
        </w:trPr>
        <w:tc>
          <w:tcPr>
            <w:tcW w:type="dxa" w:w="2015"/>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Embedded AI</w:t>
            </w:r>
          </w:p>
        </w:tc>
        <w:tc>
          <w:tcPr>
            <w:tcW w:type="dxa" w:w="381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AI 出现在真实工作步骤内</w:t>
            </w:r>
          </w:p>
        </w:tc>
        <w:tc>
          <w:tcPr>
            <w:tcW w:type="dxa" w:w="424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资料解析、字段确认、方案检查、访视总结</w:t>
            </w:r>
          </w:p>
        </w:tc>
      </w:tr>
      <w:tr>
        <w:trPr>
          <w:cantSplit/>
        </w:trPr>
        <w:tc>
          <w:tcPr>
            <w:tcW w:type="dxa" w:w="2015"/>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Copilot Panel</w:t>
            </w:r>
          </w:p>
        </w:tc>
        <w:tc>
          <w:tcPr>
            <w:tcW w:type="dxa" w:w="3816"/>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页面旁的上下文协作空间</w:t>
            </w:r>
          </w:p>
        </w:tc>
        <w:tc>
          <w:tcPr>
            <w:tcW w:type="dxa" w:w="424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在 Design、Analysis、Knowledge 中继续讨论和起草</w:t>
            </w:r>
          </w:p>
        </w:tc>
      </w:tr>
      <w:tr>
        <w:trPr>
          <w:cantSplit/>
        </w:trPr>
        <w:tc>
          <w:tcPr>
            <w:tcW w:type="dxa" w:w="2015"/>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Proactive AI</w:t>
            </w:r>
          </w:p>
        </w:tc>
        <w:tc>
          <w:tcPr>
            <w:tcW w:type="dxa" w:w="381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AI 主动发现值得关注的变化</w:t>
            </w:r>
          </w:p>
        </w:tc>
        <w:tc>
          <w:tcPr>
            <w:tcW w:type="dxa" w:w="424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执行风险、数据异常、Research Opportunity、潜在 Asset</w:t>
            </w:r>
          </w:p>
        </w:tc>
      </w:tr>
    </w:tbl>
    <w:p>
      <w:pPr>
        <w:keepNext w:val="0"/>
        <w:widowControl/>
        <w:spacing w:before="0" w:after="120" w:line="240" w:lineRule="auto"/>
      </w:pPr>
    </w:p>
    <w:p>
      <w:pPr>
        <w:pStyle w:val="Heading2"/>
        <w:keepNext/>
        <w:spacing w:line="276" w:lineRule="auto"/>
      </w:pPr>
      <w:r>
        <w:rPr>
          <w:rFonts w:ascii="Arial Unicode MS" w:hAnsi="Arial Unicode MS" w:eastAsia="Arial Unicode MS"/>
          <w:b/>
          <w:i w:val="0"/>
          <w:color w:val="000000"/>
          <w:sz w:val="26"/>
        </w:rPr>
        <w:t>11 6 AI Research Artifact</w:t>
      </w:r>
    </w:p>
    <w:p>
      <w:pPr>
        <w:keepNext w:val="0"/>
        <w:widowControl/>
        <w:spacing w:before="100" w:after="80" w:line="317" w:lineRule="auto"/>
        <w:jc w:val="center"/>
      </w:pPr>
      <w:r>
        <w:rPr>
          <w:rFonts w:ascii="Arial Unicode MS" w:hAnsi="Arial Unicode MS" w:eastAsia="Arial Unicode MS"/>
          <w:b/>
          <w:i w:val="0"/>
          <w:color w:val="17365D"/>
          <w:sz w:val="21"/>
        </w:rPr>
        <w:t>AI Output → AI Research Artifact → Human Review → Accepted Edited Rejected → Research Artifact → Asset Review → Research Asset</w:t>
      </w:r>
    </w:p>
    <w:p>
      <w:pPr>
        <w:keepNext w:val="0"/>
        <w:widowControl/>
        <w:spacing w:before="0" w:after="140" w:line="317" w:lineRule="auto"/>
      </w:pPr>
      <w:r>
        <w:rPr>
          <w:rFonts w:ascii="Arial Unicode MS" w:hAnsi="Arial Unicode MS" w:eastAsia="Arial Unicode MS"/>
          <w:b/>
          <w:i w:val="0"/>
          <w:color w:val="9A6700"/>
          <w:sz w:val="19"/>
        </w:rPr>
        <w:t xml:space="preserve">HYPOTHESIS HYP-011  </w:t>
      </w:r>
      <w:r>
        <w:rPr>
          <w:rFonts w:ascii="Arial Unicode MS" w:hAnsi="Arial Unicode MS" w:eastAsia="Arial Unicode MS"/>
          <w:b w:val="0"/>
          <w:i w:val="0"/>
          <w:color w:val="000000"/>
          <w:sz w:val="21"/>
        </w:rPr>
        <w:t>AI Research Artifact 应作为独立对象，记录生成时间、上下文、来源、数据版本、模型运行和人工审阅状态。</w:t>
      </w:r>
    </w:p>
    <w:p>
      <w:pPr>
        <w:keepNext w:val="0"/>
        <w:widowControl/>
        <w:spacing w:before="0" w:after="140" w:line="317" w:lineRule="auto"/>
      </w:pPr>
      <w:r>
        <w:rPr>
          <w:rFonts w:ascii="Arial Unicode MS" w:hAnsi="Arial Unicode MS" w:eastAsia="Arial Unicode MS"/>
        </w:rPr>
        <w:t>OPEN QUESTION OQ-002  诊断 Agent 在未来岐研科研主线中的定位需要重新验证。若其面向临床决策，将涉及独立的责任和验证体系；若用于科研字段识别，可下沉为数据能力。</w:t>
      </w:r>
    </w:p>
    <w:p>
      <w:pPr>
        <w:pStyle w:val="Heading1"/>
        <w:keepNext/>
        <w:pageBreakBefore/>
        <w:spacing w:line="276" w:lineRule="auto" w:before="160" w:after="160"/>
      </w:pPr>
      <w:r>
        <w:rPr>
          <w:rFonts w:ascii="Arial Unicode MS" w:hAnsi="Arial Unicode MS" w:eastAsia="Arial Unicode MS"/>
          <w:b/>
          <w:i w:val="0"/>
          <w:color w:val="000000"/>
          <w:sz w:val="33"/>
        </w:rPr>
        <w:t>12 七条 Golden Journeys</w:t>
      </w:r>
    </w:p>
    <w:p>
      <w:pPr>
        <w:keepNext w:val="0"/>
        <w:widowControl/>
        <w:spacing w:before="0" w:after="140" w:line="317" w:lineRule="auto"/>
      </w:pPr>
      <w:r>
        <w:rPr>
          <w:rFonts w:ascii="Arial Unicode MS" w:hAnsi="Arial Unicode MS" w:eastAsia="Arial Unicode MS"/>
          <w:b w:val="0"/>
          <w:i w:val="0"/>
          <w:color w:val="000000"/>
          <w:sz w:val="22"/>
        </w:rPr>
        <w:t>首轮低保真原型以 Golden Journey 驱动，而不是按功能清单逐页设计。每条 Journey 覆盖一项真实科研任务，并用于验证上下文、信息架构、AI 权限和用户信任。</w:t>
      </w:r>
    </w:p>
    <w:p>
      <w:pPr>
        <w:pStyle w:val="Heading2"/>
        <w:keepNext/>
        <w:spacing w:line="276" w:lineRule="auto"/>
      </w:pPr>
      <w:r>
        <w:rPr>
          <w:rFonts w:ascii="Arial Unicode MS" w:hAnsi="Arial Unicode MS" w:eastAsia="Arial Unicode MS"/>
          <w:b/>
          <w:i w:val="0"/>
          <w:color w:val="000000"/>
          <w:sz w:val="26"/>
        </w:rPr>
        <w:t>12 1 从领域变化到一个新研究</w:t>
      </w:r>
    </w:p>
    <w:p>
      <w:pPr>
        <w:keepNext w:val="0"/>
        <w:widowControl/>
        <w:spacing w:before="0" w:after="140" w:line="317" w:lineRule="auto"/>
      </w:pPr>
      <w:r>
        <w:rPr>
          <w:rFonts w:ascii="Arial Unicode MS" w:hAnsi="Arial Unicode MS" w:eastAsia="Arial Unicode MS"/>
          <w:b w:val="0"/>
          <w:i w:val="0"/>
          <w:color w:val="000000"/>
          <w:sz w:val="22"/>
        </w:rPr>
        <w:t>教授没有明确课题，通过 Research Brief 发现变化，查看 Evidence，形成 Opportunity 和 Research Question，再进入轻量研究构思与 Study。</w:t>
      </w:r>
    </w:p>
    <w:p>
      <w:pPr>
        <w:keepNext w:val="0"/>
        <w:widowControl/>
        <w:spacing w:before="100" w:after="80" w:line="317" w:lineRule="auto"/>
        <w:jc w:val="center"/>
      </w:pPr>
      <w:r>
        <w:rPr>
          <w:rFonts w:ascii="Arial Unicode MS" w:hAnsi="Arial Unicode MS" w:eastAsia="Arial Unicode MS"/>
          <w:b/>
          <w:i w:val="0"/>
          <w:color w:val="17365D"/>
          <w:sz w:val="21"/>
        </w:rPr>
        <w:t>My Research → Research Brief → Hub Radar → Evidence → Opportunity → Question Draft → Study</w:t>
      </w:r>
    </w:p>
    <w:p>
      <w:pPr>
        <w:pStyle w:val="Heading2"/>
        <w:keepNext/>
        <w:spacing w:line="276" w:lineRule="auto"/>
      </w:pPr>
      <w:r>
        <w:rPr>
          <w:rFonts w:ascii="Arial Unicode MS" w:hAnsi="Arial Unicode MS" w:eastAsia="Arial Unicode MS"/>
          <w:b/>
          <w:i w:val="0"/>
          <w:color w:val="000000"/>
          <w:sz w:val="26"/>
        </w:rPr>
        <w:t>12 2 已有成熟方案快速启动研究</w:t>
      </w:r>
    </w:p>
    <w:p>
      <w:pPr>
        <w:keepNext w:val="0"/>
        <w:widowControl/>
        <w:spacing w:before="0" w:after="140" w:line="317" w:lineRule="auto"/>
      </w:pPr>
      <w:r>
        <w:rPr>
          <w:rFonts w:ascii="Arial Unicode MS" w:hAnsi="Arial Unicode MS" w:eastAsia="Arial Unicode MS"/>
          <w:b w:val="0"/>
          <w:i w:val="0"/>
          <w:color w:val="000000"/>
          <w:sz w:val="22"/>
        </w:rPr>
        <w:t>教授上传现有 Protocol，AI 识别研究对象、纳排标准、干预、结局、量表、访视、eCRF 和分析计划，团队确认后进入启动检查。</w:t>
      </w:r>
    </w:p>
    <w:p>
      <w:pPr>
        <w:keepNext w:val="0"/>
        <w:widowControl/>
        <w:spacing w:before="100" w:after="80" w:line="317" w:lineRule="auto"/>
        <w:jc w:val="center"/>
      </w:pPr>
      <w:r>
        <w:rPr>
          <w:rFonts w:ascii="Arial Unicode MS" w:hAnsi="Arial Unicode MS" w:eastAsia="Arial Unicode MS"/>
          <w:b/>
          <w:i w:val="0"/>
          <w:color w:val="17365D"/>
          <w:sz w:val="21"/>
        </w:rPr>
        <w:t>Create Study → Upload Protocol → AI Structure → Team Review → Complete Missing Configuration → Launch</w:t>
      </w:r>
    </w:p>
    <w:p>
      <w:pPr>
        <w:pStyle w:val="Heading2"/>
        <w:keepNext/>
        <w:spacing w:line="276" w:lineRule="auto"/>
      </w:pPr>
      <w:r>
        <w:rPr>
          <w:rFonts w:ascii="Arial Unicode MS" w:hAnsi="Arial Unicode MS" w:eastAsia="Arial Unicode MS"/>
          <w:b/>
          <w:i w:val="0"/>
          <w:color w:val="000000"/>
          <w:sz w:val="26"/>
        </w:rPr>
        <w:t>12 3 研究员完成一次真实访视</w:t>
      </w:r>
    </w:p>
    <w:p>
      <w:pPr>
        <w:keepNext w:val="0"/>
        <w:widowControl/>
        <w:spacing w:before="0" w:after="140" w:line="317" w:lineRule="auto"/>
      </w:pPr>
      <w:r>
        <w:rPr>
          <w:rFonts w:ascii="Arial Unicode MS" w:hAnsi="Arial Unicode MS" w:eastAsia="Arial Unicode MS"/>
          <w:b w:val="0"/>
          <w:i w:val="0"/>
          <w:color w:val="000000"/>
          <w:sz w:val="22"/>
        </w:rPr>
        <w:t>研究员从 Today’s Work 进入访视，直接填写或上传资料；AI 抽取字段、定位来源、标记置信度，人工确认后成为正式数据。</w:t>
      </w:r>
    </w:p>
    <w:p>
      <w:pPr>
        <w:keepNext w:val="0"/>
        <w:widowControl/>
        <w:spacing w:before="100" w:after="80" w:line="317" w:lineRule="auto"/>
        <w:jc w:val="center"/>
      </w:pPr>
      <w:r>
        <w:rPr>
          <w:rFonts w:ascii="Arial Unicode MS" w:hAnsi="Arial Unicode MS" w:eastAsia="Arial Unicode MS"/>
          <w:b/>
          <w:i w:val="0"/>
          <w:color w:val="17365D"/>
          <w:sz w:val="21"/>
        </w:rPr>
        <w:t>My Research Today → Visit Workspace → Capture or Upload → Proposed Data → Human Confirm → Complete Visit</w:t>
      </w:r>
    </w:p>
    <w:p>
      <w:pPr>
        <w:pStyle w:val="Heading2"/>
        <w:keepNext/>
        <w:spacing w:line="276" w:lineRule="auto"/>
      </w:pPr>
      <w:r>
        <w:rPr>
          <w:rFonts w:ascii="Arial Unicode MS" w:hAnsi="Arial Unicode MS" w:eastAsia="Arial Unicode MS"/>
          <w:b/>
          <w:i w:val="0"/>
          <w:color w:val="000000"/>
          <w:sz w:val="26"/>
        </w:rPr>
        <w:t>12 4 教授发现研究异常并做出判断</w:t>
      </w:r>
    </w:p>
    <w:p>
      <w:pPr>
        <w:keepNext w:val="0"/>
        <w:widowControl/>
        <w:spacing w:before="0" w:after="140" w:line="317" w:lineRule="auto"/>
      </w:pPr>
      <w:r>
        <w:rPr>
          <w:rFonts w:ascii="Arial Unicode MS" w:hAnsi="Arial Unicode MS" w:eastAsia="Arial Unicode MS"/>
          <w:b w:val="0"/>
          <w:i w:val="0"/>
          <w:color w:val="000000"/>
          <w:sz w:val="22"/>
        </w:rPr>
        <w:t>教授从 Research Inbox 看到入组、访视或数据质量问题，理解 What happened、Why、Should I care 和 What next。</w:t>
      </w:r>
    </w:p>
    <w:p>
      <w:pPr>
        <w:keepNext w:val="0"/>
        <w:widowControl/>
        <w:spacing w:before="100" w:after="80" w:line="317" w:lineRule="auto"/>
        <w:jc w:val="center"/>
      </w:pPr>
      <w:r>
        <w:rPr>
          <w:rFonts w:ascii="Arial Unicode MS" w:hAnsi="Arial Unicode MS" w:eastAsia="Arial Unicode MS"/>
          <w:b/>
          <w:i w:val="0"/>
          <w:color w:val="17365D"/>
          <w:sz w:val="21"/>
        </w:rPr>
        <w:t>Research Attention → Study Overview → Evidence → AI Analysis → Decision or Delegation</w:t>
      </w:r>
    </w:p>
    <w:p>
      <w:pPr>
        <w:pStyle w:val="Heading2"/>
        <w:keepNext/>
        <w:spacing w:line="276" w:lineRule="auto"/>
      </w:pPr>
      <w:r>
        <w:rPr>
          <w:rFonts w:ascii="Arial Unicode MS" w:hAnsi="Arial Unicode MS" w:eastAsia="Arial Unicode MS"/>
          <w:b/>
          <w:i w:val="0"/>
          <w:color w:val="000000"/>
          <w:sz w:val="26"/>
        </w:rPr>
        <w:t>12 5 从研究数据到科研成果</w:t>
      </w:r>
    </w:p>
    <w:p>
      <w:pPr>
        <w:keepNext w:val="0"/>
        <w:widowControl/>
        <w:spacing w:before="0" w:after="140" w:line="317" w:lineRule="auto"/>
      </w:pPr>
      <w:r>
        <w:rPr>
          <w:rFonts w:ascii="Arial Unicode MS" w:hAnsi="Arial Unicode MS" w:eastAsia="Arial Unicode MS"/>
          <w:b w:val="0"/>
          <w:i w:val="0"/>
          <w:color w:val="000000"/>
          <w:sz w:val="22"/>
        </w:rPr>
        <w:t>教授在 Study Analysis 中使用 Protocol、Dataset、Analysis Plan、Knowledge 和 Selected Evidence 形成可审阅分析，再生成阶段报告或汇报。</w:t>
      </w:r>
    </w:p>
    <w:p>
      <w:pPr>
        <w:keepNext w:val="0"/>
        <w:widowControl/>
        <w:spacing w:before="100" w:after="80" w:line="317" w:lineRule="auto"/>
        <w:jc w:val="center"/>
      </w:pPr>
      <w:r>
        <w:rPr>
          <w:rFonts w:ascii="Arial Unicode MS" w:hAnsi="Arial Unicode MS" w:eastAsia="Arial Unicode MS"/>
          <w:b/>
          <w:i w:val="0"/>
          <w:color w:val="17365D"/>
          <w:sz w:val="21"/>
        </w:rPr>
        <w:t>Study → Analysis → Reviewed Analysis Artifact → Research Output Draft → Human Review</w:t>
      </w:r>
    </w:p>
    <w:p>
      <w:pPr>
        <w:pStyle w:val="Heading2"/>
        <w:keepNext/>
        <w:spacing w:line="276" w:lineRule="auto"/>
      </w:pPr>
      <w:r>
        <w:rPr>
          <w:rFonts w:ascii="Arial Unicode MS" w:hAnsi="Arial Unicode MS" w:eastAsia="Arial Unicode MS"/>
          <w:b/>
          <w:i w:val="0"/>
          <w:color w:val="000000"/>
          <w:sz w:val="26"/>
        </w:rPr>
        <w:t>12 6 Study 价值沉淀回 Research Hub</w:t>
      </w:r>
    </w:p>
    <w:p>
      <w:pPr>
        <w:keepNext w:val="0"/>
        <w:widowControl/>
        <w:spacing w:before="0" w:after="140" w:line="317" w:lineRule="auto"/>
      </w:pPr>
      <w:r>
        <w:rPr>
          <w:rFonts w:ascii="Arial Unicode MS" w:hAnsi="Arial Unicode MS" w:eastAsia="Arial Unicode MS"/>
          <w:b w:val="0"/>
          <w:i w:val="0"/>
          <w:color w:val="000000"/>
          <w:sz w:val="22"/>
        </w:rPr>
        <w:t>AI 识别潜在资产，PI 或 Publisher 审阅并选择共享范围；Hub 中其他 Study 引用后形成 Derived Version。</w:t>
      </w:r>
    </w:p>
    <w:p>
      <w:pPr>
        <w:keepNext w:val="0"/>
        <w:widowControl/>
        <w:spacing w:before="100" w:after="80" w:line="317" w:lineRule="auto"/>
        <w:jc w:val="center"/>
      </w:pPr>
      <w:r>
        <w:rPr>
          <w:rFonts w:ascii="Arial Unicode MS" w:hAnsi="Arial Unicode MS" w:eastAsia="Arial Unicode MS"/>
          <w:b/>
          <w:i w:val="0"/>
          <w:color w:val="17365D"/>
          <w:sz w:val="21"/>
        </w:rPr>
        <w:t>Study → Candidate Asset → Review → Hub Asset → Reuse → Derived Asset</w:t>
      </w:r>
    </w:p>
    <w:p>
      <w:pPr>
        <w:pStyle w:val="Heading2"/>
        <w:keepNext/>
        <w:spacing w:line="276" w:lineRule="auto"/>
      </w:pPr>
      <w:r>
        <w:rPr>
          <w:rFonts w:ascii="Arial Unicode MS" w:hAnsi="Arial Unicode MS" w:eastAsia="Arial Unicode MS"/>
          <w:b/>
          <w:i w:val="0"/>
          <w:color w:val="000000"/>
          <w:sz w:val="26"/>
        </w:rPr>
        <w:t>12 7 教授没有明确任务只是来看看</w:t>
      </w:r>
    </w:p>
    <w:p>
      <w:pPr>
        <w:keepNext w:val="0"/>
        <w:widowControl/>
        <w:spacing w:before="0" w:after="140" w:line="317" w:lineRule="auto"/>
      </w:pPr>
      <w:r>
        <w:rPr>
          <w:rFonts w:ascii="Arial Unicode MS" w:hAnsi="Arial Unicode MS" w:eastAsia="Arial Unicode MS"/>
          <w:b w:val="0"/>
          <w:i w:val="0"/>
          <w:color w:val="000000"/>
          <w:sz w:val="22"/>
        </w:rPr>
        <w:t>教授首次进入针灸治疗情志病 Research Hub，自由寻找值得关注或进一步研究的内容。此 Journey 重点检验 Hub 是否具备无需解释的即时价值。</w:t>
      </w:r>
    </w:p>
    <w:p>
      <w:pPr>
        <w:keepNext w:val="0"/>
        <w:widowControl/>
        <w:spacing w:before="100" w:after="80" w:line="317" w:lineRule="auto"/>
        <w:jc w:val="center"/>
      </w:pPr>
      <w:r>
        <w:rPr>
          <w:rFonts w:ascii="Arial Unicode MS" w:hAnsi="Arial Unicode MS" w:eastAsia="Arial Unicode MS"/>
          <w:b/>
          <w:i w:val="0"/>
          <w:color w:val="17365D"/>
          <w:sz w:val="21"/>
        </w:rPr>
        <w:t>Open Hub → Free Exploration → Insight or Next Action</w:t>
      </w:r>
    </w:p>
    <w:p>
      <w:pPr>
        <w:pStyle w:val="Heading1"/>
        <w:keepNext/>
        <w:pageBreakBefore/>
        <w:spacing w:line="276" w:lineRule="auto" w:before="160" w:after="160"/>
      </w:pPr>
      <w:r>
        <w:rPr>
          <w:rFonts w:ascii="Arial Unicode MS" w:hAnsi="Arial Unicode MS" w:eastAsia="Arial Unicode MS"/>
        </w:rPr>
        <w:t>13 教授验证任务库与 Session #1</w:t>
      </w:r>
    </w:p>
    <w:p>
      <w:r>
        <w:rPr>
          <w:rFonts w:ascii="Arial Unicode MS" w:hAnsi="Arial Unicode MS" w:eastAsia="Arial Unicode MS"/>
        </w:rPr>
        <w:t>本节八个任务保留为可复用 Task Library，用于不同轮次按研究目标选取，不代表单次访谈必须全部执行。任务库不改变 DEC-030/031/032；Session #1 只选取五个任务进行王教授单人、主持式、约 60 分钟验证。</w:t>
      </w:r>
    </w:p>
    <w:p>
      <w:pPr>
        <w:pStyle w:val="Heading2"/>
        <w:keepNext/>
        <w:spacing w:line="276" w:lineRule="auto"/>
      </w:pPr>
      <w:r>
        <w:rPr>
          <w:rFonts w:ascii="Arial Unicode MS" w:hAnsi="Arial Unicode MS" w:eastAsia="Arial Unicode MS"/>
          <w:b/>
          <w:i w:val="0"/>
          <w:color w:val="000000"/>
          <w:sz w:val="26"/>
        </w:rPr>
        <w:t>13 1 验证方法</w:t>
      </w:r>
    </w:p>
    <w:p>
      <w:pPr>
        <w:keepNext w:val="0"/>
        <w:widowControl/>
        <w:spacing w:before="0" w:after="140" w:line="317" w:lineRule="auto"/>
      </w:pPr>
      <w:r>
        <w:rPr>
          <w:rFonts w:ascii="Arial Unicode MS" w:hAnsi="Arial Unicode MS" w:eastAsia="Arial Unicode MS"/>
          <w:b w:val="0"/>
          <w:i w:val="0"/>
          <w:color w:val="000000"/>
          <w:sz w:val="22"/>
        </w:rPr>
        <w:t>验证采用任务驱动方式。主持人先给出科研背景和目标，不告诉教授页面名称、入口或标准路径。教授操作时，主持人保持安静，只记录行为；任务结束后再追问理由和期待。</w:t>
      </w:r>
    </w:p>
    <w:p>
      <w:pPr>
        <w:pStyle w:val="ListBullet"/>
        <w:keepNext w:val="0"/>
        <w:widowControl/>
        <w:spacing w:before="0" w:after="100" w:line="298" w:lineRule="auto"/>
        <w:ind w:left="360" w:hanging="230"/>
      </w:pPr>
      <w:r>
        <w:rPr>
          <w:rFonts w:ascii="Arial Unicode MS" w:hAnsi="Arial Unicode MS" w:eastAsia="Arial Unicode MS"/>
          <w:b w:val="0"/>
          <w:i w:val="0"/>
          <w:color w:val="000000"/>
          <w:sz w:val="21"/>
        </w:rPr>
        <w:t>不要问这个页面好不好看或这个功能合不合理。</w:t>
      </w:r>
    </w:p>
    <w:p>
      <w:pPr>
        <w:pStyle w:val="ListBullet"/>
        <w:keepNext w:val="0"/>
        <w:widowControl/>
        <w:spacing w:before="0" w:after="100" w:line="298" w:lineRule="auto"/>
        <w:ind w:left="360" w:hanging="230"/>
      </w:pPr>
      <w:r>
        <w:rPr>
          <w:rFonts w:ascii="Arial Unicode MS" w:hAnsi="Arial Unicode MS" w:eastAsia="Arial Unicode MS"/>
          <w:b w:val="0"/>
          <w:i w:val="0"/>
          <w:color w:val="000000"/>
          <w:sz w:val="21"/>
        </w:rPr>
        <w:t>不要在任务话术中出现领域动态、Research Opportunity、科研资产等目标页面名称。</w:t>
      </w:r>
    </w:p>
    <w:p>
      <w:pPr>
        <w:pStyle w:val="ListBullet"/>
        <w:keepNext w:val="0"/>
        <w:widowControl/>
        <w:spacing w:before="0" w:after="100" w:line="298" w:lineRule="auto"/>
        <w:ind w:left="360" w:hanging="230"/>
      </w:pPr>
      <w:r>
        <w:rPr>
          <w:rFonts w:ascii="Arial Unicode MS" w:hAnsi="Arial Unicode MS" w:eastAsia="Arial Unicode MS"/>
          <w:b w:val="0"/>
          <w:i w:val="0"/>
          <w:color w:val="000000"/>
          <w:sz w:val="21"/>
        </w:rPr>
        <w:t>教授遇到困难时先记录其问题和尝试，只有无法继续时才提供最小提示。</w:t>
      </w:r>
    </w:p>
    <w:p>
      <w:pPr>
        <w:pStyle w:val="ListBullet"/>
        <w:keepNext w:val="0"/>
        <w:widowControl/>
        <w:spacing w:before="0" w:after="100" w:line="298" w:lineRule="auto"/>
        <w:ind w:left="360" w:hanging="230"/>
      </w:pPr>
      <w:r>
        <w:rPr>
          <w:rFonts w:ascii="Arial Unicode MS" w:hAnsi="Arial Unicode MS" w:eastAsia="Arial Unicode MS"/>
          <w:b w:val="0"/>
          <w:i w:val="0"/>
          <w:color w:val="000000"/>
          <w:sz w:val="21"/>
        </w:rPr>
        <w:t>演示材料中的研究数量、趋势和医学结论必须明确为原型示例，不作为真实科研结论。</w:t>
      </w:r>
    </w:p>
    <w:p>
      <w:pPr>
        <w:pStyle w:val="ListBullet"/>
        <w:keepNext w:val="0"/>
        <w:widowControl/>
        <w:spacing w:before="0" w:after="100" w:line="298" w:lineRule="auto"/>
        <w:ind w:left="360" w:hanging="230"/>
      </w:pPr>
      <w:r>
        <w:rPr>
          <w:rFonts w:ascii="Arial Unicode MS" w:hAnsi="Arial Unicode MS" w:eastAsia="Arial Unicode MS"/>
          <w:b w:val="0"/>
          <w:i w:val="0"/>
          <w:color w:val="000000"/>
          <w:sz w:val="21"/>
        </w:rPr>
        <w:t>每场优先测试 5 至 6 个任务，避免疲劳影响判断。</w:t>
      </w:r>
    </w:p>
    <w:p>
      <w:pPr>
        <w:pStyle w:val="Heading2"/>
        <w:keepNext/>
        <w:spacing w:line="276" w:lineRule="auto"/>
      </w:pPr>
      <w:r>
        <w:rPr>
          <w:rFonts w:ascii="Arial Unicode MS" w:hAnsi="Arial Unicode MS" w:eastAsia="Arial Unicode MS"/>
          <w:b/>
          <w:i w:val="0"/>
          <w:color w:val="000000"/>
          <w:sz w:val="26"/>
        </w:rPr>
        <w:t>13 2 核心观察指标</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blHeader w:val="true"/>
        </w:trPr>
        <w:tc>
          <w:tcPr>
            <w:tcW w:type="dxa" w:w="2015"/>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指标</w:t>
            </w:r>
          </w:p>
        </w:tc>
        <w:tc>
          <w:tcPr>
            <w:tcW w:type="dxa" w:w="4536"/>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记录方式</w:t>
            </w:r>
          </w:p>
        </w:tc>
        <w:tc>
          <w:tcPr>
            <w:tcW w:type="dxa" w:w="3528"/>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判断目的</w:t>
            </w:r>
          </w:p>
        </w:tc>
      </w:tr>
      <w:tr>
        <w:trPr>
          <w:cantSplit/>
        </w:trPr>
        <w:tc>
          <w:tcPr>
            <w:tcW w:type="dxa" w:w="2015"/>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First Click</w:t>
            </w:r>
          </w:p>
        </w:tc>
        <w:tc>
          <w:tcPr>
            <w:tcW w:type="dxa" w:w="453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记录第一次点击对象和理由</w:t>
            </w:r>
          </w:p>
        </w:tc>
        <w:tc>
          <w:tcPr>
            <w:tcW w:type="dxa" w:w="352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验证信息气味和入口是否自然</w:t>
            </w:r>
          </w:p>
        </w:tc>
      </w:tr>
      <w:tr>
        <w:trPr>
          <w:cantSplit/>
        </w:trPr>
        <w:tc>
          <w:tcPr>
            <w:tcW w:type="dxa" w:w="2015"/>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Wrong Turns</w:t>
            </w:r>
          </w:p>
        </w:tc>
        <w:tc>
          <w:tcPr>
            <w:tcW w:type="dxa" w:w="4536"/>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记录误入、回退和重复搜索</w:t>
            </w:r>
          </w:p>
        </w:tc>
        <w:tc>
          <w:tcPr>
            <w:tcW w:type="dxa" w:w="352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发现 IA 与术语误导</w:t>
            </w:r>
          </w:p>
        </w:tc>
      </w:tr>
      <w:tr>
        <w:trPr>
          <w:cantSplit/>
        </w:trPr>
        <w:tc>
          <w:tcPr>
            <w:tcW w:type="dxa" w:w="2015"/>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Time to Insight</w:t>
            </w:r>
          </w:p>
        </w:tc>
        <w:tc>
          <w:tcPr>
            <w:tcW w:type="dxa" w:w="453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从任务开始到教授能准确说出关键洞察或下一步的时间</w:t>
            </w:r>
          </w:p>
        </w:tc>
        <w:tc>
          <w:tcPr>
            <w:tcW w:type="dxa" w:w="352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衡量系统是否真正减少认知负担</w:t>
            </w:r>
          </w:p>
        </w:tc>
      </w:tr>
      <w:tr>
        <w:trPr>
          <w:cantSplit/>
        </w:trPr>
        <w:tc>
          <w:tcPr>
            <w:tcW w:type="dxa" w:w="2015"/>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Concept Understanding</w:t>
            </w:r>
          </w:p>
        </w:tc>
        <w:tc>
          <w:tcPr>
            <w:tcW w:type="dxa" w:w="4536"/>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让教授用自己的话解释 Hub、Study、Asset、My Research</w:t>
            </w:r>
          </w:p>
        </w:tc>
        <w:tc>
          <w:tcPr>
            <w:tcW w:type="dxa" w:w="352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验证产品模型是否被理解</w:t>
            </w:r>
          </w:p>
        </w:tc>
      </w:tr>
      <w:tr>
        <w:trPr>
          <w:cantSplit/>
        </w:trPr>
        <w:tc>
          <w:tcPr>
            <w:tcW w:type="dxa" w:w="2015"/>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AI Trust</w:t>
            </w:r>
          </w:p>
        </w:tc>
        <w:tc>
          <w:tcPr>
            <w:tcW w:type="dxa" w:w="453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记录教授是否查看依据、接受、修改、忽略或质疑 AI</w:t>
            </w:r>
          </w:p>
        </w:tc>
        <w:tc>
          <w:tcPr>
            <w:tcW w:type="dxa" w:w="352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验证权限、证据和不确定性表达</w:t>
            </w:r>
          </w:p>
        </w:tc>
      </w:tr>
      <w:tr>
        <w:trPr>
          <w:cantSplit/>
        </w:trPr>
        <w:tc>
          <w:tcPr>
            <w:tcW w:type="dxa" w:w="2015"/>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Completion and Confidence</w:t>
            </w:r>
          </w:p>
        </w:tc>
        <w:tc>
          <w:tcPr>
            <w:tcW w:type="dxa" w:w="4536"/>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记录是否完成和自评把握程度</w:t>
            </w:r>
          </w:p>
        </w:tc>
        <w:tc>
          <w:tcPr>
            <w:tcW w:type="dxa" w:w="352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区分偶然完成与真实理解</w:t>
            </w:r>
          </w:p>
        </w:tc>
      </w:tr>
    </w:tbl>
    <w:p>
      <w:pPr>
        <w:keepNext w:val="0"/>
        <w:widowControl/>
        <w:spacing w:before="0" w:after="120" w:line="240" w:lineRule="auto"/>
      </w:pPr>
    </w:p>
    <w:p>
      <w:pPr>
        <w:pStyle w:val="Heading2"/>
        <w:keepNext/>
        <w:spacing w:line="276" w:lineRule="auto"/>
      </w:pPr>
      <w:r>
        <w:rPr>
          <w:rFonts w:ascii="Arial Unicode MS" w:hAnsi="Arial Unicode MS" w:eastAsia="Arial Unicode MS"/>
          <w:b/>
          <w:i w:val="0"/>
          <w:color w:val="000000"/>
          <w:sz w:val="26"/>
        </w:rPr>
        <w:t>13 3 任务一 看最近有什么值得研究</w:t>
      </w:r>
    </w:p>
    <w:p>
      <w:pPr>
        <w:keepNext w:val="0"/>
        <w:widowControl/>
        <w:spacing w:before="0" w:after="140" w:line="317" w:lineRule="auto"/>
      </w:pPr>
      <w:r>
        <w:rPr>
          <w:rFonts w:ascii="Arial Unicode MS" w:hAnsi="Arial Unicode MS" w:eastAsia="Arial Unicode MS"/>
          <w:b/>
          <w:i w:val="0"/>
          <w:color w:val="17365D"/>
          <w:sz w:val="22"/>
        </w:rPr>
        <w:t xml:space="preserve">场景背景  </w:t>
      </w:r>
      <w:r>
        <w:rPr>
          <w:rFonts w:ascii="Arial Unicode MS" w:hAnsi="Arial Unicode MS" w:eastAsia="Arial Unicode MS"/>
          <w:b w:val="0"/>
          <w:i w:val="0"/>
          <w:color w:val="000000"/>
          <w:sz w:val="22"/>
        </w:rPr>
        <w:t>教授近期持续关注针灸治疗情志病，但今天没有明确的新课题任务。</w:t>
      </w:r>
    </w:p>
    <w:p>
      <w:pPr>
        <w:keepNext w:val="0"/>
        <w:widowControl/>
        <w:spacing w:before="0" w:after="140" w:line="317" w:lineRule="auto"/>
      </w:pPr>
      <w:r>
        <w:rPr>
          <w:rFonts w:ascii="Arial Unicode MS" w:hAnsi="Arial Unicode MS" w:eastAsia="Arial Unicode MS"/>
          <w:b/>
          <w:i w:val="0"/>
          <w:color w:val="17365D"/>
          <w:sz w:val="22"/>
        </w:rPr>
        <w:t xml:space="preserve">直接话术  </w:t>
      </w:r>
      <w:r>
        <w:rPr>
          <w:rFonts w:ascii="Arial Unicode MS" w:hAnsi="Arial Unicode MS" w:eastAsia="Arial Unicode MS"/>
          <w:b w:val="0"/>
          <w:i/>
          <w:color w:val="000000"/>
          <w:sz w:val="22"/>
        </w:rPr>
        <w:t>“张教授，假设您今天没有具体课题工作，只是想看看这个领域最近有没有值得您关注或进一步研究的新东西。请按照您自己的习惯操作。”</w:t>
      </w:r>
    </w:p>
    <w:p>
      <w:pPr>
        <w:keepNext w:val="0"/>
        <w:widowControl/>
        <w:spacing w:before="0" w:after="60" w:line="317" w:lineRule="auto"/>
      </w:pPr>
      <w:r>
        <w:rPr>
          <w:rFonts w:ascii="Arial Unicode MS" w:hAnsi="Arial Unicode MS" w:eastAsia="Arial Unicode MS"/>
          <w:b/>
          <w:i w:val="0"/>
          <w:color w:val="17365D"/>
          <w:sz w:val="21"/>
        </w:rPr>
        <w:t>观察点</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第一眼关注哪里，第一次点哪里</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是否进入 Hub 或 Research Brief</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是否能区分最新信息与值得关注的信息</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是否主动查看 Evidence 或调用 AI</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多久能说出一个值得继续了解的方向</w:t>
      </w:r>
    </w:p>
    <w:p>
      <w:pPr>
        <w:keepNext w:val="0"/>
        <w:widowControl/>
        <w:spacing w:before="0" w:after="60" w:line="317" w:lineRule="auto"/>
      </w:pPr>
      <w:r>
        <w:rPr>
          <w:rFonts w:ascii="Arial Unicode MS" w:hAnsi="Arial Unicode MS" w:eastAsia="Arial Unicode MS"/>
          <w:b/>
          <w:i w:val="0"/>
          <w:color w:val="17365D"/>
          <w:sz w:val="21"/>
        </w:rPr>
        <w:t>任务后追问</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刚才为什么先点这里？</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您原本期待这里看到什么？</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什么信息会让您觉得值得继续研究？</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系统应该做到哪一步，哪一步必须由您自己判断？</w:t>
      </w:r>
    </w:p>
    <w:p>
      <w:pPr>
        <w:keepNext w:val="0"/>
        <w:widowControl/>
        <w:spacing w:before="0" w:after="140" w:line="317" w:lineRule="auto"/>
      </w:pPr>
      <w:r>
        <w:rPr>
          <w:rFonts w:ascii="Arial Unicode MS" w:hAnsi="Arial Unicode MS" w:eastAsia="Arial Unicode MS"/>
          <w:b/>
          <w:i w:val="0"/>
          <w:color w:val="2E6B4F"/>
          <w:sz w:val="22"/>
        </w:rPr>
        <w:t xml:space="preserve">成功信号  </w:t>
      </w:r>
      <w:r>
        <w:rPr>
          <w:rFonts w:ascii="Arial Unicode MS" w:hAnsi="Arial Unicode MS" w:eastAsia="Arial Unicode MS"/>
          <w:b w:val="0"/>
          <w:i w:val="0"/>
          <w:color w:val="000000"/>
          <w:sz w:val="22"/>
        </w:rPr>
        <w:t>教授无需解释即可找到相关内容，能说明证据与潜在机会之间的区别，并知道如何继续。</w:t>
      </w:r>
    </w:p>
    <w:p>
      <w:pPr>
        <w:keepNext w:val="0"/>
        <w:widowControl/>
        <w:spacing w:before="0" w:after="140" w:line="317" w:lineRule="auto"/>
      </w:pPr>
      <w:r>
        <w:rPr>
          <w:rFonts w:ascii="Arial Unicode MS" w:hAnsi="Arial Unicode MS" w:eastAsia="Arial Unicode MS"/>
          <w:b/>
          <w:i w:val="0"/>
          <w:color w:val="A61B1B"/>
          <w:sz w:val="22"/>
        </w:rPr>
        <w:t xml:space="preserve">风险信号  </w:t>
      </w:r>
      <w:r>
        <w:rPr>
          <w:rFonts w:ascii="Arial Unicode MS" w:hAnsi="Arial Unicode MS" w:eastAsia="Arial Unicode MS"/>
          <w:b w:val="0"/>
          <w:i w:val="0"/>
          <w:color w:val="000000"/>
          <w:sz w:val="22"/>
        </w:rPr>
        <w:t>教授只看到新闻或论文列表，找不到与自己研究相关的价值，或把 AI 的机会判断直接当成结论。</w:t>
      </w:r>
    </w:p>
    <w:p>
      <w:pPr>
        <w:pStyle w:val="Heading2"/>
        <w:keepNext/>
        <w:spacing w:line="276" w:lineRule="auto"/>
      </w:pPr>
      <w:r>
        <w:rPr>
          <w:rFonts w:ascii="Arial Unicode MS" w:hAnsi="Arial Unicode MS" w:eastAsia="Arial Unicode MS"/>
          <w:b/>
          <w:i w:val="0"/>
          <w:color w:val="000000"/>
          <w:sz w:val="26"/>
        </w:rPr>
        <w:t>13 4 任务二 从一个方向形成研究问题</w:t>
      </w:r>
    </w:p>
    <w:p>
      <w:pPr>
        <w:keepNext w:val="0"/>
        <w:widowControl/>
        <w:spacing w:before="0" w:after="140" w:line="317" w:lineRule="auto"/>
      </w:pPr>
      <w:r>
        <w:rPr>
          <w:rFonts w:ascii="Arial Unicode MS" w:hAnsi="Arial Unicode MS" w:eastAsia="Arial Unicode MS"/>
          <w:b/>
          <w:i w:val="0"/>
          <w:color w:val="17365D"/>
          <w:sz w:val="22"/>
        </w:rPr>
        <w:t xml:space="preserve">场景背景  </w:t>
      </w:r>
      <w:r>
        <w:rPr>
          <w:rFonts w:ascii="Arial Unicode MS" w:hAnsi="Arial Unicode MS" w:eastAsia="Arial Unicode MS"/>
          <w:b w:val="0"/>
          <w:i w:val="0"/>
          <w:color w:val="000000"/>
          <w:sz w:val="22"/>
        </w:rPr>
        <w:t>教授在领域动态中看到一个与自己关注方向相关的变化，但还没有形成研究问题。</w:t>
      </w:r>
    </w:p>
    <w:p>
      <w:pPr>
        <w:keepNext w:val="0"/>
        <w:widowControl/>
        <w:spacing w:before="0" w:after="140" w:line="317" w:lineRule="auto"/>
      </w:pPr>
      <w:r>
        <w:rPr>
          <w:rFonts w:ascii="Arial Unicode MS" w:hAnsi="Arial Unicode MS" w:eastAsia="Arial Unicode MS"/>
          <w:b/>
          <w:i w:val="0"/>
          <w:color w:val="17365D"/>
          <w:sz w:val="22"/>
        </w:rPr>
        <w:t xml:space="preserve">直接话术  </w:t>
      </w:r>
      <w:r>
        <w:rPr>
          <w:rFonts w:ascii="Arial Unicode MS" w:hAnsi="Arial Unicode MS" w:eastAsia="Arial Unicode MS"/>
          <w:b w:val="0"/>
          <w:i/>
          <w:color w:val="000000"/>
          <w:sz w:val="22"/>
        </w:rPr>
        <w:t>“您对刚才看到的这个方向有些兴趣，想判断它是否值得进一步研究，并尝试形成一个可以和团队讨论的问题。请继续操作。”</w:t>
      </w:r>
    </w:p>
    <w:p>
      <w:pPr>
        <w:keepNext w:val="0"/>
        <w:widowControl/>
        <w:spacing w:before="0" w:after="60" w:line="317" w:lineRule="auto"/>
      </w:pPr>
      <w:r>
        <w:rPr>
          <w:rFonts w:ascii="Arial Unicode MS" w:hAnsi="Arial Unicode MS" w:eastAsia="Arial Unicode MS"/>
          <w:b/>
          <w:i w:val="0"/>
          <w:color w:val="17365D"/>
          <w:sz w:val="21"/>
        </w:rPr>
        <w:t>观察点</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是否先看支持和相反证据</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是否理解 Opportunity 不是正式课题</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是否寻找类似研究和研究空白</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是否使用 AI 深入分析而非一键生成</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是否能保存或带入团队讨论</w:t>
      </w:r>
    </w:p>
    <w:p>
      <w:pPr>
        <w:keepNext w:val="0"/>
        <w:widowControl/>
        <w:spacing w:before="0" w:after="60" w:line="317" w:lineRule="auto"/>
      </w:pPr>
      <w:r>
        <w:rPr>
          <w:rFonts w:ascii="Arial Unicode MS" w:hAnsi="Arial Unicode MS" w:eastAsia="Arial Unicode MS"/>
          <w:b/>
          <w:i w:val="0"/>
          <w:color w:val="17365D"/>
          <w:sz w:val="21"/>
        </w:rPr>
        <w:t>任务后追问</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您会用什么标准判断它值得研究？</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哪些依据还不够？</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AI 给到什么程度会让您觉得越界？</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接下来您通常会和谁讨论？</w:t>
      </w:r>
    </w:p>
    <w:p>
      <w:pPr>
        <w:keepNext w:val="0"/>
        <w:widowControl/>
        <w:spacing w:before="0" w:after="140" w:line="317" w:lineRule="auto"/>
      </w:pPr>
      <w:r>
        <w:rPr>
          <w:rFonts w:ascii="Arial Unicode MS" w:hAnsi="Arial Unicode MS" w:eastAsia="Arial Unicode MS"/>
          <w:b/>
          <w:i w:val="0"/>
          <w:color w:val="2E6B4F"/>
          <w:sz w:val="22"/>
        </w:rPr>
        <w:t xml:space="preserve">成功信号  </w:t>
      </w:r>
      <w:r>
        <w:rPr>
          <w:rFonts w:ascii="Arial Unicode MS" w:hAnsi="Arial Unicode MS" w:eastAsia="Arial Unicode MS"/>
          <w:b w:val="0"/>
          <w:i w:val="0"/>
          <w:color w:val="000000"/>
          <w:sz w:val="22"/>
        </w:rPr>
        <w:t>教授能从 Evidence 经过 Opportunity 形成可编辑 Question Draft，并保留不确定性。</w:t>
      </w:r>
    </w:p>
    <w:p>
      <w:pPr>
        <w:keepNext w:val="0"/>
        <w:widowControl/>
        <w:spacing w:before="0" w:after="140" w:line="317" w:lineRule="auto"/>
      </w:pPr>
      <w:r>
        <w:rPr>
          <w:rFonts w:ascii="Arial Unicode MS" w:hAnsi="Arial Unicode MS" w:eastAsia="Arial Unicode MS"/>
          <w:b/>
          <w:i w:val="0"/>
          <w:color w:val="A61B1B"/>
          <w:sz w:val="22"/>
        </w:rPr>
        <w:t xml:space="preserve">风险信号  </w:t>
      </w:r>
      <w:r>
        <w:rPr>
          <w:rFonts w:ascii="Arial Unicode MS" w:hAnsi="Arial Unicode MS" w:eastAsia="Arial Unicode MS"/>
          <w:b w:val="0"/>
          <w:i w:val="0"/>
          <w:color w:val="000000"/>
          <w:sz w:val="22"/>
        </w:rPr>
        <w:t>流程过早要求创建 Study，AI 直接替教授下结论，或用户无法理解 Opportunity 的价值。</w:t>
      </w:r>
    </w:p>
    <w:p>
      <w:pPr>
        <w:pStyle w:val="Heading2"/>
        <w:keepNext/>
        <w:spacing w:line="276" w:lineRule="auto"/>
      </w:pPr>
      <w:r>
        <w:rPr>
          <w:rFonts w:ascii="Arial Unicode MS" w:hAnsi="Arial Unicode MS" w:eastAsia="Arial Unicode MS"/>
          <w:b/>
          <w:i w:val="0"/>
          <w:color w:val="000000"/>
          <w:sz w:val="26"/>
        </w:rPr>
        <w:t>13 5 任务三 用已有方案快速创建研究</w:t>
      </w:r>
    </w:p>
    <w:p>
      <w:pPr>
        <w:keepNext w:val="0"/>
        <w:widowControl/>
        <w:spacing w:before="0" w:after="140" w:line="317" w:lineRule="auto"/>
      </w:pPr>
      <w:r>
        <w:rPr>
          <w:rFonts w:ascii="Arial Unicode MS" w:hAnsi="Arial Unicode MS" w:eastAsia="Arial Unicode MS"/>
          <w:b/>
          <w:i w:val="0"/>
          <w:color w:val="17365D"/>
          <w:sz w:val="22"/>
        </w:rPr>
        <w:t xml:space="preserve">场景背景  </w:t>
      </w:r>
      <w:r>
        <w:rPr>
          <w:rFonts w:ascii="Arial Unicode MS" w:hAnsi="Arial Unicode MS" w:eastAsia="Arial Unicode MS"/>
          <w:b w:val="0"/>
          <w:i w:val="0"/>
          <w:color w:val="000000"/>
          <w:sz w:val="22"/>
        </w:rPr>
        <w:t>教授已经有一份成熟 Protocol，不需要重新经历发现和构思。</w:t>
      </w:r>
    </w:p>
    <w:p>
      <w:pPr>
        <w:keepNext w:val="0"/>
        <w:widowControl/>
        <w:spacing w:before="0" w:after="140" w:line="317" w:lineRule="auto"/>
      </w:pPr>
      <w:r>
        <w:rPr>
          <w:rFonts w:ascii="Arial Unicode MS" w:hAnsi="Arial Unicode MS" w:eastAsia="Arial Unicode MS"/>
          <w:b/>
          <w:i w:val="0"/>
          <w:color w:val="17365D"/>
          <w:sz w:val="22"/>
        </w:rPr>
        <w:t xml:space="preserve">直接话术  </w:t>
      </w:r>
      <w:r>
        <w:rPr>
          <w:rFonts w:ascii="Arial Unicode MS" w:hAnsi="Arial Unicode MS" w:eastAsia="Arial Unicode MS"/>
          <w:b w:val="0"/>
          <w:i/>
          <w:color w:val="000000"/>
          <w:sz w:val="22"/>
        </w:rPr>
        <w:t>“您已经有一份比较成熟的研究方案，现在希望尽快把它放到岐研里并准备启动。请按照您认为最省事的方式操作。”</w:t>
      </w:r>
    </w:p>
    <w:p>
      <w:pPr>
        <w:keepNext w:val="0"/>
        <w:widowControl/>
        <w:spacing w:before="0" w:after="60" w:line="317" w:lineRule="auto"/>
      </w:pPr>
      <w:r>
        <w:rPr>
          <w:rFonts w:ascii="Arial Unicode MS" w:hAnsi="Arial Unicode MS" w:eastAsia="Arial Unicode MS"/>
          <w:b/>
          <w:i w:val="0"/>
          <w:color w:val="17365D"/>
          <w:sz w:val="21"/>
        </w:rPr>
        <w:t>观察点</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First Click 是否是创建 Study 或上传方案</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是否发现系统可理解既有材料</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是否能检查 AI 识别内容及来源</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是否能发现缺失配置</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是否理解确认与正式发布的边界</w:t>
      </w:r>
    </w:p>
    <w:p>
      <w:pPr>
        <w:keepNext w:val="0"/>
        <w:widowControl/>
        <w:spacing w:before="0" w:after="60" w:line="317" w:lineRule="auto"/>
      </w:pPr>
      <w:r>
        <w:rPr>
          <w:rFonts w:ascii="Arial Unicode MS" w:hAnsi="Arial Unicode MS" w:eastAsia="Arial Unicode MS"/>
          <w:b/>
          <w:i w:val="0"/>
          <w:color w:val="17365D"/>
          <w:sz w:val="21"/>
        </w:rPr>
        <w:t>任务后追问</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哪些内容您希望系统自动识别？</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哪些内容一定要人工核对？</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哪里仍然像重复录入？</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您会让谁参与最后确认？</w:t>
      </w:r>
    </w:p>
    <w:p>
      <w:pPr>
        <w:keepNext w:val="0"/>
        <w:widowControl/>
        <w:spacing w:before="0" w:after="140" w:line="317" w:lineRule="auto"/>
      </w:pPr>
      <w:r>
        <w:rPr>
          <w:rFonts w:ascii="Arial Unicode MS" w:hAnsi="Arial Unicode MS" w:eastAsia="Arial Unicode MS"/>
          <w:b/>
          <w:i w:val="0"/>
          <w:color w:val="2E6B4F"/>
          <w:sz w:val="22"/>
        </w:rPr>
        <w:t xml:space="preserve">成功信号  </w:t>
      </w:r>
      <w:r>
        <w:rPr>
          <w:rFonts w:ascii="Arial Unicode MS" w:hAnsi="Arial Unicode MS" w:eastAsia="Arial Unicode MS"/>
          <w:b w:val="0"/>
          <w:i w:val="0"/>
          <w:color w:val="000000"/>
          <w:sz w:val="22"/>
        </w:rPr>
        <w:t>教授自然走向 Protocol Upload，理解 AI Structure 是草稿，并能完成团队确认和启动检查。</w:t>
      </w:r>
    </w:p>
    <w:p>
      <w:pPr>
        <w:keepNext w:val="0"/>
        <w:widowControl/>
        <w:spacing w:before="0" w:after="140" w:line="317" w:lineRule="auto"/>
      </w:pPr>
      <w:r>
        <w:rPr>
          <w:rFonts w:ascii="Arial Unicode MS" w:hAnsi="Arial Unicode MS" w:eastAsia="Arial Unicode MS"/>
          <w:b/>
          <w:i w:val="0"/>
          <w:color w:val="A61B1B"/>
          <w:sz w:val="22"/>
        </w:rPr>
        <w:t xml:space="preserve">风险信号  </w:t>
      </w:r>
      <w:r>
        <w:rPr>
          <w:rFonts w:ascii="Arial Unicode MS" w:hAnsi="Arial Unicode MS" w:eastAsia="Arial Unicode MS"/>
          <w:b w:val="0"/>
          <w:i w:val="0"/>
          <w:color w:val="000000"/>
          <w:sz w:val="22"/>
        </w:rPr>
        <w:t>系统强迫用户从 Radar 开始，要求重复录入大量已有方案，或 AI 识别结果无来源可核对。</w:t>
      </w:r>
    </w:p>
    <w:p>
      <w:pPr>
        <w:pStyle w:val="Heading2"/>
        <w:keepNext/>
        <w:spacing w:line="276" w:lineRule="auto"/>
      </w:pPr>
      <w:r>
        <w:rPr>
          <w:rFonts w:ascii="Arial Unicode MS" w:hAnsi="Arial Unicode MS" w:eastAsia="Arial Unicode MS"/>
          <w:b/>
          <w:i w:val="0"/>
          <w:color w:val="000000"/>
          <w:sz w:val="26"/>
        </w:rPr>
        <w:t>13 6 任务四 看自己负责的研究整体怎么样</w:t>
      </w:r>
    </w:p>
    <w:p>
      <w:pPr>
        <w:keepNext w:val="0"/>
        <w:widowControl/>
        <w:spacing w:before="0" w:after="140" w:line="317" w:lineRule="auto"/>
      </w:pPr>
      <w:r>
        <w:rPr>
          <w:rFonts w:ascii="Arial Unicode MS" w:hAnsi="Arial Unicode MS" w:eastAsia="Arial Unicode MS"/>
          <w:b/>
          <w:i w:val="0"/>
          <w:color w:val="17365D"/>
          <w:sz w:val="22"/>
        </w:rPr>
        <w:t xml:space="preserve">场景背景  </w:t>
      </w:r>
      <w:r>
        <w:rPr>
          <w:rFonts w:ascii="Arial Unicode MS" w:hAnsi="Arial Unicode MS" w:eastAsia="Arial Unicode MS"/>
          <w:b w:val="0"/>
          <w:i w:val="0"/>
          <w:color w:val="000000"/>
          <w:sz w:val="22"/>
        </w:rPr>
        <w:t>教授同时主持和参与多个 Study，今天想快速判断哪里需要自己处理。</w:t>
      </w:r>
    </w:p>
    <w:p>
      <w:pPr>
        <w:keepNext w:val="0"/>
        <w:widowControl/>
        <w:spacing w:before="0" w:after="140" w:line="317" w:lineRule="auto"/>
      </w:pPr>
      <w:r>
        <w:rPr>
          <w:rFonts w:ascii="Arial Unicode MS" w:hAnsi="Arial Unicode MS" w:eastAsia="Arial Unicode MS"/>
          <w:b/>
          <w:i w:val="0"/>
          <w:color w:val="17365D"/>
          <w:sz w:val="22"/>
        </w:rPr>
        <w:t xml:space="preserve">直接话术  </w:t>
      </w:r>
      <w:r>
        <w:rPr>
          <w:rFonts w:ascii="Arial Unicode MS" w:hAnsi="Arial Unicode MS" w:eastAsia="Arial Unicode MS"/>
          <w:b w:val="0"/>
          <w:i/>
          <w:color w:val="000000"/>
          <w:sz w:val="22"/>
        </w:rPr>
        <w:t>“您现在同时参与几个研究，想先看一下整体情况，并判断今天有没有必须由您处理的事情。请开始操作。”</w:t>
      </w:r>
    </w:p>
    <w:p>
      <w:pPr>
        <w:keepNext w:val="0"/>
        <w:widowControl/>
        <w:spacing w:before="0" w:after="60" w:line="317" w:lineRule="auto"/>
      </w:pPr>
      <w:r>
        <w:rPr>
          <w:rFonts w:ascii="Arial Unicode MS" w:hAnsi="Arial Unicode MS" w:eastAsia="Arial Unicode MS"/>
          <w:b/>
          <w:i w:val="0"/>
          <w:color w:val="17365D"/>
          <w:sz w:val="21"/>
        </w:rPr>
        <w:t>观察点</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是否先进入 My Research</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是否能区分 Portfolio 与单个 Study</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是否被大量指标淹没</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多久能指出最高优先级事项</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是否知道下一步进入哪个 Context</w:t>
      </w:r>
    </w:p>
    <w:p>
      <w:pPr>
        <w:keepNext w:val="0"/>
        <w:widowControl/>
        <w:spacing w:before="0" w:after="60" w:line="317" w:lineRule="auto"/>
      </w:pPr>
      <w:r>
        <w:rPr>
          <w:rFonts w:ascii="Arial Unicode MS" w:hAnsi="Arial Unicode MS" w:eastAsia="Arial Unicode MS"/>
          <w:b/>
          <w:i w:val="0"/>
          <w:color w:val="17365D"/>
          <w:sz w:val="21"/>
        </w:rPr>
        <w:t>任务后追问</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您是根据什么判断优先级的？</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哪些信息不需要放在第一屏？</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您希望系统主动提醒到什么程度？</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哪些事情可以委托给团队？</w:t>
      </w:r>
    </w:p>
    <w:p>
      <w:pPr>
        <w:keepNext w:val="0"/>
        <w:widowControl/>
        <w:spacing w:before="0" w:after="140" w:line="317" w:lineRule="auto"/>
      </w:pPr>
      <w:r>
        <w:rPr>
          <w:rFonts w:ascii="Arial Unicode MS" w:hAnsi="Arial Unicode MS" w:eastAsia="Arial Unicode MS"/>
          <w:b/>
          <w:i w:val="0"/>
          <w:color w:val="2E6B4F"/>
          <w:sz w:val="22"/>
        </w:rPr>
        <w:t xml:space="preserve">成功信号  </w:t>
      </w:r>
      <w:r>
        <w:rPr>
          <w:rFonts w:ascii="Arial Unicode MS" w:hAnsi="Arial Unicode MS" w:eastAsia="Arial Unicode MS"/>
          <w:b w:val="0"/>
          <w:i w:val="0"/>
          <w:color w:val="000000"/>
          <w:sz w:val="22"/>
        </w:rPr>
        <w:t>教授能在较少操作内识别关键 Attention，并自然进入对应 Study 或审批工作。</w:t>
      </w:r>
    </w:p>
    <w:p>
      <w:pPr>
        <w:keepNext w:val="0"/>
        <w:widowControl/>
        <w:spacing w:before="0" w:after="140" w:line="317" w:lineRule="auto"/>
      </w:pPr>
      <w:r>
        <w:rPr>
          <w:rFonts w:ascii="Arial Unicode MS" w:hAnsi="Arial Unicode MS" w:eastAsia="Arial Unicode MS"/>
          <w:b/>
          <w:i w:val="0"/>
          <w:color w:val="A61B1B"/>
          <w:sz w:val="22"/>
        </w:rPr>
        <w:t xml:space="preserve">风险信号  </w:t>
      </w:r>
      <w:r>
        <w:rPr>
          <w:rFonts w:ascii="Arial Unicode MS" w:hAnsi="Arial Unicode MS" w:eastAsia="Arial Unicode MS"/>
          <w:b w:val="0"/>
          <w:i w:val="0"/>
          <w:color w:val="000000"/>
          <w:sz w:val="22"/>
        </w:rPr>
        <w:t>首页变成统计卡片集合，教授仍需逐个课题巡检，或把普通通知当成重要科研事项。</w:t>
      </w:r>
    </w:p>
    <w:p>
      <w:pPr>
        <w:pStyle w:val="Heading2"/>
        <w:keepNext/>
        <w:spacing w:line="276" w:lineRule="auto"/>
      </w:pPr>
      <w:r>
        <w:rPr>
          <w:rFonts w:ascii="Arial Unicode MS" w:hAnsi="Arial Unicode MS" w:eastAsia="Arial Unicode MS"/>
          <w:b/>
          <w:i w:val="0"/>
          <w:color w:val="000000"/>
          <w:sz w:val="26"/>
        </w:rPr>
        <w:t>13 7 任务五 找出一个课题最值得关注的问题</w:t>
      </w:r>
    </w:p>
    <w:p>
      <w:pPr>
        <w:keepNext w:val="0"/>
        <w:widowControl/>
        <w:spacing w:before="0" w:after="140" w:line="317" w:lineRule="auto"/>
      </w:pPr>
      <w:r>
        <w:rPr>
          <w:rFonts w:ascii="Arial Unicode MS" w:hAnsi="Arial Unicode MS" w:eastAsia="Arial Unicode MS"/>
          <w:b/>
          <w:i w:val="0"/>
          <w:color w:val="17365D"/>
          <w:sz w:val="22"/>
        </w:rPr>
        <w:t xml:space="preserve">场景背景  </w:t>
      </w:r>
      <w:r>
        <w:rPr>
          <w:rFonts w:ascii="Arial Unicode MS" w:hAnsi="Arial Unicode MS" w:eastAsia="Arial Unicode MS"/>
          <w:b w:val="0"/>
          <w:i w:val="0"/>
          <w:color w:val="000000"/>
          <w:sz w:val="22"/>
        </w:rPr>
        <w:t>某 Study 最近出现入组或随访变化，教授需要理解原因和影响。</w:t>
      </w:r>
    </w:p>
    <w:p>
      <w:pPr>
        <w:keepNext w:val="0"/>
        <w:widowControl/>
        <w:spacing w:before="0" w:after="140" w:line="317" w:lineRule="auto"/>
      </w:pPr>
      <w:r>
        <w:rPr>
          <w:rFonts w:ascii="Arial Unicode MS" w:hAnsi="Arial Unicode MS" w:eastAsia="Arial Unicode MS"/>
          <w:b/>
          <w:i w:val="0"/>
          <w:color w:val="17365D"/>
          <w:sz w:val="22"/>
        </w:rPr>
        <w:t xml:space="preserve">直接话术  </w:t>
      </w:r>
      <w:r>
        <w:rPr>
          <w:rFonts w:ascii="Arial Unicode MS" w:hAnsi="Arial Unicode MS" w:eastAsia="Arial Unicode MS"/>
          <w:b w:val="0"/>
          <w:i/>
          <w:color w:val="000000"/>
          <w:sz w:val="22"/>
        </w:rPr>
        <w:t>“请看看这个研究最近有没有需要您特别关注的问题。如果有，请判断发生了什么，以及您下一步会怎么处理。”</w:t>
      </w:r>
    </w:p>
    <w:p>
      <w:pPr>
        <w:keepNext w:val="0"/>
        <w:widowControl/>
        <w:spacing w:before="0" w:after="60" w:line="317" w:lineRule="auto"/>
      </w:pPr>
      <w:r>
        <w:rPr>
          <w:rFonts w:ascii="Arial Unicode MS" w:hAnsi="Arial Unicode MS" w:eastAsia="Arial Unicode MS"/>
          <w:b/>
          <w:i w:val="0"/>
          <w:color w:val="17365D"/>
          <w:sz w:val="21"/>
        </w:rPr>
        <w:t>观察点</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First Click 是否指向 Attention 或 Study Overview</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是否先看到 What happened</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能否继续理解 Why 和数据依据</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是否分清事实、AI 判断和建议</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能否形成处理动作</w:t>
      </w:r>
    </w:p>
    <w:p>
      <w:pPr>
        <w:keepNext w:val="0"/>
        <w:widowControl/>
        <w:spacing w:before="0" w:after="60" w:line="317" w:lineRule="auto"/>
      </w:pPr>
      <w:r>
        <w:rPr>
          <w:rFonts w:ascii="Arial Unicode MS" w:hAnsi="Arial Unicode MS" w:eastAsia="Arial Unicode MS"/>
          <w:b/>
          <w:i w:val="0"/>
          <w:color w:val="17365D"/>
          <w:sz w:val="21"/>
        </w:rPr>
        <w:t>任务后追问</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什么证据让您相信这是重要问题？</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您还会看哪些数据？</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AI 的建议是否足够可信？</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您会自己处理还是交给团队？</w:t>
      </w:r>
    </w:p>
    <w:p>
      <w:pPr>
        <w:keepNext w:val="0"/>
        <w:widowControl/>
        <w:spacing w:before="0" w:after="140" w:line="317" w:lineRule="auto"/>
      </w:pPr>
      <w:r>
        <w:rPr>
          <w:rFonts w:ascii="Arial Unicode MS" w:hAnsi="Arial Unicode MS" w:eastAsia="Arial Unicode MS"/>
          <w:b/>
          <w:i w:val="0"/>
          <w:color w:val="2E6B4F"/>
          <w:sz w:val="22"/>
        </w:rPr>
        <w:t xml:space="preserve">成功信号  </w:t>
      </w:r>
      <w:r>
        <w:rPr>
          <w:rFonts w:ascii="Arial Unicode MS" w:hAnsi="Arial Unicode MS" w:eastAsia="Arial Unicode MS"/>
          <w:b w:val="0"/>
          <w:i w:val="0"/>
          <w:color w:val="000000"/>
          <w:sz w:val="22"/>
        </w:rPr>
        <w:t>教授能基于可追溯数据解释问题并选择下一步，而不是只看到风险标签。</w:t>
      </w:r>
    </w:p>
    <w:p>
      <w:pPr>
        <w:keepNext w:val="0"/>
        <w:widowControl/>
        <w:spacing w:before="0" w:after="140" w:line="317" w:lineRule="auto"/>
      </w:pPr>
      <w:r>
        <w:rPr>
          <w:rFonts w:ascii="Arial Unicode MS" w:hAnsi="Arial Unicode MS" w:eastAsia="Arial Unicode MS"/>
          <w:b/>
          <w:i w:val="0"/>
          <w:color w:val="A61B1B"/>
          <w:sz w:val="22"/>
        </w:rPr>
        <w:t xml:space="preserve">风险信号  </w:t>
      </w:r>
      <w:r>
        <w:rPr>
          <w:rFonts w:ascii="Arial Unicode MS" w:hAnsi="Arial Unicode MS" w:eastAsia="Arial Unicode MS"/>
          <w:b w:val="0"/>
          <w:i w:val="0"/>
          <w:color w:val="000000"/>
          <w:sz w:val="22"/>
        </w:rPr>
        <w:t>AI 结论像黑箱，图表过多却没有决策意义，或系统无法解释异常来自哪里。</w:t>
      </w:r>
    </w:p>
    <w:p>
      <w:pPr>
        <w:pStyle w:val="Heading2"/>
        <w:keepNext/>
        <w:spacing w:line="276" w:lineRule="auto"/>
      </w:pPr>
      <w:r>
        <w:rPr>
          <w:rFonts w:ascii="Arial Unicode MS" w:hAnsi="Arial Unicode MS" w:eastAsia="Arial Unicode MS"/>
          <w:b/>
          <w:i w:val="0"/>
          <w:color w:val="000000"/>
          <w:sz w:val="26"/>
        </w:rPr>
        <w:t>13 8 任务六 用已有数据做一次科研分析</w:t>
      </w:r>
    </w:p>
    <w:p>
      <w:pPr>
        <w:keepNext w:val="0"/>
        <w:widowControl/>
        <w:spacing w:before="0" w:after="140" w:line="317" w:lineRule="auto"/>
      </w:pPr>
      <w:r>
        <w:rPr>
          <w:rFonts w:ascii="Arial Unicode MS" w:hAnsi="Arial Unicode MS" w:eastAsia="Arial Unicode MS"/>
          <w:b/>
          <w:i w:val="0"/>
          <w:color w:val="17365D"/>
          <w:sz w:val="22"/>
        </w:rPr>
        <w:t xml:space="preserve">场景背景  </w:t>
      </w:r>
      <w:r>
        <w:rPr>
          <w:rFonts w:ascii="Arial Unicode MS" w:hAnsi="Arial Unicode MS" w:eastAsia="Arial Unicode MS"/>
          <w:b w:val="0"/>
          <w:i w:val="0"/>
          <w:color w:val="000000"/>
          <w:sz w:val="22"/>
        </w:rPr>
        <w:t>Study 已有可用 Dataset 和 Analysis Plan，教授希望探索一个研究问题。</w:t>
      </w:r>
    </w:p>
    <w:p>
      <w:pPr>
        <w:keepNext w:val="0"/>
        <w:widowControl/>
        <w:spacing w:before="0" w:after="140" w:line="317" w:lineRule="auto"/>
      </w:pPr>
      <w:r>
        <w:rPr>
          <w:rFonts w:ascii="Arial Unicode MS" w:hAnsi="Arial Unicode MS" w:eastAsia="Arial Unicode MS"/>
          <w:b/>
          <w:i w:val="0"/>
          <w:color w:val="17365D"/>
          <w:sz w:val="22"/>
        </w:rPr>
        <w:t xml:space="preserve">直接话术  </w:t>
      </w:r>
      <w:r>
        <w:rPr>
          <w:rFonts w:ascii="Arial Unicode MS" w:hAnsi="Arial Unicode MS" w:eastAsia="Arial Unicode MS"/>
          <w:b w:val="0"/>
          <w:i/>
          <w:color w:val="000000"/>
          <w:sz w:val="22"/>
        </w:rPr>
        <w:t>“您想看看不同证型患者的主要结局变化是否存在值得进一步分析的差异。请用系统完成您认为必要的步骤。”</w:t>
      </w:r>
    </w:p>
    <w:p>
      <w:pPr>
        <w:keepNext w:val="0"/>
        <w:widowControl/>
        <w:spacing w:before="0" w:after="60" w:line="317" w:lineRule="auto"/>
      </w:pPr>
      <w:r>
        <w:rPr>
          <w:rFonts w:ascii="Arial Unicode MS" w:hAnsi="Arial Unicode MS" w:eastAsia="Arial Unicode MS"/>
          <w:b/>
          <w:i w:val="0"/>
          <w:color w:val="17365D"/>
          <w:sz w:val="21"/>
        </w:rPr>
        <w:t>观察点</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是否进入 Study Analysis 而非空白聊天</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是否检查数据版本、样本和方法</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是否选择相关 Knowledge 或 Evidence</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是否理解 Draft 与 Reviewed Analysis</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是否查看限制</w:t>
      </w:r>
    </w:p>
    <w:p>
      <w:pPr>
        <w:keepNext w:val="0"/>
        <w:widowControl/>
        <w:spacing w:before="0" w:after="60" w:line="317" w:lineRule="auto"/>
      </w:pPr>
      <w:r>
        <w:rPr>
          <w:rFonts w:ascii="Arial Unicode MS" w:hAnsi="Arial Unicode MS" w:eastAsia="Arial Unicode MS"/>
          <w:b/>
          <w:i w:val="0"/>
          <w:color w:val="17365D"/>
          <w:sz w:val="21"/>
        </w:rPr>
        <w:t>任务后追问</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您最先确认的分析前提是什么？</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哪些结果不能只由 AI 解释？</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您会如何审阅这份分析？</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什么情况下可以进入报告？</w:t>
      </w:r>
    </w:p>
    <w:p>
      <w:pPr>
        <w:keepNext w:val="0"/>
        <w:widowControl/>
        <w:spacing w:before="0" w:after="140" w:line="317" w:lineRule="auto"/>
      </w:pPr>
      <w:r>
        <w:rPr>
          <w:rFonts w:ascii="Arial Unicode MS" w:hAnsi="Arial Unicode MS" w:eastAsia="Arial Unicode MS"/>
          <w:b/>
          <w:i w:val="0"/>
          <w:color w:val="2E6B4F"/>
          <w:sz w:val="22"/>
        </w:rPr>
        <w:t xml:space="preserve">成功信号  </w:t>
      </w:r>
      <w:r>
        <w:rPr>
          <w:rFonts w:ascii="Arial Unicode MS" w:hAnsi="Arial Unicode MS" w:eastAsia="Arial Unicode MS"/>
          <w:b w:val="0"/>
          <w:i w:val="0"/>
          <w:color w:val="000000"/>
          <w:sz w:val="22"/>
        </w:rPr>
        <w:t>教授能理解分析所用上下文、数据版本、方法和限制，并进行人工审阅。</w:t>
      </w:r>
    </w:p>
    <w:p>
      <w:pPr>
        <w:keepNext w:val="0"/>
        <w:widowControl/>
        <w:spacing w:before="0" w:after="140" w:line="317" w:lineRule="auto"/>
      </w:pPr>
      <w:r>
        <w:rPr>
          <w:rFonts w:ascii="Arial Unicode MS" w:hAnsi="Arial Unicode MS" w:eastAsia="Arial Unicode MS"/>
          <w:b/>
          <w:i w:val="0"/>
          <w:color w:val="A61B1B"/>
          <w:sz w:val="22"/>
        </w:rPr>
        <w:t xml:space="preserve">风险信号  </w:t>
      </w:r>
      <w:r>
        <w:rPr>
          <w:rFonts w:ascii="Arial Unicode MS" w:hAnsi="Arial Unicode MS" w:eastAsia="Arial Unicode MS"/>
          <w:b w:val="0"/>
          <w:i w:val="0"/>
          <w:color w:val="000000"/>
          <w:sz w:val="22"/>
        </w:rPr>
        <w:t>AI 只输出结论，没有数据范围或方法；教授无法判断能否用于正式产出。</w:t>
      </w:r>
    </w:p>
    <w:p>
      <w:pPr>
        <w:pStyle w:val="Heading2"/>
        <w:keepNext/>
        <w:spacing w:line="276" w:lineRule="auto"/>
      </w:pPr>
      <w:r>
        <w:rPr>
          <w:rFonts w:ascii="Arial Unicode MS" w:hAnsi="Arial Unicode MS" w:eastAsia="Arial Unicode MS"/>
          <w:b/>
          <w:i w:val="0"/>
          <w:color w:val="000000"/>
          <w:sz w:val="26"/>
        </w:rPr>
        <w:t>13 9 任务七 形成阶段研究汇报</w:t>
      </w:r>
    </w:p>
    <w:p>
      <w:pPr>
        <w:keepNext w:val="0"/>
        <w:widowControl/>
        <w:spacing w:before="0" w:after="140" w:line="317" w:lineRule="auto"/>
      </w:pPr>
      <w:r>
        <w:rPr>
          <w:rFonts w:ascii="Arial Unicode MS" w:hAnsi="Arial Unicode MS" w:eastAsia="Arial Unicode MS"/>
          <w:b/>
          <w:i w:val="0"/>
          <w:color w:val="17365D"/>
          <w:sz w:val="22"/>
        </w:rPr>
        <w:t xml:space="preserve">场景背景  </w:t>
      </w:r>
      <w:r>
        <w:rPr>
          <w:rFonts w:ascii="Arial Unicode MS" w:hAnsi="Arial Unicode MS" w:eastAsia="Arial Unicode MS"/>
          <w:b w:val="0"/>
          <w:i w:val="0"/>
          <w:color w:val="000000"/>
          <w:sz w:val="22"/>
        </w:rPr>
        <w:t>教授需要基于当前 Study 为团队会议准备阶段汇报。</w:t>
      </w:r>
    </w:p>
    <w:p>
      <w:pPr>
        <w:keepNext w:val="0"/>
        <w:widowControl/>
        <w:spacing w:before="0" w:after="140" w:line="317" w:lineRule="auto"/>
      </w:pPr>
      <w:r>
        <w:rPr>
          <w:rFonts w:ascii="Arial Unicode MS" w:hAnsi="Arial Unicode MS" w:eastAsia="Arial Unicode MS"/>
          <w:b/>
          <w:i w:val="0"/>
          <w:color w:val="17365D"/>
          <w:sz w:val="22"/>
        </w:rPr>
        <w:t xml:space="preserve">直接话术  </w:t>
      </w:r>
      <w:r>
        <w:rPr>
          <w:rFonts w:ascii="Arial Unicode MS" w:hAnsi="Arial Unicode MS" w:eastAsia="Arial Unicode MS"/>
          <w:b w:val="0"/>
          <w:i/>
          <w:color w:val="000000"/>
          <w:sz w:val="22"/>
        </w:rPr>
        <w:t>“下周要做一次阶段汇报，请基于这个研究目前已经审核的内容，准备一份可以继续修改的汇报草稿。”</w:t>
      </w:r>
    </w:p>
    <w:p>
      <w:pPr>
        <w:keepNext w:val="0"/>
        <w:widowControl/>
        <w:spacing w:before="0" w:after="60" w:line="317" w:lineRule="auto"/>
      </w:pPr>
      <w:r>
        <w:rPr>
          <w:rFonts w:ascii="Arial Unicode MS" w:hAnsi="Arial Unicode MS" w:eastAsia="Arial Unicode MS"/>
          <w:b/>
          <w:i w:val="0"/>
          <w:color w:val="17365D"/>
          <w:sz w:val="21"/>
        </w:rPr>
        <w:t>观察点</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是否能选择 Protocol、Dataset、Reviewed Analysis 和 Knowledge</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是否避免重新上传项目背景</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是否清楚标记 Draft</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是否能追溯每个重要结论的来源</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是否可继续编辑</w:t>
      </w:r>
    </w:p>
    <w:p>
      <w:pPr>
        <w:keepNext w:val="0"/>
        <w:widowControl/>
        <w:spacing w:before="0" w:after="60" w:line="317" w:lineRule="auto"/>
      </w:pPr>
      <w:r>
        <w:rPr>
          <w:rFonts w:ascii="Arial Unicode MS" w:hAnsi="Arial Unicode MS" w:eastAsia="Arial Unicode MS"/>
          <w:b/>
          <w:i w:val="0"/>
          <w:color w:val="17365D"/>
          <w:sz w:val="21"/>
        </w:rPr>
        <w:t>任务后追问</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哪些内容可以自动生成？</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哪些内容必须由您亲自修改？</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您会如何核对数字和引用？</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生成 PPT 前还需要谁审阅？</w:t>
      </w:r>
    </w:p>
    <w:p>
      <w:pPr>
        <w:keepNext w:val="0"/>
        <w:widowControl/>
        <w:spacing w:before="0" w:after="140" w:line="317" w:lineRule="auto"/>
      </w:pPr>
      <w:r>
        <w:rPr>
          <w:rFonts w:ascii="Arial Unicode MS" w:hAnsi="Arial Unicode MS" w:eastAsia="Arial Unicode MS"/>
          <w:b/>
          <w:i w:val="0"/>
          <w:color w:val="2E6B4F"/>
          <w:sz w:val="22"/>
        </w:rPr>
        <w:t xml:space="preserve">成功信号  </w:t>
      </w:r>
      <w:r>
        <w:rPr>
          <w:rFonts w:ascii="Arial Unicode MS" w:hAnsi="Arial Unicode MS" w:eastAsia="Arial Unicode MS"/>
          <w:b w:val="0"/>
          <w:i w:val="0"/>
          <w:color w:val="000000"/>
          <w:sz w:val="22"/>
        </w:rPr>
        <w:t>系统使用当前 Study Context 形成可编辑 Draft，重要结论可追溯，教授知道正式使用前的审阅责任。</w:t>
      </w:r>
    </w:p>
    <w:p>
      <w:pPr>
        <w:keepNext w:val="0"/>
        <w:widowControl/>
        <w:spacing w:before="0" w:after="140" w:line="317" w:lineRule="auto"/>
      </w:pPr>
      <w:r>
        <w:rPr>
          <w:rFonts w:ascii="Arial Unicode MS" w:hAnsi="Arial Unicode MS" w:eastAsia="Arial Unicode MS"/>
          <w:b/>
          <w:i w:val="0"/>
          <w:color w:val="A61B1B"/>
          <w:sz w:val="22"/>
        </w:rPr>
        <w:t xml:space="preserve">风险信号  </w:t>
      </w:r>
      <w:r>
        <w:rPr>
          <w:rFonts w:ascii="Arial Unicode MS" w:hAnsi="Arial Unicode MS" w:eastAsia="Arial Unicode MS"/>
          <w:b w:val="0"/>
          <w:i w:val="0"/>
          <w:color w:val="000000"/>
          <w:sz w:val="22"/>
        </w:rPr>
        <w:t>内容来自不明版本数据，AI 把未经审核分析写成结论，或结果只是通用模板。</w:t>
      </w:r>
    </w:p>
    <w:p>
      <w:pPr>
        <w:pStyle w:val="Heading2"/>
        <w:keepNext/>
        <w:spacing w:line="276" w:lineRule="auto"/>
      </w:pPr>
      <w:r>
        <w:rPr>
          <w:rFonts w:ascii="Arial Unicode MS" w:hAnsi="Arial Unicode MS" w:eastAsia="Arial Unicode MS"/>
          <w:b/>
          <w:i w:val="0"/>
          <w:color w:val="000000"/>
          <w:sz w:val="26"/>
        </w:rPr>
        <w:t>13 10 任务八 把课题方法共享给同行</w:t>
      </w:r>
    </w:p>
    <w:p>
      <w:pPr>
        <w:keepNext w:val="0"/>
        <w:widowControl/>
        <w:spacing w:before="0" w:after="140" w:line="317" w:lineRule="auto"/>
      </w:pPr>
      <w:r>
        <w:rPr>
          <w:rFonts w:ascii="Arial Unicode MS" w:hAnsi="Arial Unicode MS" w:eastAsia="Arial Unicode MS"/>
          <w:b/>
          <w:i w:val="0"/>
          <w:color w:val="17365D"/>
          <w:sz w:val="22"/>
        </w:rPr>
        <w:t xml:space="preserve">场景背景  </w:t>
      </w:r>
      <w:r>
        <w:rPr>
          <w:rFonts w:ascii="Arial Unicode MS" w:hAnsi="Arial Unicode MS" w:eastAsia="Arial Unicode MS"/>
          <w:b w:val="0"/>
          <w:i w:val="0"/>
          <w:color w:val="000000"/>
          <w:sz w:val="22"/>
        </w:rPr>
        <w:t>Study 形成了一套可能有复用价值的干预方案或 eCRF。</w:t>
      </w:r>
    </w:p>
    <w:p>
      <w:pPr>
        <w:keepNext w:val="0"/>
        <w:widowControl/>
        <w:spacing w:before="0" w:after="140" w:line="317" w:lineRule="auto"/>
      </w:pPr>
      <w:r>
        <w:rPr>
          <w:rFonts w:ascii="Arial Unicode MS" w:hAnsi="Arial Unicode MS" w:eastAsia="Arial Unicode MS"/>
          <w:b/>
          <w:i w:val="0"/>
          <w:color w:val="17365D"/>
          <w:sz w:val="22"/>
        </w:rPr>
        <w:t xml:space="preserve">直接话术  </w:t>
      </w:r>
      <w:r>
        <w:rPr>
          <w:rFonts w:ascii="Arial Unicode MS" w:hAnsi="Arial Unicode MS" w:eastAsia="Arial Unicode MS"/>
          <w:b w:val="0"/>
          <w:i/>
          <w:color w:val="000000"/>
          <w:sz w:val="22"/>
        </w:rPr>
        <w:t>“您认为这个课题里有一套方法可能值得给同行参考。请把它整理成可以共享的科研资产，并选择合适的共享范围。”</w:t>
      </w:r>
    </w:p>
    <w:p>
      <w:pPr>
        <w:keepNext w:val="0"/>
        <w:widowControl/>
        <w:spacing w:before="0" w:after="60" w:line="317" w:lineRule="auto"/>
      </w:pPr>
      <w:r>
        <w:rPr>
          <w:rFonts w:ascii="Arial Unicode MS" w:hAnsi="Arial Unicode MS" w:eastAsia="Arial Unicode MS"/>
          <w:b/>
          <w:i w:val="0"/>
          <w:color w:val="17365D"/>
          <w:sz w:val="21"/>
        </w:rPr>
        <w:t>观察点</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是否找到 Asset Review</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是否理解 Artifact 与 Asset</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是否检查来源、版本和适用范围</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是否理解 Creator 与 Publisher 的区别</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是否能选择 Hub 而不是直接公开</w:t>
      </w:r>
    </w:p>
    <w:p>
      <w:pPr>
        <w:keepNext w:val="0"/>
        <w:widowControl/>
        <w:spacing w:before="0" w:after="60" w:line="317" w:lineRule="auto"/>
      </w:pPr>
      <w:r>
        <w:rPr>
          <w:rFonts w:ascii="Arial Unicode MS" w:hAnsi="Arial Unicode MS" w:eastAsia="Arial Unicode MS"/>
          <w:b/>
          <w:i w:val="0"/>
          <w:color w:val="17365D"/>
          <w:sz w:val="21"/>
        </w:rPr>
        <w:t>任务后追问</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为什么选择这个共享范围？</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谁应该批准？</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同行引用后您希望系统记录什么？</w:t>
      </w:r>
    </w:p>
    <w:p>
      <w:pPr>
        <w:pStyle w:val="ListBullet"/>
        <w:keepNext w:val="0"/>
        <w:widowControl/>
        <w:spacing w:before="0" w:after="60" w:line="298" w:lineRule="auto"/>
        <w:ind w:left="360" w:hanging="230"/>
      </w:pPr>
      <w:r>
        <w:rPr>
          <w:rFonts w:ascii="Arial Unicode MS" w:hAnsi="Arial Unicode MS" w:eastAsia="Arial Unicode MS"/>
          <w:b w:val="0"/>
          <w:i w:val="0"/>
          <w:color w:val="000000"/>
          <w:sz w:val="21"/>
        </w:rPr>
        <w:t>如果是数据集，流程应有什么不同？</w:t>
      </w:r>
    </w:p>
    <w:p>
      <w:pPr>
        <w:keepNext w:val="0"/>
        <w:widowControl/>
        <w:spacing w:before="0" w:after="140" w:line="317" w:lineRule="auto"/>
      </w:pPr>
      <w:r>
        <w:rPr>
          <w:rFonts w:ascii="Arial Unicode MS" w:hAnsi="Arial Unicode MS" w:eastAsia="Arial Unicode MS"/>
          <w:b/>
          <w:i w:val="0"/>
          <w:color w:val="2E6B4F"/>
          <w:sz w:val="22"/>
        </w:rPr>
        <w:t xml:space="preserve">成功信号  </w:t>
      </w:r>
      <w:r>
        <w:rPr>
          <w:rFonts w:ascii="Arial Unicode MS" w:hAnsi="Arial Unicode MS" w:eastAsia="Arial Unicode MS"/>
          <w:b w:val="0"/>
          <w:i w:val="0"/>
          <w:color w:val="000000"/>
          <w:sz w:val="22"/>
        </w:rPr>
        <w:t>教授能完成资产审阅、来源确认和范围选择，并理解引用会形成 Derived From 关系。</w:t>
      </w:r>
    </w:p>
    <w:p>
      <w:pPr>
        <w:keepNext w:val="0"/>
        <w:widowControl/>
        <w:spacing w:before="0" w:after="140" w:line="317" w:lineRule="auto"/>
      </w:pPr>
      <w:r>
        <w:rPr>
          <w:rFonts w:ascii="Arial Unicode MS" w:hAnsi="Arial Unicode MS" w:eastAsia="Arial Unicode MS"/>
          <w:b/>
          <w:i w:val="0"/>
          <w:color w:val="A61B1B"/>
          <w:sz w:val="22"/>
        </w:rPr>
        <w:t xml:space="preserve">风险信号  </w:t>
      </w:r>
      <w:r>
        <w:rPr>
          <w:rFonts w:ascii="Arial Unicode MS" w:hAnsi="Arial Unicode MS" w:eastAsia="Arial Unicode MS"/>
          <w:b w:val="0"/>
          <w:i w:val="0"/>
          <w:color w:val="000000"/>
          <w:sz w:val="22"/>
        </w:rPr>
        <w:t>共享像普通网盘操作，作者和课题来源丢失，或原始数据也能通过同一按钮公开。</w:t>
      </w:r>
    </w:p>
    <w:p>
      <w:pPr>
        <w:pStyle w:val="Heading2"/>
        <w:keepNext/>
        <w:spacing w:line="276" w:lineRule="auto"/>
      </w:pPr>
      <w:r>
        <w:rPr>
          <w:rFonts w:ascii="Arial Unicode MS" w:hAnsi="Arial Unicode MS" w:eastAsia="Arial Unicode MS"/>
          <w:b/>
          <w:i w:val="0"/>
          <w:color w:val="000000"/>
          <w:sz w:val="26"/>
        </w:rPr>
        <w:t>13 11 单任务记录模板</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tblHeader w:val="true"/>
        </w:trPr>
        <w:tc>
          <w:tcPr>
            <w:tcW w:type="dxa" w:w="3024"/>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记录项</w:t>
            </w:r>
          </w:p>
        </w:tc>
        <w:tc>
          <w:tcPr>
            <w:tcW w:type="dxa" w:w="7056"/>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记录内容</w:t>
            </w:r>
          </w:p>
        </w:tc>
      </w:tr>
      <w:tr>
        <w:trPr>
          <w:cantSplit/>
        </w:trPr>
        <w:tc>
          <w:tcPr>
            <w:tcW w:type="dxa" w:w="302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Task</w:t>
            </w:r>
          </w:p>
        </w:tc>
        <w:tc>
          <w:tcPr>
            <w:tcW w:type="dxa" w:w="705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任务编号与简述</w:t>
            </w:r>
          </w:p>
        </w:tc>
      </w:tr>
      <w:tr>
        <w:trPr>
          <w:cantSplit/>
        </w:trPr>
        <w:tc>
          <w:tcPr>
            <w:tcW w:type="dxa" w:w="302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Expected Path</w:t>
            </w:r>
          </w:p>
        </w:tc>
        <w:tc>
          <w:tcPr>
            <w:tcW w:type="dxa" w:w="7056"/>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设计团队预期路径，仅供记录者使用</w:t>
            </w:r>
          </w:p>
        </w:tc>
      </w:tr>
      <w:tr>
        <w:trPr>
          <w:cantSplit/>
        </w:trPr>
        <w:tc>
          <w:tcPr>
            <w:tcW w:type="dxa" w:w="302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Actual Path</w:t>
            </w:r>
          </w:p>
        </w:tc>
        <w:tc>
          <w:tcPr>
            <w:tcW w:type="dxa" w:w="705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教授实际操作序列</w:t>
            </w:r>
          </w:p>
        </w:tc>
      </w:tr>
      <w:tr>
        <w:trPr>
          <w:cantSplit/>
        </w:trPr>
        <w:tc>
          <w:tcPr>
            <w:tcW w:type="dxa" w:w="302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First Click</w:t>
            </w:r>
          </w:p>
        </w:tc>
        <w:tc>
          <w:tcPr>
            <w:tcW w:type="dxa" w:w="7056"/>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第一次点击及教授解释</w:t>
            </w:r>
          </w:p>
        </w:tc>
      </w:tr>
      <w:tr>
        <w:trPr>
          <w:cantSplit/>
        </w:trPr>
        <w:tc>
          <w:tcPr>
            <w:tcW w:type="dxa" w:w="302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Wrong Turns and Backtracks</w:t>
            </w:r>
          </w:p>
        </w:tc>
        <w:tc>
          <w:tcPr>
            <w:tcW w:type="dxa" w:w="705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误入、回退、重复搜索和求助</w:t>
            </w:r>
          </w:p>
        </w:tc>
      </w:tr>
      <w:tr>
        <w:trPr>
          <w:cantSplit/>
        </w:trPr>
        <w:tc>
          <w:tcPr>
            <w:tcW w:type="dxa" w:w="302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Time to Insight</w:t>
            </w:r>
          </w:p>
        </w:tc>
        <w:tc>
          <w:tcPr>
            <w:tcW w:type="dxa" w:w="7056"/>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从开始到教授准确说出关键洞察或下一步</w:t>
            </w:r>
          </w:p>
        </w:tc>
      </w:tr>
      <w:tr>
        <w:trPr>
          <w:cantSplit/>
        </w:trPr>
        <w:tc>
          <w:tcPr>
            <w:tcW w:type="dxa" w:w="302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Concept Understanding</w:t>
            </w:r>
          </w:p>
        </w:tc>
        <w:tc>
          <w:tcPr>
            <w:tcW w:type="dxa" w:w="705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教授对 Hub、Study、Asset、My Research 和 AI 的表述</w:t>
            </w:r>
          </w:p>
        </w:tc>
      </w:tr>
      <w:tr>
        <w:trPr>
          <w:cantSplit/>
        </w:trPr>
        <w:tc>
          <w:tcPr>
            <w:tcW w:type="dxa" w:w="302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AI Trust</w:t>
            </w:r>
          </w:p>
        </w:tc>
        <w:tc>
          <w:tcPr>
            <w:tcW w:type="dxa" w:w="7056"/>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查看依据、接受、修改、拒绝、质疑和原因</w:t>
            </w:r>
          </w:p>
        </w:tc>
      </w:tr>
      <w:tr>
        <w:trPr>
          <w:cantSplit/>
        </w:trPr>
        <w:tc>
          <w:tcPr>
            <w:tcW w:type="dxa" w:w="302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Completion and Confidence</w:t>
            </w:r>
          </w:p>
        </w:tc>
        <w:tc>
          <w:tcPr>
            <w:tcW w:type="dxa" w:w="705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是否完成、自评把握、主持人提示次数</w:t>
            </w:r>
          </w:p>
        </w:tc>
      </w:tr>
    </w:tbl>
    <w:p>
      <w:pPr>
        <w:pStyle w:val="Heading2"/>
        <w:keepNext/>
        <w:spacing w:line="276" w:lineRule="auto"/>
      </w:pPr>
      <w:r>
        <w:rPr>
          <w:rFonts w:ascii="Arial Unicode MS" w:hAnsi="Arial Unicode MS" w:eastAsia="Arial Unicode MS"/>
        </w:rPr>
        <w:t>13 12 Session #1 王教授 Task-based Validation</w:t>
      </w:r>
    </w:p>
    <w:p>
      <w:r>
        <w:rPr>
          <w:rFonts w:ascii="Arial Unicode MS" w:hAnsi="Arial Unicode MS" w:eastAsia="Arial Unicode MS"/>
        </w:rPr>
        <w:t>形式：王教授单人、有主持人、可点击原型、现场或远程、约 60 分钟。遵循最小提示原则；先记录 First Click、Wrong Turn、Backtrack 与 Time to Insight，达到提示阈值后才给最小提示。</w:t>
      </w:r>
    </w:p>
    <w:tbl>
      <w:tblPr>
        <w:tblStyle w:val="TableGrid"/>
        <w:tblW w:type="auto" w:w="0"/>
        <w:tblLayout w:type="autofit"/>
        <w:tblLook w:firstColumn="1" w:firstRow="1" w:lastColumn="0" w:lastRow="0" w:noHBand="0" w:noVBand="1" w:val="04A0"/>
      </w:tblPr>
      <w:tblGrid>
        <w:gridCol w:w="2469"/>
        <w:gridCol w:w="2469"/>
        <w:gridCol w:w="2469"/>
        <w:gridCol w:w="2469"/>
      </w:tblGrid>
      <w:tr>
        <w:trPr>
          <w:cantSplit/>
          <w:tblHeader w:val="true"/>
          <w:tblHeader w:val="true"/>
        </w:trPr>
        <w:tc>
          <w:tcPr>
            <w:tcW w:type="dxa" w:w="2469"/>
            <w:vAlign w:val="center"/>
            <w:shd w:fill="17365D"/>
          </w:tcPr>
          <w:p>
            <w:pPr>
              <w:spacing w:after="0" w:before="0" w:line="252" w:lineRule="auto"/>
            </w:pPr>
            <w:r>
              <w:rPr>
                <w:rFonts w:ascii="Arial Unicode MS" w:hAnsi="Arial Unicode MS" w:eastAsia="Arial Unicode MS"/>
                <w:b/>
                <w:color w:val="FFFFFF"/>
                <w:sz w:val="17"/>
              </w:rPr>
            </w:r>
            <w:r>
              <w:rPr>
                <w:rFonts w:ascii="Arial Unicode MS" w:hAnsi="Arial Unicode MS" w:eastAsia="Arial Unicode MS"/>
                <w:b/>
                <w:color w:val="FFFFFF"/>
                <w:sz w:val="17"/>
              </w:rPr>
              <w:t>任务</w:t>
            </w:r>
          </w:p>
        </w:tc>
        <w:tc>
          <w:tcPr>
            <w:tcW w:type="dxa" w:w="2469"/>
            <w:vAlign w:val="center"/>
            <w:shd w:fill="17365D"/>
          </w:tcPr>
          <w:p>
            <w:pPr>
              <w:spacing w:after="0" w:before="0" w:line="252" w:lineRule="auto"/>
            </w:pPr>
            <w:r>
              <w:rPr>
                <w:rFonts w:ascii="Arial Unicode MS" w:hAnsi="Arial Unicode MS" w:eastAsia="Arial Unicode MS"/>
                <w:b/>
                <w:color w:val="FFFFFF"/>
                <w:sz w:val="17"/>
              </w:rPr>
            </w:r>
            <w:r>
              <w:rPr>
                <w:rFonts w:ascii="Arial Unicode MS" w:hAnsi="Arial Unicode MS" w:eastAsia="Arial Unicode MS"/>
                <w:b/>
                <w:color w:val="FFFFFF"/>
                <w:sz w:val="17"/>
              </w:rPr>
              <w:t>教授端自然语言任务</w:t>
            </w:r>
          </w:p>
        </w:tc>
        <w:tc>
          <w:tcPr>
            <w:tcW w:type="dxa" w:w="2469"/>
            <w:vAlign w:val="center"/>
            <w:shd w:fill="17365D"/>
          </w:tcPr>
          <w:p>
            <w:pPr>
              <w:spacing w:after="0" w:before="0" w:line="252" w:lineRule="auto"/>
            </w:pPr>
            <w:r>
              <w:rPr>
                <w:rFonts w:ascii="Arial Unicode MS" w:hAnsi="Arial Unicode MS" w:eastAsia="Arial Unicode MS"/>
                <w:b/>
                <w:color w:val="FFFFFF"/>
                <w:sz w:val="17"/>
              </w:rPr>
            </w:r>
            <w:r>
              <w:rPr>
                <w:rFonts w:ascii="Arial Unicode MS" w:hAnsi="Arial Unicode MS" w:eastAsia="Arial Unicode MS"/>
                <w:b/>
                <w:color w:val="FFFFFF"/>
                <w:sz w:val="17"/>
              </w:rPr>
              <w:t>验证对象</w:t>
            </w:r>
          </w:p>
        </w:tc>
        <w:tc>
          <w:tcPr>
            <w:tcW w:type="dxa" w:w="2469"/>
            <w:vAlign w:val="center"/>
            <w:shd w:fill="17365D"/>
          </w:tcPr>
          <w:p>
            <w:pPr>
              <w:spacing w:after="0" w:before="0" w:line="252" w:lineRule="auto"/>
            </w:pPr>
            <w:r>
              <w:rPr>
                <w:rFonts w:ascii="Arial Unicode MS" w:hAnsi="Arial Unicode MS" w:eastAsia="Arial Unicode MS"/>
                <w:b/>
                <w:color w:val="FFFFFF"/>
                <w:sz w:val="17"/>
              </w:rPr>
            </w:r>
            <w:r>
              <w:rPr>
                <w:rFonts w:ascii="Arial Unicode MS" w:hAnsi="Arial Unicode MS" w:eastAsia="Arial Unicode MS"/>
                <w:b/>
                <w:color w:val="FFFFFF"/>
                <w:sz w:val="17"/>
              </w:rPr>
              <w:t>建议时间</w:t>
            </w:r>
          </w:p>
        </w:tc>
      </w:tr>
      <w:tr>
        <w:trPr>
          <w:cantSplit/>
        </w:trPr>
        <w:tc>
          <w:tcPr>
            <w:tcW w:type="dxa" w:w="2469"/>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T1</w:t>
            </w:r>
          </w:p>
        </w:tc>
        <w:tc>
          <w:tcPr>
            <w:tcW w:type="dxa" w:w="2469"/>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看看这个领域最近有什么值得关注或继续研究</w:t>
            </w:r>
          </w:p>
        </w:tc>
        <w:tc>
          <w:tcPr>
            <w:tcW w:type="dxa" w:w="2469"/>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Hub / Radar / Research Brief</w:t>
            </w:r>
          </w:p>
        </w:tc>
        <w:tc>
          <w:tcPr>
            <w:tcW w:type="dxa" w:w="2469"/>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8 分钟</w:t>
            </w:r>
          </w:p>
        </w:tc>
      </w:tr>
      <w:tr>
        <w:trPr>
          <w:cantSplit/>
        </w:trPr>
        <w:tc>
          <w:tcPr>
            <w:tcW w:type="dxa" w:w="2469"/>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T2</w:t>
            </w:r>
          </w:p>
        </w:tc>
        <w:tc>
          <w:tcPr>
            <w:tcW w:type="dxa" w:w="2469"/>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判断自己当前最需要处理、关注和继续探索的科研事项</w:t>
            </w:r>
          </w:p>
        </w:tc>
        <w:tc>
          <w:tcPr>
            <w:tcW w:type="dxa" w:w="2469"/>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My Research / Research Attention / Research Portfolio</w:t>
            </w:r>
          </w:p>
        </w:tc>
        <w:tc>
          <w:tcPr>
            <w:tcW w:type="dxa" w:w="2469"/>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8 分钟</w:t>
            </w:r>
          </w:p>
        </w:tc>
      </w:tr>
      <w:tr>
        <w:trPr>
          <w:cantSplit/>
        </w:trPr>
        <w:tc>
          <w:tcPr>
            <w:tcW w:type="dxa" w:w="2469"/>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T3</w:t>
            </w:r>
          </w:p>
        </w:tc>
        <w:tc>
          <w:tcPr>
            <w:tcW w:type="dxa" w:w="2469"/>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从一条证据形成研究问题，并把它带入一个课题</w:t>
            </w:r>
          </w:p>
        </w:tc>
        <w:tc>
          <w:tcPr>
            <w:tcW w:type="dxa" w:w="2469"/>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Evidence → Opportunity → Question → Study；Hub → Study 上下文转换</w:t>
            </w:r>
          </w:p>
        </w:tc>
        <w:tc>
          <w:tcPr>
            <w:tcW w:type="dxa" w:w="2469"/>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12 分钟</w:t>
            </w:r>
          </w:p>
        </w:tc>
      </w:tr>
      <w:tr>
        <w:trPr>
          <w:cantSplit/>
        </w:trPr>
        <w:tc>
          <w:tcPr>
            <w:tcW w:type="dxa" w:w="2469"/>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T4</w:t>
            </w:r>
          </w:p>
        </w:tc>
        <w:tc>
          <w:tcPr>
            <w:tcW w:type="dxa" w:w="2469"/>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判断一个正在进行的课题目前最值得关注的问题</w:t>
            </w:r>
          </w:p>
        </w:tc>
        <w:tc>
          <w:tcPr>
            <w:tcW w:type="dxa" w:w="2469"/>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Study Workspace / Decision Support / AI Evidence；理解其如何承接既有 Study Execution</w:t>
            </w:r>
          </w:p>
        </w:tc>
        <w:tc>
          <w:tcPr>
            <w:tcW w:type="dxa" w:w="2469"/>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12 分钟</w:t>
            </w:r>
          </w:p>
        </w:tc>
      </w:tr>
      <w:tr>
        <w:trPr>
          <w:cantSplit/>
        </w:trPr>
        <w:tc>
          <w:tcPr>
            <w:tcW w:type="dxa" w:w="2469"/>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T5</w:t>
            </w:r>
          </w:p>
        </w:tc>
        <w:tc>
          <w:tcPr>
            <w:tcW w:type="dxa" w:w="2469"/>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理解、沉淀并复用一项科研资产</w:t>
            </w:r>
          </w:p>
        </w:tc>
        <w:tc>
          <w:tcPr>
            <w:tcW w:type="dxa" w:w="2469"/>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Artifact → Candidate → Human Review → Asset → Governance → Hub → Reuse</w:t>
            </w:r>
          </w:p>
        </w:tc>
        <w:tc>
          <w:tcPr>
            <w:tcW w:type="dxa" w:w="2469"/>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10 分钟</w:t>
            </w:r>
          </w:p>
        </w:tc>
      </w:tr>
    </w:tbl>
    <w:p>
      <w:r>
        <w:rPr>
          <w:rFonts w:ascii="Arial Unicode MS" w:hAnsi="Arial Unicode MS" w:eastAsia="Arial Unicode MS"/>
        </w:rPr>
        <w:t>AI Trust 是五个任务的横向观察维度，而非孤立模块：记录教授是否主动查看依据、质疑 AI、修改 Draft、接受或拒绝建议，哪些信息改变信任，哪些动作必须由人确认，以及是否理解 AI 与正式科研状态的边界。</w:t>
      </w:r>
    </w:p>
    <w:p>
      <w:pPr>
        <w:pStyle w:val="Heading2"/>
        <w:keepNext/>
        <w:spacing w:line="276" w:lineRule="auto"/>
      </w:pPr>
      <w:r>
        <w:rPr>
          <w:rFonts w:ascii="Arial Unicode MS" w:hAnsi="Arial Unicode MS" w:eastAsia="Arial Unicode MS"/>
        </w:rPr>
        <w:t>13 13 Validation Evidence Rule</w:t>
      </w:r>
    </w:p>
    <w:p>
      <w:r>
        <w:rPr>
          <w:rFonts w:ascii="Arial Unicode MS" w:hAnsi="Arial Unicode MS" w:eastAsia="Arial Unicode MS"/>
        </w:rPr>
        <w:t>王教授单人样本只能形成方向性证据：Supported、Challenged 或 Inconclusive。不得表述为统计意义上的“验证通过”，不得自动关闭重要 Open Question，也不得把个人偏好直接升级为 DEC。</w:t>
      </w:r>
    </w:p>
    <w:p>
      <w:r>
        <w:rPr>
          <w:rFonts w:ascii="Arial Unicode MS" w:hAnsi="Arial Unicode MS" w:eastAsia="Arial Unicode MS"/>
        </w:rPr>
        <w:t>证据链：Observed Behavior → Evidence → Interpretation → Related DEC / HYP / OQ → Supported / Challenged / Inconclusive → Recommended Product Change。Concept Understanding 与 AI Trust 评分仅为辅助指标，主要证据来自 Observed Behavior。</w:t>
      </w:r>
    </w:p>
    <w:p>
      <w:pPr>
        <w:keepNext w:val="0"/>
        <w:widowControl/>
        <w:spacing w:before="0" w:after="120" w:line="240" w:lineRule="auto"/>
      </w:pPr>
    </w:p>
    <w:p>
      <w:pPr>
        <w:pStyle w:val="Heading1"/>
        <w:keepNext/>
        <w:pageBreakBefore/>
        <w:spacing w:line="276" w:lineRule="auto" w:before="160" w:after="160"/>
      </w:pPr>
      <w:r>
        <w:rPr>
          <w:rFonts w:ascii="Arial Unicode MS" w:hAnsi="Arial Unicode MS" w:eastAsia="Arial Unicode MS"/>
          <w:b/>
          <w:i w:val="0"/>
          <w:color w:val="000000"/>
          <w:sz w:val="33"/>
        </w:rPr>
        <w:t>14 MVP 范围</w:t>
      </w:r>
    </w:p>
    <w:p>
      <w:pPr>
        <w:keepNext w:val="0"/>
        <w:widowControl/>
        <w:spacing w:before="0" w:after="140" w:line="317" w:lineRule="auto"/>
      </w:pPr>
      <w:r>
        <w:rPr>
          <w:rFonts w:ascii="Arial Unicode MS" w:hAnsi="Arial Unicode MS" w:eastAsia="Arial Unicode MS"/>
          <w:b w:val="0"/>
          <w:i w:val="0"/>
          <w:color w:val="000000"/>
          <w:sz w:val="22"/>
        </w:rPr>
        <w:t>MVP 采用 KEEP、REFACTOR、BUILD NOW、LATER 四桶控制范围。目标是在保护现有执行能力的前提下，验证 Research Hub、Research Asset 和 Unified AI Context 是否成立。</w:t>
      </w:r>
    </w:p>
    <w:p>
      <w:pPr>
        <w:pStyle w:val="Heading2"/>
        <w:keepNext/>
        <w:spacing w:line="276" w:lineRule="auto"/>
      </w:pPr>
      <w:r>
        <w:rPr>
          <w:rFonts w:ascii="Arial Unicode MS" w:hAnsi="Arial Unicode MS" w:eastAsia="Arial Unicode MS"/>
          <w:b/>
          <w:i w:val="0"/>
          <w:color w:val="000000"/>
          <w:sz w:val="26"/>
        </w:rPr>
        <w:t>14 1 KEEP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blHeader w:val="true"/>
        </w:trPr>
        <w:tc>
          <w:tcPr>
            <w:tcW w:type="dxa" w:w="2088"/>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能力</w:t>
            </w:r>
          </w:p>
        </w:tc>
        <w:tc>
          <w:tcPr>
            <w:tcW w:type="dxa" w:w="5328"/>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保留内容</w:t>
            </w:r>
          </w:p>
        </w:tc>
        <w:tc>
          <w:tcPr>
            <w:tcW w:type="dxa" w:w="2664"/>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约束</w:t>
            </w:r>
          </w:p>
        </w:tc>
      </w:tr>
      <w:tr>
        <w:trPr>
          <w:cantSplit/>
        </w:trPr>
        <w:tc>
          <w:tcPr>
            <w:tcW w:type="dxa" w:w="208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Study Execution Core</w:t>
            </w:r>
          </w:p>
        </w:tc>
        <w:tc>
          <w:tcPr>
            <w:tcW w:type="dxa" w:w="532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课题创建与隔离、方案版本、入组、受试者、访视、随访、eCRF 与问卷、任务、偏离、数据疑问、质量、复核、审计基础</w:t>
            </w:r>
          </w:p>
        </w:tc>
        <w:tc>
          <w:tcPr>
            <w:tcW w:type="dxa" w:w="266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不因新 IA 重写成熟业务逻辑</w:t>
            </w:r>
          </w:p>
        </w:tc>
      </w:tr>
      <w:tr>
        <w:trPr>
          <w:cantSplit/>
        </w:trPr>
        <w:tc>
          <w:tcPr>
            <w:tcW w:type="dxa" w:w="208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Data Agent Core</w:t>
            </w:r>
          </w:p>
        </w:tc>
        <w:tc>
          <w:tcPr>
            <w:tcW w:type="dxa" w:w="532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资料上传、AI 解析、原始数据、标准数据、人工确认</w:t>
            </w:r>
          </w:p>
        </w:tc>
        <w:tc>
          <w:tcPr>
            <w:tcW w:type="dxa" w:w="266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改入口与上下文，不取消 Evidence 与 Human Review</w:t>
            </w:r>
          </w:p>
        </w:tc>
      </w:tr>
      <w:tr>
        <w:trPr>
          <w:cantSplit/>
        </w:trPr>
        <w:tc>
          <w:tcPr>
            <w:tcW w:type="dxa" w:w="208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Knowledge Base</w:t>
            </w:r>
          </w:p>
        </w:tc>
        <w:tc>
          <w:tcPr>
            <w:tcW w:type="dxa" w:w="532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文件、资料和知识组织基础能力</w:t>
            </w:r>
          </w:p>
        </w:tc>
        <w:tc>
          <w:tcPr>
            <w:tcW w:type="dxa" w:w="266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逐步升级为 Knowledge Workspace</w:t>
            </w:r>
          </w:p>
        </w:tc>
      </w:tr>
      <w:tr>
        <w:trPr>
          <w:cantSplit/>
        </w:trPr>
        <w:tc>
          <w:tcPr>
            <w:tcW w:type="dxa" w:w="208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Research Agent</w:t>
            </w:r>
          </w:p>
        </w:tc>
        <w:tc>
          <w:tcPr>
            <w:tcW w:type="dxa" w:w="532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分析、知识结合和研究报告能力</w:t>
            </w:r>
          </w:p>
        </w:tc>
        <w:tc>
          <w:tcPr>
            <w:tcW w:type="dxa" w:w="266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重定位为 Research Copilot 的专业能力</w:t>
            </w:r>
          </w:p>
        </w:tc>
      </w:tr>
    </w:tbl>
    <w:p>
      <w:pPr>
        <w:keepNext w:val="0"/>
        <w:widowControl/>
        <w:spacing w:before="0" w:after="120" w:line="240" w:lineRule="auto"/>
      </w:pPr>
    </w:p>
    <w:p>
      <w:pPr>
        <w:pStyle w:val="Heading2"/>
        <w:keepNext/>
        <w:spacing w:line="276" w:lineRule="auto"/>
      </w:pPr>
      <w:r>
        <w:rPr>
          <w:rFonts w:ascii="Arial Unicode MS" w:hAnsi="Arial Unicode MS" w:eastAsia="Arial Unicode MS"/>
          <w:b/>
          <w:i w:val="0"/>
          <w:color w:val="000000"/>
          <w:sz w:val="26"/>
        </w:rPr>
        <w:t>14 2 REFACTOR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blHeader w:val="true"/>
        </w:trPr>
        <w:tc>
          <w:tcPr>
            <w:tcW w:type="dxa" w:w="1944"/>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能力</w:t>
            </w:r>
          </w:p>
        </w:tc>
        <w:tc>
          <w:tcPr>
            <w:tcW w:type="dxa" w:w="3816"/>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Current</w:t>
            </w:r>
          </w:p>
        </w:tc>
        <w:tc>
          <w:tcPr>
            <w:tcW w:type="dxa" w:w="4320"/>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vNext</w:t>
            </w:r>
          </w:p>
        </w:tc>
      </w:tr>
      <w:tr>
        <w:trPr>
          <w:cantSplit/>
        </w:trPr>
        <w:tc>
          <w:tcPr>
            <w:tcW w:type="dxa" w:w="194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PI 驾驶舱</w:t>
            </w:r>
          </w:p>
        </w:tc>
        <w:tc>
          <w:tcPr>
            <w:tcW w:type="dxa" w:w="381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指标很多，PI 自己理解</w:t>
            </w:r>
          </w:p>
        </w:tc>
        <w:tc>
          <w:tcPr>
            <w:tcW w:type="dxa" w:w="432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Research Attention → What happened → Why → What next</w:t>
            </w:r>
          </w:p>
        </w:tc>
      </w:tr>
      <w:tr>
        <w:trPr>
          <w:cantSplit/>
        </w:trPr>
        <w:tc>
          <w:tcPr>
            <w:tcW w:type="dxa" w:w="194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Researcher 首页</w:t>
            </w:r>
          </w:p>
        </w:tc>
        <w:tc>
          <w:tcPr>
            <w:tcW w:type="dxa" w:w="3816"/>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今日工作、任务、进度和 Agent 入口分散</w:t>
            </w:r>
          </w:p>
        </w:tc>
        <w:tc>
          <w:tcPr>
            <w:tcW w:type="dxa" w:w="432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My Research Today’s Work 跨课题聚合</w:t>
            </w:r>
          </w:p>
        </w:tc>
      </w:tr>
      <w:tr>
        <w:trPr>
          <w:cantSplit/>
        </w:trPr>
        <w:tc>
          <w:tcPr>
            <w:tcW w:type="dxa" w:w="194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Data Agent</w:t>
            </w:r>
          </w:p>
        </w:tc>
        <w:tc>
          <w:tcPr>
            <w:tcW w:type="dxa" w:w="381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独立 AI 功能</w:t>
            </w:r>
          </w:p>
        </w:tc>
        <w:tc>
          <w:tcPr>
            <w:tcW w:type="dxa" w:w="432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Embedded AI 出现在上传、采集和确认</w:t>
            </w:r>
          </w:p>
        </w:tc>
      </w:tr>
      <w:tr>
        <w:trPr>
          <w:cantSplit/>
        </w:trPr>
        <w:tc>
          <w:tcPr>
            <w:tcW w:type="dxa" w:w="194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Research Agent</w:t>
            </w:r>
          </w:p>
        </w:tc>
        <w:tc>
          <w:tcPr>
            <w:tcW w:type="dxa" w:w="3816"/>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独立 Agent</w:t>
            </w:r>
          </w:p>
        </w:tc>
        <w:tc>
          <w:tcPr>
            <w:tcW w:type="dxa" w:w="432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自动理解 Protocol、Data、Knowledge 和 Analysis Context</w:t>
            </w:r>
          </w:p>
        </w:tc>
      </w:tr>
      <w:tr>
        <w:trPr>
          <w:cantSplit/>
        </w:trPr>
        <w:tc>
          <w:tcPr>
            <w:tcW w:type="dxa" w:w="194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Knowledge Base</w:t>
            </w:r>
          </w:p>
        </w:tc>
        <w:tc>
          <w:tcPr>
            <w:tcW w:type="dxa" w:w="381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文件知识库</w:t>
            </w:r>
          </w:p>
        </w:tc>
        <w:tc>
          <w:tcPr>
            <w:tcW w:type="dxa" w:w="432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Research Knowledge Workspace，与 Asset 分离</w:t>
            </w:r>
          </w:p>
        </w:tc>
      </w:tr>
      <w:tr>
        <w:trPr>
          <w:cantSplit/>
        </w:trPr>
        <w:tc>
          <w:tcPr>
            <w:tcW w:type="dxa" w:w="194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Study IA</w:t>
            </w:r>
          </w:p>
        </w:tc>
        <w:tc>
          <w:tcPr>
            <w:tcW w:type="dxa" w:w="3816"/>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以课题执行菜单为主</w:t>
            </w:r>
          </w:p>
        </w:tc>
        <w:tc>
          <w:tcPr>
            <w:tcW w:type="dxa" w:w="432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扩展为完整 Study Workspace</w:t>
            </w:r>
          </w:p>
        </w:tc>
      </w:tr>
    </w:tbl>
    <w:p>
      <w:pPr>
        <w:keepNext w:val="0"/>
        <w:widowControl/>
        <w:spacing w:before="0" w:after="120" w:line="240" w:lineRule="auto"/>
      </w:pPr>
    </w:p>
    <w:p>
      <w:pPr>
        <w:pStyle w:val="Heading2"/>
        <w:keepNext/>
        <w:spacing w:line="276" w:lineRule="auto"/>
      </w:pPr>
      <w:r>
        <w:rPr>
          <w:rFonts w:ascii="Arial Unicode MS" w:hAnsi="Arial Unicode MS" w:eastAsia="Arial Unicode MS"/>
          <w:b/>
          <w:i w:val="0"/>
          <w:color w:val="000000"/>
          <w:sz w:val="26"/>
        </w:rPr>
        <w:t>14 3 BUILD NOW</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val="true"/>
          <w:tblHeader w:val="true"/>
        </w:trPr>
        <w:tc>
          <w:tcPr>
            <w:tcW w:type="dxa" w:w="1224"/>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编号</w:t>
            </w:r>
          </w:p>
        </w:tc>
        <w:tc>
          <w:tcPr>
            <w:tcW w:type="dxa" w:w="2088"/>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能力</w:t>
            </w:r>
          </w:p>
        </w:tc>
        <w:tc>
          <w:tcPr>
            <w:tcW w:type="dxa" w:w="4104"/>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MVP 范围</w:t>
            </w:r>
          </w:p>
        </w:tc>
        <w:tc>
          <w:tcPr>
            <w:tcW w:type="dxa" w:w="2664"/>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验证问题</w:t>
            </w:r>
          </w:p>
        </w:tc>
      </w:tr>
      <w:tr>
        <w:trPr>
          <w:cantSplit/>
        </w:trPr>
        <w:tc>
          <w:tcPr>
            <w:tcW w:type="dxa" w:w="1224"/>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BUILD-01</w:t>
            </w:r>
          </w:p>
        </w:tc>
        <w:tc>
          <w:tcPr>
            <w:tcW w:type="dxa" w:w="208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Research Hub v1</w:t>
            </w:r>
          </w:p>
        </w:tc>
        <w:tc>
          <w:tcPr>
            <w:tcW w:type="dxa" w:w="410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概览、领域动态、研究、科研资产、AI</w:t>
            </w:r>
          </w:p>
        </w:tc>
        <w:tc>
          <w:tcPr>
            <w:tcW w:type="dxa" w:w="266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教授是否理解 Hub 与 Study 的区别并获得即时价值</w:t>
            </w:r>
          </w:p>
        </w:tc>
      </w:tr>
      <w:tr>
        <w:trPr>
          <w:cantSplit/>
        </w:trPr>
        <w:tc>
          <w:tcPr>
            <w:tcW w:type="dxa" w:w="1224"/>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BUILD-02</w:t>
            </w:r>
          </w:p>
        </w:tc>
        <w:tc>
          <w:tcPr>
            <w:tcW w:type="dxa" w:w="208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Research Radar v1</w:t>
            </w:r>
          </w:p>
        </w:tc>
        <w:tc>
          <w:tcPr>
            <w:tcW w:type="dxa" w:w="410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相关外部信息、Research Brief、Evidence、收藏、加入知识、深入探索</w:t>
            </w:r>
          </w:p>
        </w:tc>
        <w:tc>
          <w:tcPr>
            <w:tcW w:type="dxa" w:w="266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Brief 是否比论文 Feed 更有价值</w:t>
            </w:r>
          </w:p>
        </w:tc>
      </w:tr>
      <w:tr>
        <w:trPr>
          <w:cantSplit/>
        </w:trPr>
        <w:tc>
          <w:tcPr>
            <w:tcW w:type="dxa" w:w="1224"/>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BUILD-03</w:t>
            </w:r>
          </w:p>
        </w:tc>
        <w:tc>
          <w:tcPr>
            <w:tcW w:type="dxa" w:w="208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Opportunity + Lightweight Ideation</w:t>
            </w:r>
          </w:p>
        </w:tc>
        <w:tc>
          <w:tcPr>
            <w:tcW w:type="dxa" w:w="4104"/>
            <w:tcMar>
              <w:top w:w="105" w:type="dxa"/>
              <w:start w:w="115" w:type="dxa"/>
              <w:bottom w:w="105" w:type="dxa"/>
              <w:end w:w="115" w:type="dxa"/>
            </w:tcMar>
            <w:vAlign w:val="center"/>
          </w:tcPr>
          <w:p>
            <w:pPr>
              <w:spacing w:after="0" w:before="0"/>
            </w:pPr>
            <w:r>
              <w:rPr>
                <w:rFonts w:ascii="Arial Unicode MS" w:hAnsi="Arial Unicode MS" w:eastAsia="Arial Unicode MS"/>
              </w:rPr>
            </w:r>
            <w:r>
              <w:rPr>
                <w:rFonts w:ascii="Arial Unicode MS" w:hAnsi="Arial Unicode MS" w:eastAsia="Arial Unicode MS"/>
                <w:b w:val="0"/>
                <w:color w:val="202124"/>
                <w:sz w:val="16"/>
              </w:rPr>
              <w:t>Evidence → Opportunity → Question Draft → 人工确认 → 进入 Study Design；Hypothesis 与 Protocol 在 Design 中形成</w:t>
            </w:r>
          </w:p>
        </w:tc>
        <w:tc>
          <w:tcPr>
            <w:tcW w:type="dxa" w:w="266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教授是否真的采用这条路径</w:t>
            </w:r>
          </w:p>
        </w:tc>
      </w:tr>
      <w:tr>
        <w:trPr>
          <w:cantSplit/>
        </w:trPr>
        <w:tc>
          <w:tcPr>
            <w:tcW w:type="dxa" w:w="1224"/>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BUILD-04</w:t>
            </w:r>
          </w:p>
        </w:tc>
        <w:tc>
          <w:tcPr>
            <w:tcW w:type="dxa" w:w="208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Research Asset v1</w:t>
            </w:r>
          </w:p>
        </w:tc>
        <w:tc>
          <w:tcPr>
            <w:tcW w:type="dxa" w:w="410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Protocol、eCRF、量表组合、知识、报告；Dataset Metadata/Catalog</w:t>
            </w:r>
          </w:p>
        </w:tc>
        <w:tc>
          <w:tcPr>
            <w:tcW w:type="dxa" w:w="266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Study 价值能否回到 Hub 并被复用</w:t>
            </w:r>
          </w:p>
        </w:tc>
      </w:tr>
      <w:tr>
        <w:trPr>
          <w:cantSplit/>
        </w:trPr>
        <w:tc>
          <w:tcPr>
            <w:tcW w:type="dxa" w:w="1224"/>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BUILD-05</w:t>
            </w:r>
          </w:p>
        </w:tc>
        <w:tc>
          <w:tcPr>
            <w:tcW w:type="dxa" w:w="208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Unified Qiyan AI Context</w:t>
            </w:r>
          </w:p>
        </w:tc>
        <w:tc>
          <w:tcPr>
            <w:tcW w:type="dxa" w:w="410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User、Hub、Study、Knowledge Context</w:t>
            </w:r>
          </w:p>
        </w:tc>
        <w:tc>
          <w:tcPr>
            <w:tcW w:type="dxa" w:w="266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AI 是否知道用户在哪里并减少重复解释</w:t>
            </w:r>
          </w:p>
        </w:tc>
      </w:tr>
    </w:tbl>
    <w:p>
      <w:pPr>
        <w:keepNext w:val="0"/>
        <w:widowControl/>
        <w:spacing w:before="0" w:after="120" w:line="240" w:lineRule="auto"/>
      </w:pPr>
    </w:p>
    <w:p>
      <w:pPr>
        <w:pStyle w:val="Heading2"/>
        <w:keepNext/>
        <w:spacing w:line="276" w:lineRule="auto"/>
      </w:pPr>
      <w:r>
        <w:rPr>
          <w:rFonts w:ascii="Arial Unicode MS" w:hAnsi="Arial Unicode MS" w:eastAsia="Arial Unicode MS"/>
          <w:b/>
          <w:i w:val="0"/>
          <w:color w:val="000000"/>
          <w:sz w:val="26"/>
        </w:rPr>
        <w:t>14 4 LATER</w:t>
      </w:r>
    </w:p>
    <w:p>
      <w:pPr>
        <w:pStyle w:val="ListBullet"/>
        <w:keepNext w:val="0"/>
        <w:widowControl/>
        <w:spacing w:before="0" w:after="100" w:line="298" w:lineRule="auto"/>
        <w:ind w:left="360" w:hanging="230"/>
      </w:pPr>
      <w:r>
        <w:rPr>
          <w:rFonts w:ascii="Arial Unicode MS" w:hAnsi="Arial Unicode MS" w:eastAsia="Arial Unicode MS"/>
          <w:b w:val="0"/>
          <w:i w:val="0"/>
          <w:color w:val="000000"/>
          <w:sz w:val="21"/>
        </w:rPr>
        <w:t>完整 Research Network、社区 Feed、帖子、评论和点赞体系。</w:t>
      </w:r>
    </w:p>
    <w:p>
      <w:pPr>
        <w:pStyle w:val="ListBullet"/>
        <w:keepNext w:val="0"/>
        <w:widowControl/>
        <w:spacing w:before="0" w:after="100" w:line="298" w:lineRule="auto"/>
        <w:ind w:left="360" w:hanging="230"/>
      </w:pPr>
      <w:r>
        <w:rPr>
          <w:rFonts w:ascii="Arial Unicode MS" w:hAnsi="Arial Unicode MS" w:eastAsia="Arial Unicode MS"/>
          <w:b w:val="0"/>
          <w:i w:val="0"/>
          <w:color w:val="000000"/>
          <w:sz w:val="21"/>
        </w:rPr>
        <w:t>完整 Research Graph 与 Asset Lineage Graph 可视化。</w:t>
      </w:r>
    </w:p>
    <w:p>
      <w:pPr>
        <w:pStyle w:val="ListBullet"/>
        <w:keepNext w:val="0"/>
        <w:widowControl/>
        <w:spacing w:before="0" w:after="100" w:line="298" w:lineRule="auto"/>
        <w:ind w:left="360" w:hanging="230"/>
      </w:pPr>
      <w:r>
        <w:rPr>
          <w:rFonts w:ascii="Arial Unicode MS" w:hAnsi="Arial Unicode MS" w:eastAsia="Arial Unicode MS"/>
          <w:b w:val="0"/>
          <w:i w:val="0"/>
          <w:color w:val="000000"/>
          <w:sz w:val="21"/>
        </w:rPr>
        <w:t>完整 AI Protocol Designer。</w:t>
      </w:r>
    </w:p>
    <w:p>
      <w:pPr>
        <w:pStyle w:val="ListBullet"/>
        <w:keepNext w:val="0"/>
        <w:widowControl/>
        <w:spacing w:before="0" w:after="100" w:line="298" w:lineRule="auto"/>
        <w:ind w:left="360" w:hanging="230"/>
      </w:pPr>
      <w:r>
        <w:rPr>
          <w:rFonts w:ascii="Arial Unicode MS" w:hAnsi="Arial Unicode MS" w:eastAsia="Arial Unicode MS"/>
          <w:b w:val="0"/>
          <w:i w:val="0"/>
          <w:color w:val="000000"/>
          <w:sz w:val="21"/>
        </w:rPr>
        <w:t>复杂科研趋势预测、学者影响力排名和热点大屏。</w:t>
      </w:r>
    </w:p>
    <w:p>
      <w:pPr>
        <w:pStyle w:val="ListBullet"/>
        <w:keepNext w:val="0"/>
        <w:widowControl/>
        <w:spacing w:before="0" w:after="100" w:line="298" w:lineRule="auto"/>
        <w:ind w:left="360" w:hanging="230"/>
      </w:pPr>
      <w:r>
        <w:rPr>
          <w:rFonts w:ascii="Arial Unicode MS" w:hAnsi="Arial Unicode MS" w:eastAsia="Arial Unicode MS"/>
          <w:b w:val="0"/>
          <w:i w:val="0"/>
          <w:color w:val="000000"/>
          <w:sz w:val="21"/>
        </w:rPr>
        <w:t>全领域 Domain Dataset 的复杂跨机构治理与下载流程。</w:t>
      </w:r>
    </w:p>
    <w:p>
      <w:pPr>
        <w:pStyle w:val="ListBullet"/>
        <w:keepNext w:val="0"/>
        <w:widowControl/>
        <w:spacing w:before="0" w:after="100" w:line="298" w:lineRule="auto"/>
        <w:ind w:left="360" w:hanging="230"/>
      </w:pPr>
      <w:r>
        <w:rPr>
          <w:rFonts w:ascii="Arial Unicode MS" w:hAnsi="Arial Unicode MS" w:eastAsia="Arial Unicode MS"/>
          <w:b w:val="0"/>
          <w:i w:val="0"/>
          <w:color w:val="000000"/>
          <w:sz w:val="21"/>
        </w:rPr>
        <w:t>自动科研资产推荐标准体系和 Domain Recommended Asset 专家委员会工作流。</w:t>
      </w:r>
    </w:p>
    <w:p>
      <w:pPr>
        <w:pStyle w:val="ListBullet"/>
        <w:keepNext w:val="0"/>
        <w:widowControl/>
        <w:spacing w:before="0" w:after="100" w:line="298" w:lineRule="auto"/>
        <w:ind w:left="360" w:hanging="230"/>
      </w:pPr>
      <w:r>
        <w:rPr>
          <w:rFonts w:ascii="Arial Unicode MS" w:hAnsi="Arial Unicode MS" w:eastAsia="Arial Unicode MS"/>
          <w:b w:val="0"/>
          <w:i w:val="0"/>
          <w:color w:val="000000"/>
          <w:sz w:val="21"/>
        </w:rPr>
        <w:t>深度科研社交、硬件设备接入和多个专病 Hub 同时扩张。</w:t>
      </w:r>
    </w:p>
    <w:p>
      <w:pPr>
        <w:pStyle w:val="Heading2"/>
        <w:keepNext/>
        <w:spacing w:line="276" w:lineRule="auto"/>
      </w:pPr>
      <w:r>
        <w:rPr>
          <w:rFonts w:ascii="Arial Unicode MS" w:hAnsi="Arial Unicode MS" w:eastAsia="Arial Unicode MS"/>
        </w:rPr>
        <w:t>14 5 Professor Validation Demo Scope</w:t>
      </w:r>
    </w:p>
    <w:p>
      <w:r>
        <w:rPr>
          <w:rFonts w:ascii="Arial Unicode MS" w:hAnsi="Arial Unicode MS" w:eastAsia="Arial Unicode MS"/>
        </w:rPr>
        <w:t>Demo Scope 用于高可信度地验证产品模型、科研心智、任务路径与 AI Trust，不等于 Production MVP Scope，也不改变 KEEP / REFACTOR / BUILD NOW / LATER 的范围。</w:t>
      </w:r>
    </w:p>
    <w:tbl>
      <w:tblPr>
        <w:tblStyle w:val="TableGrid"/>
        <w:tblW w:type="auto" w:w="0"/>
        <w:tblLayout w:type="autofit"/>
        <w:tblLook w:firstColumn="1" w:firstRow="1" w:lastColumn="0" w:lastRow="0" w:noHBand="0" w:noVBand="1" w:val="04A0"/>
      </w:tblPr>
      <w:tblGrid>
        <w:gridCol w:w="1646"/>
        <w:gridCol w:w="1646"/>
        <w:gridCol w:w="1646"/>
        <w:gridCol w:w="1646"/>
        <w:gridCol w:w="1646"/>
        <w:gridCol w:w="1646"/>
      </w:tblGrid>
      <w:tr>
        <w:trPr>
          <w:cantSplit/>
          <w:tblHeader w:val="true"/>
          <w:tblHeader w:val="true"/>
        </w:trPr>
        <w:tc>
          <w:tcPr>
            <w:tcW w:type="dxa" w:w="1646"/>
            <w:vAlign w:val="center"/>
            <w:shd w:fill="17365D"/>
          </w:tcPr>
          <w:p>
            <w:pPr>
              <w:spacing w:after="0" w:before="0" w:line="252" w:lineRule="auto"/>
            </w:pPr>
            <w:r>
              <w:rPr>
                <w:rFonts w:ascii="Arial Unicode MS" w:hAnsi="Arial Unicode MS" w:eastAsia="Arial Unicode MS"/>
                <w:b/>
                <w:color w:val="FFFFFF"/>
                <w:sz w:val="17"/>
              </w:rPr>
            </w:r>
            <w:r>
              <w:rPr>
                <w:rFonts w:ascii="Arial Unicode MS" w:hAnsi="Arial Unicode MS" w:eastAsia="Arial Unicode MS"/>
                <w:b/>
                <w:color w:val="FFFFFF"/>
                <w:sz w:val="17"/>
              </w:rPr>
              <w:t>对象</w:t>
            </w:r>
          </w:p>
        </w:tc>
        <w:tc>
          <w:tcPr>
            <w:tcW w:type="dxa" w:w="1646"/>
            <w:vAlign w:val="center"/>
            <w:shd w:fill="17365D"/>
          </w:tcPr>
          <w:p>
            <w:pPr>
              <w:spacing w:after="0" w:before="0" w:line="252" w:lineRule="auto"/>
            </w:pPr>
            <w:r>
              <w:rPr>
                <w:rFonts w:ascii="Arial Unicode MS" w:hAnsi="Arial Unicode MS" w:eastAsia="Arial Unicode MS"/>
                <w:b/>
                <w:color w:val="FFFFFF"/>
                <w:sz w:val="17"/>
              </w:rPr>
            </w:r>
            <w:r>
              <w:rPr>
                <w:rFonts w:ascii="Arial Unicode MS" w:hAnsi="Arial Unicode MS" w:eastAsia="Arial Unicode MS"/>
                <w:b/>
                <w:color w:val="FFFFFF"/>
                <w:sz w:val="17"/>
              </w:rPr>
              <w:t>Product Fidelity</w:t>
            </w:r>
          </w:p>
        </w:tc>
        <w:tc>
          <w:tcPr>
            <w:tcW w:type="dxa" w:w="1646"/>
            <w:vAlign w:val="center"/>
            <w:shd w:fill="17365D"/>
          </w:tcPr>
          <w:p>
            <w:pPr>
              <w:spacing w:after="0" w:before="0" w:line="252" w:lineRule="auto"/>
            </w:pPr>
            <w:r>
              <w:rPr>
                <w:rFonts w:ascii="Arial Unicode MS" w:hAnsi="Arial Unicode MS" w:eastAsia="Arial Unicode MS"/>
                <w:b/>
                <w:color w:val="FFFFFF"/>
                <w:sz w:val="17"/>
              </w:rPr>
            </w:r>
            <w:r>
              <w:rPr>
                <w:rFonts w:ascii="Arial Unicode MS" w:hAnsi="Arial Unicode MS" w:eastAsia="Arial Unicode MS"/>
                <w:b/>
                <w:color w:val="FFFFFF"/>
                <w:sz w:val="17"/>
              </w:rPr>
              <w:t>UX Fidelity</w:t>
            </w:r>
          </w:p>
        </w:tc>
        <w:tc>
          <w:tcPr>
            <w:tcW w:type="dxa" w:w="1646"/>
            <w:vAlign w:val="center"/>
            <w:shd w:fill="17365D"/>
          </w:tcPr>
          <w:p>
            <w:pPr>
              <w:spacing w:after="0" w:before="0" w:line="252" w:lineRule="auto"/>
            </w:pPr>
            <w:r>
              <w:rPr>
                <w:rFonts w:ascii="Arial Unicode MS" w:hAnsi="Arial Unicode MS" w:eastAsia="Arial Unicode MS"/>
                <w:b/>
                <w:color w:val="FFFFFF"/>
                <w:sz w:val="17"/>
              </w:rPr>
            </w:r>
            <w:r>
              <w:rPr>
                <w:rFonts w:ascii="Arial Unicode MS" w:hAnsi="Arial Unicode MS" w:eastAsia="Arial Unicode MS"/>
                <w:b/>
                <w:color w:val="FFFFFF"/>
                <w:sz w:val="17"/>
              </w:rPr>
              <w:t>Visual Fidelity</w:t>
            </w:r>
          </w:p>
        </w:tc>
        <w:tc>
          <w:tcPr>
            <w:tcW w:type="dxa" w:w="1646"/>
            <w:vAlign w:val="center"/>
            <w:shd w:fill="17365D"/>
          </w:tcPr>
          <w:p>
            <w:pPr>
              <w:spacing w:after="0" w:before="0" w:line="252" w:lineRule="auto"/>
            </w:pPr>
            <w:r>
              <w:rPr>
                <w:rFonts w:ascii="Arial Unicode MS" w:hAnsi="Arial Unicode MS" w:eastAsia="Arial Unicode MS"/>
                <w:b/>
                <w:color w:val="FFFFFF"/>
                <w:sz w:val="17"/>
              </w:rPr>
            </w:r>
            <w:r>
              <w:rPr>
                <w:rFonts w:ascii="Arial Unicode MS" w:hAnsi="Arial Unicode MS" w:eastAsia="Arial Unicode MS"/>
                <w:b/>
                <w:color w:val="FFFFFF"/>
                <w:sz w:val="17"/>
              </w:rPr>
              <w:t>Functional Fidelity</w:t>
            </w:r>
          </w:p>
        </w:tc>
        <w:tc>
          <w:tcPr>
            <w:tcW w:type="dxa" w:w="1646"/>
            <w:vAlign w:val="center"/>
            <w:shd w:fill="17365D"/>
          </w:tcPr>
          <w:p>
            <w:pPr>
              <w:spacing w:after="0" w:before="0" w:line="252" w:lineRule="auto"/>
            </w:pPr>
            <w:r>
              <w:rPr>
                <w:rFonts w:ascii="Arial Unicode MS" w:hAnsi="Arial Unicode MS" w:eastAsia="Arial Unicode MS"/>
                <w:b/>
                <w:color w:val="FFFFFF"/>
                <w:sz w:val="17"/>
              </w:rPr>
            </w:r>
            <w:r>
              <w:rPr>
                <w:rFonts w:ascii="Arial Unicode MS" w:hAnsi="Arial Unicode MS" w:eastAsia="Arial Unicode MS"/>
                <w:b/>
                <w:color w:val="FFFFFF"/>
                <w:sz w:val="17"/>
              </w:rPr>
              <w:t>演示要求</w:t>
            </w:r>
          </w:p>
        </w:tc>
      </w:tr>
      <w:tr>
        <w:trPr>
          <w:cantSplit/>
        </w:trPr>
        <w:tc>
          <w:tcPr>
            <w:tcW w:type="dxa" w:w="164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Radar</w:t>
            </w:r>
          </w:p>
        </w:tc>
        <w:tc>
          <w:tcPr>
            <w:tcW w:type="dxa" w:w="164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高</w:t>
            </w:r>
          </w:p>
        </w:tc>
        <w:tc>
          <w:tcPr>
            <w:tcW w:type="dxa" w:w="164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高</w:t>
            </w:r>
          </w:p>
        </w:tc>
        <w:tc>
          <w:tcPr>
            <w:tcW w:type="dxa" w:w="164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中高</w:t>
            </w:r>
          </w:p>
        </w:tc>
        <w:tc>
          <w:tcPr>
            <w:tcW w:type="dxa" w:w="164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低中</w:t>
            </w:r>
          </w:p>
        </w:tc>
        <w:tc>
          <w:tcPr>
            <w:tcW w:type="dxa" w:w="164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高真实度领域动态与来源</w:t>
            </w:r>
          </w:p>
        </w:tc>
      </w:tr>
      <w:tr>
        <w:trPr>
          <w:cantSplit/>
        </w:trPr>
        <w:tc>
          <w:tcPr>
            <w:tcW w:type="dxa" w:w="164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Research Brief</w:t>
            </w:r>
          </w:p>
        </w:tc>
        <w:tc>
          <w:tcPr>
            <w:tcW w:type="dxa" w:w="164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高</w:t>
            </w:r>
          </w:p>
        </w:tc>
        <w:tc>
          <w:tcPr>
            <w:tcW w:type="dxa" w:w="164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高</w:t>
            </w:r>
          </w:p>
        </w:tc>
        <w:tc>
          <w:tcPr>
            <w:tcW w:type="dxa" w:w="164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中高</w:t>
            </w:r>
          </w:p>
        </w:tc>
        <w:tc>
          <w:tcPr>
            <w:tcW w:type="dxa" w:w="164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低中</w:t>
            </w:r>
          </w:p>
        </w:tc>
        <w:tc>
          <w:tcPr>
            <w:tcW w:type="dxa" w:w="164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相关性、依据、限制清晰</w:t>
            </w:r>
          </w:p>
        </w:tc>
      </w:tr>
      <w:tr>
        <w:trPr>
          <w:cantSplit/>
        </w:trPr>
        <w:tc>
          <w:tcPr>
            <w:tcW w:type="dxa" w:w="164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Opportunity</w:t>
            </w:r>
          </w:p>
        </w:tc>
        <w:tc>
          <w:tcPr>
            <w:tcW w:type="dxa" w:w="164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高</w:t>
            </w:r>
          </w:p>
        </w:tc>
        <w:tc>
          <w:tcPr>
            <w:tcW w:type="dxa" w:w="164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高</w:t>
            </w:r>
          </w:p>
        </w:tc>
        <w:tc>
          <w:tcPr>
            <w:tcW w:type="dxa" w:w="164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中高</w:t>
            </w:r>
          </w:p>
        </w:tc>
        <w:tc>
          <w:tcPr>
            <w:tcW w:type="dxa" w:w="164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低中</w:t>
            </w:r>
          </w:p>
        </w:tc>
        <w:tc>
          <w:tcPr>
            <w:tcW w:type="dxa" w:w="164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支持/相反证据与不确定性</w:t>
            </w:r>
          </w:p>
        </w:tc>
      </w:tr>
      <w:tr>
        <w:trPr>
          <w:cantSplit/>
        </w:trPr>
        <w:tc>
          <w:tcPr>
            <w:tcW w:type="dxa" w:w="164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Question</w:t>
            </w:r>
          </w:p>
        </w:tc>
        <w:tc>
          <w:tcPr>
            <w:tcW w:type="dxa" w:w="164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高</w:t>
            </w:r>
          </w:p>
        </w:tc>
        <w:tc>
          <w:tcPr>
            <w:tcW w:type="dxa" w:w="164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高</w:t>
            </w:r>
          </w:p>
        </w:tc>
        <w:tc>
          <w:tcPr>
            <w:tcW w:type="dxa" w:w="164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中高</w:t>
            </w:r>
          </w:p>
        </w:tc>
        <w:tc>
          <w:tcPr>
            <w:tcW w:type="dxa" w:w="164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低中</w:t>
            </w:r>
          </w:p>
        </w:tc>
        <w:tc>
          <w:tcPr>
            <w:tcW w:type="dxa" w:w="164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可编辑、可引用 Evidence、人工确认后入 Design</w:t>
            </w:r>
          </w:p>
        </w:tc>
      </w:tr>
      <w:tr>
        <w:trPr>
          <w:cantSplit/>
        </w:trPr>
        <w:tc>
          <w:tcPr>
            <w:tcW w:type="dxa" w:w="164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My Research</w:t>
            </w:r>
          </w:p>
        </w:tc>
        <w:tc>
          <w:tcPr>
            <w:tcW w:type="dxa" w:w="164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高</w:t>
            </w:r>
          </w:p>
        </w:tc>
        <w:tc>
          <w:tcPr>
            <w:tcW w:type="dxa" w:w="164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高</w:t>
            </w:r>
          </w:p>
        </w:tc>
        <w:tc>
          <w:tcPr>
            <w:tcW w:type="dxa" w:w="164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中高</w:t>
            </w:r>
          </w:p>
        </w:tc>
        <w:tc>
          <w:tcPr>
            <w:tcW w:type="dxa" w:w="164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低中</w:t>
            </w:r>
          </w:p>
        </w:tc>
        <w:tc>
          <w:tcPr>
            <w:tcW w:type="dxa" w:w="164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Attention 与 Portfolio 有即时价值</w:t>
            </w:r>
          </w:p>
        </w:tc>
      </w:tr>
      <w:tr>
        <w:trPr>
          <w:cantSplit/>
        </w:trPr>
        <w:tc>
          <w:tcPr>
            <w:tcW w:type="dxa" w:w="164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Study Workspace</w:t>
            </w:r>
          </w:p>
        </w:tc>
        <w:tc>
          <w:tcPr>
            <w:tcW w:type="dxa" w:w="164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高</w:t>
            </w:r>
          </w:p>
        </w:tc>
        <w:tc>
          <w:tcPr>
            <w:tcW w:type="dxa" w:w="164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高</w:t>
            </w:r>
          </w:p>
        </w:tc>
        <w:tc>
          <w:tcPr>
            <w:tcW w:type="dxa" w:w="164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中高</w:t>
            </w:r>
          </w:p>
        </w:tc>
        <w:tc>
          <w:tcPr>
            <w:tcW w:type="dxa" w:w="164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低中</w:t>
            </w:r>
          </w:p>
        </w:tc>
        <w:tc>
          <w:tcPr>
            <w:tcW w:type="dxa" w:w="164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承接既有 Execution，不伪造新执行逻辑</w:t>
            </w:r>
          </w:p>
        </w:tc>
      </w:tr>
      <w:tr>
        <w:trPr>
          <w:cantSplit/>
        </w:trPr>
        <w:tc>
          <w:tcPr>
            <w:tcW w:type="dxa" w:w="164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Analysis</w:t>
            </w:r>
          </w:p>
        </w:tc>
        <w:tc>
          <w:tcPr>
            <w:tcW w:type="dxa" w:w="164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高</w:t>
            </w:r>
          </w:p>
        </w:tc>
        <w:tc>
          <w:tcPr>
            <w:tcW w:type="dxa" w:w="164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高</w:t>
            </w:r>
          </w:p>
        </w:tc>
        <w:tc>
          <w:tcPr>
            <w:tcW w:type="dxa" w:w="164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中高</w:t>
            </w:r>
          </w:p>
        </w:tc>
        <w:tc>
          <w:tcPr>
            <w:tcW w:type="dxa" w:w="164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低中</w:t>
            </w:r>
          </w:p>
        </w:tc>
        <w:tc>
          <w:tcPr>
            <w:tcW w:type="dxa" w:w="164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显示 Dataset、方法、限制与 Review 边界</w:t>
            </w:r>
          </w:p>
        </w:tc>
      </w:tr>
      <w:tr>
        <w:trPr>
          <w:cantSplit/>
        </w:trPr>
        <w:tc>
          <w:tcPr>
            <w:tcW w:type="dxa" w:w="164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Output</w:t>
            </w:r>
          </w:p>
        </w:tc>
        <w:tc>
          <w:tcPr>
            <w:tcW w:type="dxa" w:w="164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高</w:t>
            </w:r>
          </w:p>
        </w:tc>
        <w:tc>
          <w:tcPr>
            <w:tcW w:type="dxa" w:w="164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高</w:t>
            </w:r>
          </w:p>
        </w:tc>
        <w:tc>
          <w:tcPr>
            <w:tcW w:type="dxa" w:w="164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中高</w:t>
            </w:r>
          </w:p>
        </w:tc>
        <w:tc>
          <w:tcPr>
            <w:tcW w:type="dxa" w:w="164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低中</w:t>
            </w:r>
          </w:p>
        </w:tc>
        <w:tc>
          <w:tcPr>
            <w:tcW w:type="dxa" w:w="164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可编辑 Draft、来源可追溯</w:t>
            </w:r>
          </w:p>
        </w:tc>
      </w:tr>
      <w:tr>
        <w:trPr>
          <w:cantSplit/>
        </w:trPr>
        <w:tc>
          <w:tcPr>
            <w:tcW w:type="dxa" w:w="164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Asset</w:t>
            </w:r>
          </w:p>
        </w:tc>
        <w:tc>
          <w:tcPr>
            <w:tcW w:type="dxa" w:w="164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高</w:t>
            </w:r>
          </w:p>
        </w:tc>
        <w:tc>
          <w:tcPr>
            <w:tcW w:type="dxa" w:w="164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高</w:t>
            </w:r>
          </w:p>
        </w:tc>
        <w:tc>
          <w:tcPr>
            <w:tcW w:type="dxa" w:w="164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中高</w:t>
            </w:r>
          </w:p>
        </w:tc>
        <w:tc>
          <w:tcPr>
            <w:tcW w:type="dxa" w:w="164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低中</w:t>
            </w:r>
          </w:p>
        </w:tc>
        <w:tc>
          <w:tcPr>
            <w:tcW w:type="dxa" w:w="164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Candidate、Review、Governance、Reuse 与 Lineage</w:t>
            </w:r>
          </w:p>
        </w:tc>
      </w:tr>
      <w:tr>
        <w:trPr>
          <w:cantSplit/>
        </w:trPr>
        <w:tc>
          <w:tcPr>
            <w:tcW w:type="dxa" w:w="164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Qiyan AI</w:t>
            </w:r>
          </w:p>
        </w:tc>
        <w:tc>
          <w:tcPr>
            <w:tcW w:type="dxa" w:w="164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高</w:t>
            </w:r>
          </w:p>
        </w:tc>
        <w:tc>
          <w:tcPr>
            <w:tcW w:type="dxa" w:w="164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高</w:t>
            </w:r>
          </w:p>
        </w:tc>
        <w:tc>
          <w:tcPr>
            <w:tcW w:type="dxa" w:w="164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中高</w:t>
            </w:r>
          </w:p>
        </w:tc>
        <w:tc>
          <w:tcPr>
            <w:tcW w:type="dxa" w:w="164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低中</w:t>
            </w:r>
          </w:p>
        </w:tc>
        <w:tc>
          <w:tcPr>
            <w:tcW w:type="dxa" w:w="164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Evidence、Context、Authority 与 Human Review 真实</w:t>
            </w:r>
          </w:p>
        </w:tc>
      </w:tr>
    </w:tbl>
    <w:p>
      <w:r>
        <w:rPr>
          <w:rFonts w:ascii="Arial Unicode MS" w:hAnsi="Arial Unicode MS" w:eastAsia="Arial Unicode MS"/>
        </w:rPr>
        <w:t>允许使用明确标识的 Mock Evidence、Brief、Opportunity、Dataset、AI Response、Asset Governance 与 Lineage。Mock 必须高真实度，行为与未来产品一致，不得制造只为 Demo 成立、却违反产品模型的交互；AI Evidence、Context、Human Review 和正式状态边界必须真实表达。</w:t>
      </w:r>
    </w:p>
    <w:p>
      <w:pPr>
        <w:pStyle w:val="Heading1"/>
        <w:keepNext/>
        <w:pageBreakBefore/>
        <w:spacing w:line="276" w:lineRule="auto" w:before="160" w:after="160"/>
      </w:pPr>
      <w:r>
        <w:rPr>
          <w:rFonts w:ascii="Arial Unicode MS" w:hAnsi="Arial Unicode MS" w:eastAsia="Arial Unicode MS"/>
          <w:b/>
          <w:i w:val="0"/>
          <w:color w:val="000000"/>
          <w:sz w:val="33"/>
        </w:rPr>
        <w:t>15 王教授首个验证项目</w:t>
      </w:r>
    </w:p>
    <w:p>
      <w:pPr>
        <w:pStyle w:val="Heading2"/>
        <w:keepNext/>
        <w:spacing w:line="276" w:lineRule="auto"/>
      </w:pPr>
      <w:r>
        <w:rPr>
          <w:rFonts w:ascii="Arial Unicode MS" w:hAnsi="Arial Unicode MS" w:eastAsia="Arial Unicode MS"/>
          <w:b/>
          <w:i w:val="0"/>
          <w:color w:val="000000"/>
          <w:sz w:val="26"/>
        </w:rPr>
        <w:t>15 1 项目定义</w:t>
      </w:r>
    </w:p>
    <w:p>
      <w:pPr>
        <w:keepNext w:val="0"/>
        <w:widowControl/>
        <w:spacing w:before="60" w:after="180" w:line="307" w:lineRule="auto"/>
        <w:ind w:left="504" w:right="360"/>
      </w:pPr>
      <w:r>
        <w:rPr>
          <w:rFonts w:ascii="Arial Unicode MS" w:hAnsi="Arial Unicode MS" w:eastAsia="Arial Unicode MS"/>
          <w:b/>
          <w:i w:val="0"/>
          <w:color w:val="17365D"/>
          <w:sz w:val="21"/>
        </w:rPr>
        <w:t>依托岐研中医临床研究智能平台，建设首个针灸治疗情志病 Research Hub，以真实科研课题验证领域科研动态发现、课题研究执行、AI 科研辅助及科研资产沉淀复用的完整闭环，并形成可复制至其他中医优势病种或专科的产品模式。</w:t>
      </w:r>
    </w:p>
    <w:p>
      <w:pPr>
        <w:pStyle w:val="Heading2"/>
        <w:keepNext/>
        <w:spacing w:line="276" w:lineRule="auto"/>
      </w:pPr>
      <w:r>
        <w:rPr>
          <w:rFonts w:ascii="Arial Unicode MS" w:hAnsi="Arial Unicode MS" w:eastAsia="Arial Unicode MS"/>
          <w:b/>
          <w:i w:val="0"/>
          <w:color w:val="000000"/>
          <w:sz w:val="26"/>
        </w:rPr>
        <w:t>15 2 项目不是什么</w:t>
      </w:r>
    </w:p>
    <w:p>
      <w:pPr>
        <w:pStyle w:val="ListBullet"/>
        <w:keepNext w:val="0"/>
        <w:widowControl/>
        <w:spacing w:before="0" w:after="100" w:line="298" w:lineRule="auto"/>
        <w:ind w:left="360" w:hanging="230"/>
      </w:pPr>
      <w:r>
        <w:rPr>
          <w:rFonts w:ascii="Arial Unicode MS" w:hAnsi="Arial Unicode MS" w:eastAsia="Arial Unicode MS"/>
          <w:b w:val="0"/>
          <w:i w:val="0"/>
          <w:color w:val="000000"/>
          <w:sz w:val="21"/>
        </w:rPr>
        <w:t>不是重新开发一套独立的针灸治疗情志病科研系统。</w:t>
      </w:r>
    </w:p>
    <w:p>
      <w:pPr>
        <w:pStyle w:val="ListBullet"/>
        <w:keepNext w:val="0"/>
        <w:widowControl/>
        <w:spacing w:before="0" w:after="100" w:line="298" w:lineRule="auto"/>
        <w:ind w:left="360" w:hanging="230"/>
      </w:pPr>
      <w:r>
        <w:rPr>
          <w:rFonts w:ascii="Arial Unicode MS" w:hAnsi="Arial Unicode MS" w:eastAsia="Arial Unicode MS"/>
          <w:b w:val="0"/>
          <w:i w:val="0"/>
          <w:color w:val="000000"/>
          <w:sz w:val="21"/>
        </w:rPr>
        <w:t>不是把岐研未来全部愿景一次性做完。</w:t>
      </w:r>
    </w:p>
    <w:p>
      <w:pPr>
        <w:pStyle w:val="ListBullet"/>
        <w:keepNext w:val="0"/>
        <w:widowControl/>
        <w:spacing w:before="0" w:after="100" w:line="298" w:lineRule="auto"/>
        <w:ind w:left="360" w:hanging="230"/>
      </w:pPr>
      <w:r>
        <w:rPr>
          <w:rFonts w:ascii="Arial Unicode MS" w:hAnsi="Arial Unicode MS" w:eastAsia="Arial Unicode MS"/>
          <w:b w:val="0"/>
          <w:i w:val="0"/>
          <w:color w:val="000000"/>
          <w:sz w:val="21"/>
        </w:rPr>
        <w:t>不是用文献门户、论坛或 AI 聊天框替代临床研究执行。</w:t>
      </w:r>
    </w:p>
    <w:p>
      <w:pPr>
        <w:pStyle w:val="ListBullet"/>
        <w:keepNext w:val="0"/>
        <w:widowControl/>
        <w:spacing w:before="0" w:after="100" w:line="298" w:lineRule="auto"/>
        <w:ind w:left="360" w:hanging="230"/>
      </w:pPr>
      <w:r>
        <w:rPr>
          <w:rFonts w:ascii="Arial Unicode MS" w:hAnsi="Arial Unicode MS" w:eastAsia="Arial Unicode MS"/>
          <w:b w:val="0"/>
          <w:i w:val="0"/>
          <w:color w:val="000000"/>
          <w:sz w:val="21"/>
        </w:rPr>
        <w:t>不是自动取得各团队 Study 数据或管理权。</w:t>
      </w:r>
    </w:p>
    <w:p>
      <w:pPr>
        <w:pStyle w:val="ListBullet"/>
        <w:keepNext w:val="0"/>
        <w:widowControl/>
        <w:spacing w:before="0" w:after="100" w:line="298" w:lineRule="auto"/>
        <w:ind w:left="360" w:hanging="230"/>
      </w:pPr>
      <w:r>
        <w:rPr>
          <w:rFonts w:ascii="Arial Unicode MS" w:hAnsi="Arial Unicode MS" w:eastAsia="Arial Unicode MS"/>
          <w:b w:val="0"/>
          <w:i w:val="0"/>
          <w:color w:val="000000"/>
          <w:sz w:val="21"/>
        </w:rPr>
        <w:t>不是等待一个临床研究完整结束后才验证产品闭环。</w:t>
      </w:r>
    </w:p>
    <w:p>
      <w:pPr>
        <w:pStyle w:val="Heading2"/>
        <w:keepNext/>
        <w:spacing w:line="276" w:lineRule="auto"/>
      </w:pPr>
      <w:r>
        <w:rPr>
          <w:rFonts w:ascii="Arial Unicode MS" w:hAnsi="Arial Unicode MS" w:eastAsia="Arial Unicode MS"/>
          <w:b/>
          <w:i w:val="0"/>
          <w:color w:val="000000"/>
          <w:sz w:val="26"/>
        </w:rPr>
        <w:t>15 3 最小验证闭环</w:t>
      </w:r>
    </w:p>
    <w:p>
      <w:pPr>
        <w:keepNext w:val="0"/>
        <w:widowControl/>
        <w:spacing w:before="100" w:after="80" w:line="317" w:lineRule="auto"/>
        <w:jc w:val="center"/>
      </w:pPr>
      <w:r>
        <w:rPr>
          <w:rFonts w:ascii="Arial Unicode MS" w:hAnsi="Arial Unicode MS" w:eastAsia="Arial Unicode MS"/>
          <w:b/>
          <w:i w:val="0"/>
          <w:color w:val="17365D"/>
          <w:sz w:val="21"/>
        </w:rPr>
        <w:t>进入针灸治疗情志病 Hub → 查看 Research Brief → 发现 Opportunity → 形成 Question → 创建 Study → 使用现有 Study Engine → 分析与产出 → Asset Review → Hub Reuse</w:t>
      </w:r>
    </w:p>
    <w:p>
      <w:pPr>
        <w:keepNext w:val="0"/>
        <w:widowControl/>
        <w:spacing w:before="0" w:after="140" w:line="317" w:lineRule="auto"/>
      </w:pPr>
      <w:r>
        <w:rPr>
          <w:rFonts w:ascii="Arial Unicode MS" w:hAnsi="Arial Unicode MS" w:eastAsia="Arial Unicode MS"/>
          <w:b w:val="0"/>
          <w:i w:val="0"/>
          <w:color w:val="000000"/>
          <w:sz w:val="22"/>
        </w:rPr>
        <w:t>后半段可使用已有、历史或明确标识的模拟材料验证，不需要等待多年临床研究结束。所有演示数据和医学结论必须标记为测试内容。</w:t>
      </w:r>
    </w:p>
    <w:p>
      <w:pPr>
        <w:pStyle w:val="Heading2"/>
        <w:keepNext/>
        <w:spacing w:line="276" w:lineRule="auto"/>
      </w:pPr>
      <w:r>
        <w:rPr>
          <w:rFonts w:ascii="Arial Unicode MS" w:hAnsi="Arial Unicode MS" w:eastAsia="Arial Unicode MS"/>
          <w:b/>
          <w:i w:val="0"/>
          <w:color w:val="000000"/>
          <w:sz w:val="26"/>
        </w:rPr>
        <w:t>15 4 验证目标</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blHeader w:val="true"/>
        </w:trPr>
        <w:tc>
          <w:tcPr>
            <w:tcW w:type="dxa" w:w="1944"/>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目标</w:t>
            </w:r>
          </w:p>
        </w:tc>
        <w:tc>
          <w:tcPr>
            <w:tcW w:type="dxa" w:w="4176"/>
            <w:shd w:fill="17365D"/>
            <w:tcMar>
              <w:top w:w="115" w:type="dxa"/>
              <w:start w:w="115" w:type="dxa"/>
              <w:bottom w:w="115" w:type="dxa"/>
              <w:end w:w="115" w:type="dxa"/>
            </w:tcMar>
            <w:vAlign w:val="center"/>
          </w:tcPr>
          <w:p>
            <w:pPr>
              <w:spacing w:after="0" w:before="0"/>
            </w:pPr>
            <w:r>
              <w:rPr>
                <w:rFonts w:ascii="Arial Unicode MS" w:hAnsi="Arial Unicode MS" w:eastAsia="Arial Unicode MS"/>
              </w:rPr>
            </w:r>
            <w:r>
              <w:rPr>
                <w:rFonts w:ascii="Arial Unicode MS" w:hAnsi="Arial Unicode MS" w:eastAsia="Arial Unicode MS"/>
                <w:b/>
                <w:color w:val="FFFFFF"/>
                <w:sz w:val="18"/>
              </w:rPr>
              <w:t>Supported 方向性证据</w:t>
            </w:r>
          </w:p>
        </w:tc>
        <w:tc>
          <w:tcPr>
            <w:tcW w:type="dxa" w:w="3960"/>
            <w:shd w:fill="17365D"/>
            <w:tcMar>
              <w:top w:w="115" w:type="dxa"/>
              <w:start w:w="115" w:type="dxa"/>
              <w:bottom w:w="115" w:type="dxa"/>
              <w:end w:w="115" w:type="dxa"/>
            </w:tcMar>
            <w:vAlign w:val="center"/>
          </w:tcPr>
          <w:p>
            <w:pPr>
              <w:spacing w:after="0" w:before="0"/>
            </w:pPr>
            <w:r>
              <w:rPr>
                <w:rFonts w:ascii="Arial Unicode MS" w:hAnsi="Arial Unicode MS" w:eastAsia="Arial Unicode MS"/>
              </w:rPr>
            </w:r>
            <w:r>
              <w:rPr>
                <w:rFonts w:ascii="Arial Unicode MS" w:hAnsi="Arial Unicode MS" w:eastAsia="Arial Unicode MS"/>
                <w:b/>
                <w:color w:val="FFFFFF"/>
                <w:sz w:val="18"/>
              </w:rPr>
              <w:t>Challenged / Inconclusive 证据</w:t>
            </w:r>
          </w:p>
        </w:tc>
      </w:tr>
      <w:tr>
        <w:trPr>
          <w:cantSplit/>
        </w:trPr>
        <w:tc>
          <w:tcPr>
            <w:tcW w:type="dxa" w:w="194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Hub 心智</w:t>
            </w:r>
          </w:p>
        </w:tc>
        <w:tc>
          <w:tcPr>
            <w:tcW w:type="dxa" w:w="417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教授能用自己的话区分领域研究中心与具体课题</w:t>
            </w:r>
          </w:p>
        </w:tc>
        <w:tc>
          <w:tcPr>
            <w:tcW w:type="dxa" w:w="396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两者感觉重复或层级不清</w:t>
            </w:r>
          </w:p>
        </w:tc>
      </w:tr>
      <w:tr>
        <w:trPr>
          <w:cantSplit/>
        </w:trPr>
        <w:tc>
          <w:tcPr>
            <w:tcW w:type="dxa" w:w="194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即时价值</w:t>
            </w:r>
          </w:p>
        </w:tc>
        <w:tc>
          <w:tcPr>
            <w:tcW w:type="dxa" w:w="4176"/>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教授较快找到与自己有关的变化或需要关注的问题</w:t>
            </w:r>
          </w:p>
        </w:tc>
        <w:tc>
          <w:tcPr>
            <w:tcW w:type="dxa" w:w="396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仍需浏览大量信息和图表</w:t>
            </w:r>
          </w:p>
        </w:tc>
      </w:tr>
      <w:tr>
        <w:trPr>
          <w:cantSplit/>
        </w:trPr>
        <w:tc>
          <w:tcPr>
            <w:tcW w:type="dxa" w:w="194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探索闭环</w:t>
            </w:r>
          </w:p>
        </w:tc>
        <w:tc>
          <w:tcPr>
            <w:tcW w:type="dxa" w:w="417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教授理解 Evidence、Opportunity、Question 的递进</w:t>
            </w:r>
          </w:p>
        </w:tc>
        <w:tc>
          <w:tcPr>
            <w:tcW w:type="dxa" w:w="396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把 AI Opportunity 当作研究结论或正式课题</w:t>
            </w:r>
          </w:p>
        </w:tc>
      </w:tr>
      <w:tr>
        <w:trPr>
          <w:cantSplit/>
        </w:trPr>
        <w:tc>
          <w:tcPr>
            <w:tcW w:type="dxa" w:w="194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方案导入</w:t>
            </w:r>
          </w:p>
        </w:tc>
        <w:tc>
          <w:tcPr>
            <w:tcW w:type="dxa" w:w="4176"/>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已有 Protocol 可被结构化并减少重复录入</w:t>
            </w:r>
          </w:p>
        </w:tc>
        <w:tc>
          <w:tcPr>
            <w:tcW w:type="dxa" w:w="396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解析结果无来源或仍需大量重填</w:t>
            </w:r>
          </w:p>
        </w:tc>
      </w:tr>
      <w:tr>
        <w:trPr>
          <w:cantSplit/>
        </w:trPr>
        <w:tc>
          <w:tcPr>
            <w:tcW w:type="dxa" w:w="194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AI 信任</w:t>
            </w:r>
          </w:p>
        </w:tc>
        <w:tc>
          <w:tcPr>
            <w:tcW w:type="dxa" w:w="417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教授能查看依据、限制和上下文，并知道何时需要人工确认</w:t>
            </w:r>
          </w:p>
        </w:tc>
        <w:tc>
          <w:tcPr>
            <w:tcW w:type="dxa" w:w="396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AI 结论像黑箱或权责不清</w:t>
            </w:r>
          </w:p>
        </w:tc>
      </w:tr>
      <w:tr>
        <w:trPr>
          <w:cantSplit/>
        </w:trPr>
        <w:tc>
          <w:tcPr>
            <w:tcW w:type="dxa" w:w="194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资产复用</w:t>
            </w:r>
          </w:p>
        </w:tc>
        <w:tc>
          <w:tcPr>
            <w:tcW w:type="dxa" w:w="4176"/>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教授理解共享范围、审批和 Derived From</w:t>
            </w:r>
          </w:p>
        </w:tc>
        <w:tc>
          <w:tcPr>
            <w:tcW w:type="dxa" w:w="396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共享像网盘复制或数据治理被弱化</w:t>
            </w:r>
          </w:p>
        </w:tc>
      </w:tr>
      <w:tr>
        <w:trPr>
          <w:cantSplit/>
        </w:trPr>
        <w:tc>
          <w:tcPr>
            <w:tcW w:type="dxa" w:w="194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执行保护</w:t>
            </w:r>
          </w:p>
        </w:tc>
        <w:tc>
          <w:tcPr>
            <w:tcW w:type="dxa" w:w="417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研究员核心访视和数据确认路径不因新架构变复杂</w:t>
            </w:r>
          </w:p>
        </w:tc>
        <w:tc>
          <w:tcPr>
            <w:tcW w:type="dxa" w:w="396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8"/>
              </w:rPr>
              <w:t>新导航增加日常执行成本</w:t>
            </w:r>
          </w:p>
        </w:tc>
      </w:tr>
    </w:tbl>
    <w:p>
      <w:pPr>
        <w:keepNext w:val="0"/>
        <w:widowControl/>
        <w:spacing w:before="0" w:after="120" w:line="240" w:lineRule="auto"/>
      </w:pPr>
    </w:p>
    <w:p>
      <w:pPr>
        <w:keepNext w:val="0"/>
        <w:widowControl/>
        <w:spacing w:before="0" w:after="140" w:line="317" w:lineRule="auto"/>
      </w:pPr>
      <w:r>
        <w:rPr>
          <w:rFonts w:ascii="Arial Unicode MS" w:hAnsi="Arial Unicode MS" w:eastAsia="Arial Unicode MS"/>
        </w:rPr>
        <w:t>OPEN QUESTION OQ-013  多轮可用性研究的样本结构、任务基线与阈值尚未确定；王教授 Session #1 仅形成 Supported / Challenged / Inconclusive 的方向性证据。</w:t>
      </w:r>
    </w:p>
    <w:p>
      <w:pPr>
        <w:pStyle w:val="Heading1"/>
        <w:keepNext/>
        <w:pageBreakBefore/>
        <w:spacing w:line="276" w:lineRule="auto" w:before="160" w:after="160"/>
      </w:pPr>
      <w:r>
        <w:rPr>
          <w:rFonts w:ascii="Arial Unicode MS" w:hAnsi="Arial Unicode MS" w:eastAsia="Arial Unicode MS"/>
          <w:b/>
          <w:i w:val="0"/>
          <w:color w:val="000000"/>
          <w:sz w:val="33"/>
        </w:rPr>
        <w:t>16 决策与假设登记</w:t>
      </w:r>
    </w:p>
    <w:p>
      <w:pPr>
        <w:pStyle w:val="Heading2"/>
        <w:keepNext/>
        <w:spacing w:line="276" w:lineRule="auto"/>
      </w:pPr>
      <w:r>
        <w:rPr>
          <w:rFonts w:ascii="Arial Unicode MS" w:hAnsi="Arial Unicode MS" w:eastAsia="Arial Unicode MS"/>
          <w:b/>
          <w:i w:val="0"/>
          <w:color w:val="000000"/>
          <w:sz w:val="26"/>
        </w:rPr>
        <w:t>16 1 Decision Log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val="true"/>
          <w:tblHeader w:val="true"/>
        </w:trPr>
        <w:tc>
          <w:tcPr>
            <w:tcW w:type="dxa" w:w="1152"/>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ID</w:t>
            </w:r>
          </w:p>
        </w:tc>
        <w:tc>
          <w:tcPr>
            <w:tcW w:type="dxa" w:w="2520"/>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决策</w:t>
            </w:r>
          </w:p>
        </w:tc>
        <w:tc>
          <w:tcPr>
            <w:tcW w:type="dxa" w:w="5688"/>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基线含义</w:t>
            </w:r>
          </w:p>
        </w:tc>
        <w:tc>
          <w:tcPr>
            <w:tcW w:type="dxa" w:w="720"/>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来源</w:t>
            </w:r>
          </w:p>
        </w:tc>
      </w:tr>
      <w:tr>
        <w:trPr>
          <w:cantSplit/>
        </w:trPr>
        <w:tc>
          <w:tcPr>
            <w:tcW w:type="dxa" w:w="1152"/>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DEC-001</w:t>
            </w:r>
          </w:p>
        </w:tc>
        <w:tc>
          <w:tcPr>
            <w:tcW w:type="dxa" w:w="252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产品层级重构</w:t>
            </w:r>
          </w:p>
        </w:tc>
        <w:tc>
          <w:tcPr>
            <w:tcW w:type="dxa" w:w="568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岐研为顶层产品，针灸治疗情志病为岐研中的垂直空间，而非独立平台</w:t>
            </w:r>
          </w:p>
        </w:tc>
        <w:tc>
          <w:tcPr>
            <w:tcW w:type="dxa" w:w="720"/>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W02</w:t>
            </w:r>
          </w:p>
        </w:tc>
      </w:tr>
      <w:tr>
        <w:trPr>
          <w:cantSplit/>
        </w:trPr>
        <w:tc>
          <w:tcPr>
            <w:tcW w:type="dxa" w:w="1152"/>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DEC-002</w:t>
            </w:r>
          </w:p>
        </w:tc>
        <w:tc>
          <w:tcPr>
            <w:tcW w:type="dxa" w:w="252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岐研是顶层产品</w:t>
            </w:r>
          </w:p>
        </w:tc>
        <w:tc>
          <w:tcPr>
            <w:tcW w:type="dxa" w:w="568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杜教授和王教授项目均在统一平台延伸</w:t>
            </w:r>
          </w:p>
        </w:tc>
        <w:tc>
          <w:tcPr>
            <w:tcW w:type="dxa" w:w="720"/>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W02</w:t>
            </w:r>
          </w:p>
        </w:tc>
      </w:tr>
      <w:tr>
        <w:trPr>
          <w:cantSplit/>
        </w:trPr>
        <w:tc>
          <w:tcPr>
            <w:tcW w:type="dxa" w:w="1152"/>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DEC-003</w:t>
            </w:r>
          </w:p>
        </w:tc>
        <w:tc>
          <w:tcPr>
            <w:tcW w:type="dxa" w:w="252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Study 是核心业务上下文</w:t>
            </w:r>
          </w:p>
        </w:tc>
        <w:tc>
          <w:tcPr>
            <w:tcW w:type="dxa" w:w="568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角色随 User × Study 关系变化</w:t>
            </w:r>
          </w:p>
        </w:tc>
        <w:tc>
          <w:tcPr>
            <w:tcW w:type="dxa" w:w="720"/>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W02</w:t>
            </w:r>
          </w:p>
        </w:tc>
      </w:tr>
      <w:tr>
        <w:trPr>
          <w:cantSplit/>
        </w:trPr>
        <w:tc>
          <w:tcPr>
            <w:tcW w:type="dxa" w:w="1152"/>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DEC-004</w:t>
            </w:r>
          </w:p>
        </w:tc>
        <w:tc>
          <w:tcPr>
            <w:tcW w:type="dxa" w:w="252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科研资产治理原则</w:t>
            </w:r>
          </w:p>
        </w:tc>
        <w:tc>
          <w:tcPr>
            <w:tcW w:type="dxa" w:w="568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Creator 可发起，Publisher 审批，作者与来源持续保留</w:t>
            </w:r>
          </w:p>
        </w:tc>
        <w:tc>
          <w:tcPr>
            <w:tcW w:type="dxa" w:w="720"/>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W04</w:t>
            </w:r>
          </w:p>
        </w:tc>
      </w:tr>
      <w:tr>
        <w:trPr>
          <w:cantSplit/>
        </w:trPr>
        <w:tc>
          <w:tcPr>
            <w:tcW w:type="dxa" w:w="1152"/>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DEC-005</w:t>
            </w:r>
          </w:p>
        </w:tc>
        <w:tc>
          <w:tcPr>
            <w:tcW w:type="dxa" w:w="252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身份与角色分离</w:t>
            </w:r>
          </w:p>
        </w:tc>
        <w:tc>
          <w:tcPr>
            <w:tcW w:type="dxa" w:w="568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采用 Identity + Membership + Role + Scope + Permission</w:t>
            </w:r>
          </w:p>
        </w:tc>
        <w:tc>
          <w:tcPr>
            <w:tcW w:type="dxa" w:w="720"/>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W05</w:t>
            </w:r>
          </w:p>
        </w:tc>
      </w:tr>
      <w:tr>
        <w:trPr>
          <w:cantSplit/>
        </w:trPr>
        <w:tc>
          <w:tcPr>
            <w:tcW w:type="dxa" w:w="1152"/>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DEC-006</w:t>
            </w:r>
          </w:p>
        </w:tc>
        <w:tc>
          <w:tcPr>
            <w:tcW w:type="dxa" w:w="252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允许个人科研身份</w:t>
            </w:r>
          </w:p>
        </w:tc>
        <w:tc>
          <w:tcPr>
            <w:tcW w:type="dxa" w:w="568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正式临床研究和患者数据再触发机构与身份认证</w:t>
            </w:r>
          </w:p>
        </w:tc>
        <w:tc>
          <w:tcPr>
            <w:tcW w:type="dxa" w:w="720"/>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W05</w:t>
            </w:r>
          </w:p>
        </w:tc>
      </w:tr>
      <w:tr>
        <w:trPr>
          <w:cantSplit/>
        </w:trPr>
        <w:tc>
          <w:tcPr>
            <w:tcW w:type="dxa" w:w="1152"/>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DEC-007</w:t>
            </w:r>
          </w:p>
        </w:tc>
        <w:tc>
          <w:tcPr>
            <w:tcW w:type="dxa" w:w="252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Hub 分层参与</w:t>
            </w:r>
          </w:p>
        </w:tc>
        <w:tc>
          <w:tcPr>
            <w:tcW w:type="dxa" w:w="568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公开访问、Hub Member、认证科研成员、Study Member 权限不同</w:t>
            </w:r>
          </w:p>
        </w:tc>
        <w:tc>
          <w:tcPr>
            <w:tcW w:type="dxa" w:w="720"/>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W05</w:t>
            </w:r>
          </w:p>
        </w:tc>
      </w:tr>
      <w:tr>
        <w:trPr>
          <w:cantSplit/>
        </w:trPr>
        <w:tc>
          <w:tcPr>
            <w:tcW w:type="dxa" w:w="1152"/>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DEC-008</w:t>
            </w:r>
          </w:p>
        </w:tc>
        <w:tc>
          <w:tcPr>
            <w:tcW w:type="dxa" w:w="252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Hub 不审批所有课题</w:t>
            </w:r>
          </w:p>
        </w:tc>
        <w:tc>
          <w:tcPr>
            <w:tcW w:type="dxa" w:w="568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认证研究者可创建 Study，涉及机构资源时走相应治理</w:t>
            </w:r>
          </w:p>
        </w:tc>
        <w:tc>
          <w:tcPr>
            <w:tcW w:type="dxa" w:w="720"/>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W05</w:t>
            </w:r>
          </w:p>
        </w:tc>
      </w:tr>
      <w:tr>
        <w:trPr>
          <w:cantSplit/>
        </w:trPr>
        <w:tc>
          <w:tcPr>
            <w:tcW w:type="dxa" w:w="1152"/>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DEC-009</w:t>
            </w:r>
          </w:p>
        </w:tc>
        <w:tc>
          <w:tcPr>
            <w:tcW w:type="dxa" w:w="252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覆盖完整 Research Lifecycle</w:t>
            </w:r>
          </w:p>
        </w:tc>
        <w:tc>
          <w:tcPr>
            <w:tcW w:type="dxa" w:w="568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Discover 至 Accumulate 形成产品主线</w:t>
            </w:r>
          </w:p>
        </w:tc>
        <w:tc>
          <w:tcPr>
            <w:tcW w:type="dxa" w:w="720"/>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W06</w:t>
            </w:r>
          </w:p>
        </w:tc>
      </w:tr>
      <w:tr>
        <w:trPr>
          <w:cantSplit/>
        </w:trPr>
        <w:tc>
          <w:tcPr>
            <w:tcW w:type="dxa" w:w="1152"/>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DEC-010</w:t>
            </w:r>
          </w:p>
        </w:tc>
        <w:tc>
          <w:tcPr>
            <w:tcW w:type="dxa" w:w="252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AI 贯穿生命周期</w:t>
            </w:r>
          </w:p>
        </w:tc>
        <w:tc>
          <w:tcPr>
            <w:tcW w:type="dxa" w:w="568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AI 不作为独立孤岛</w:t>
            </w:r>
          </w:p>
        </w:tc>
        <w:tc>
          <w:tcPr>
            <w:tcW w:type="dxa" w:w="720"/>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W06</w:t>
            </w:r>
          </w:p>
        </w:tc>
      </w:tr>
      <w:tr>
        <w:trPr>
          <w:cantSplit/>
        </w:trPr>
        <w:tc>
          <w:tcPr>
            <w:tcW w:type="dxa" w:w="1152"/>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DEC-011</w:t>
            </w:r>
          </w:p>
        </w:tc>
        <w:tc>
          <w:tcPr>
            <w:tcW w:type="dxa" w:w="252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AI Assist Human Decide</w:t>
            </w:r>
          </w:p>
        </w:tc>
        <w:tc>
          <w:tcPr>
            <w:tcW w:type="dxa" w:w="568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研究设计由 AI 辅助，科研人员确认</w:t>
            </w:r>
          </w:p>
        </w:tc>
        <w:tc>
          <w:tcPr>
            <w:tcW w:type="dxa" w:w="720"/>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W06</w:t>
            </w:r>
          </w:p>
        </w:tc>
      </w:tr>
      <w:tr>
        <w:trPr>
          <w:cantSplit/>
        </w:trPr>
        <w:tc>
          <w:tcPr>
            <w:tcW w:type="dxa" w:w="1152"/>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DEC-012</w:t>
            </w:r>
          </w:p>
        </w:tc>
        <w:tc>
          <w:tcPr>
            <w:tcW w:type="dxa" w:w="252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Study Closeout 不等于结束</w:t>
            </w:r>
          </w:p>
        </w:tc>
        <w:tc>
          <w:tcPr>
            <w:tcW w:type="dxa" w:w="568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增加 Research Accumulation</w:t>
            </w:r>
          </w:p>
        </w:tc>
        <w:tc>
          <w:tcPr>
            <w:tcW w:type="dxa" w:w="720"/>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W06</w:t>
            </w:r>
          </w:p>
        </w:tc>
      </w:tr>
      <w:tr>
        <w:trPr>
          <w:cantSplit/>
        </w:trPr>
        <w:tc>
          <w:tcPr>
            <w:tcW w:type="dxa" w:w="1152"/>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DEC-013</w:t>
            </w:r>
          </w:p>
        </w:tc>
        <w:tc>
          <w:tcPr>
            <w:tcW w:type="dxa" w:w="252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Platform Hub Study 分层原则</w:t>
            </w:r>
          </w:p>
        </w:tc>
        <w:tc>
          <w:tcPr>
            <w:tcW w:type="dxa" w:w="568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Platform 通用化、Hub 领域化、Study 专业化</w:t>
            </w:r>
          </w:p>
        </w:tc>
        <w:tc>
          <w:tcPr>
            <w:tcW w:type="dxa" w:w="720"/>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W09</w:t>
            </w:r>
          </w:p>
        </w:tc>
      </w:tr>
      <w:tr>
        <w:trPr>
          <w:cantSplit/>
        </w:trPr>
        <w:tc>
          <w:tcPr>
            <w:tcW w:type="dxa" w:w="1152"/>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DEC-014</w:t>
            </w:r>
          </w:p>
        </w:tc>
        <w:tc>
          <w:tcPr>
            <w:tcW w:type="dxa" w:w="252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统一 Copilot 体验</w:t>
            </w:r>
          </w:p>
        </w:tc>
        <w:tc>
          <w:tcPr>
            <w:tcW w:type="dxa" w:w="568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用户面对统一 Copilot，后台采用 Specialized Agents</w:t>
            </w:r>
          </w:p>
        </w:tc>
        <w:tc>
          <w:tcPr>
            <w:tcW w:type="dxa" w:w="720"/>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W10</w:t>
            </w:r>
          </w:p>
        </w:tc>
      </w:tr>
      <w:tr>
        <w:trPr>
          <w:cantSplit/>
        </w:trPr>
        <w:tc>
          <w:tcPr>
            <w:tcW w:type="dxa" w:w="1152"/>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DEC-015</w:t>
            </w:r>
          </w:p>
        </w:tc>
        <w:tc>
          <w:tcPr>
            <w:tcW w:type="dxa" w:w="252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AI Context 对齐业务 Context</w:t>
            </w:r>
          </w:p>
        </w:tc>
        <w:tc>
          <w:tcPr>
            <w:tcW w:type="dxa" w:w="568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User、Hub、Study、Subject、Visit、Artifact 受权限约束</w:t>
            </w:r>
          </w:p>
        </w:tc>
        <w:tc>
          <w:tcPr>
            <w:tcW w:type="dxa" w:w="720"/>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W10</w:t>
            </w:r>
          </w:p>
        </w:tc>
      </w:tr>
      <w:tr>
        <w:trPr>
          <w:cantSplit/>
        </w:trPr>
        <w:tc>
          <w:tcPr>
            <w:tcW w:type="dxa" w:w="1152"/>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DEC-016</w:t>
            </w:r>
          </w:p>
        </w:tc>
        <w:tc>
          <w:tcPr>
            <w:tcW w:type="dxa" w:w="252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AI Assist Human Accountable</w:t>
            </w:r>
          </w:p>
        </w:tc>
        <w:tc>
          <w:tcPr>
            <w:tcW w:type="dxa" w:w="568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关键状态、正式数据和外部发布由授权人员确认；细化 DEC-011</w:t>
            </w:r>
          </w:p>
        </w:tc>
        <w:tc>
          <w:tcPr>
            <w:tcW w:type="dxa" w:w="720"/>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W10</w:t>
            </w:r>
          </w:p>
        </w:tc>
      </w:tr>
      <w:tr>
        <w:trPr>
          <w:cantSplit/>
        </w:trPr>
        <w:tc>
          <w:tcPr>
            <w:tcW w:type="dxa" w:w="1152"/>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DEC-017</w:t>
            </w:r>
          </w:p>
        </w:tc>
        <w:tc>
          <w:tcPr>
            <w:tcW w:type="dxa" w:w="252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三种 AI 形态</w:t>
            </w:r>
          </w:p>
        </w:tc>
        <w:tc>
          <w:tcPr>
            <w:tcW w:type="dxa" w:w="568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Embedded、Copilot、Proactive</w:t>
            </w:r>
          </w:p>
        </w:tc>
        <w:tc>
          <w:tcPr>
            <w:tcW w:type="dxa" w:w="720"/>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W10</w:t>
            </w:r>
          </w:p>
        </w:tc>
      </w:tr>
      <w:tr>
        <w:trPr>
          <w:cantSplit/>
        </w:trPr>
        <w:tc>
          <w:tcPr>
            <w:tcW w:type="dxa" w:w="1152"/>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DEC-018</w:t>
            </w:r>
          </w:p>
        </w:tc>
        <w:tc>
          <w:tcPr>
            <w:tcW w:type="dxa" w:w="252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AI 输出可追溯</w:t>
            </w:r>
          </w:p>
        </w:tc>
        <w:tc>
          <w:tcPr>
            <w:tcW w:type="dxa" w:w="568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重要判断必须 Evidence-grounded and Traceable</w:t>
            </w:r>
          </w:p>
        </w:tc>
        <w:tc>
          <w:tcPr>
            <w:tcW w:type="dxa" w:w="720"/>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W10</w:t>
            </w:r>
          </w:p>
        </w:tc>
      </w:tr>
      <w:tr>
        <w:trPr>
          <w:cantSplit/>
        </w:trPr>
        <w:tc>
          <w:tcPr>
            <w:tcW w:type="dxa" w:w="1152"/>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DEC-019</w:t>
            </w:r>
          </w:p>
        </w:tc>
        <w:tc>
          <w:tcPr>
            <w:tcW w:type="dxa" w:w="252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Study Operations 演进为 Study Workspace</w:t>
            </w:r>
          </w:p>
        </w:tc>
        <w:tc>
          <w:tcPr>
            <w:tcW w:type="dxa" w:w="568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Execution 成为子域，不再代表整个课题空间</w:t>
            </w:r>
          </w:p>
        </w:tc>
        <w:tc>
          <w:tcPr>
            <w:tcW w:type="dxa" w:w="720"/>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W11</w:t>
            </w:r>
          </w:p>
        </w:tc>
      </w:tr>
      <w:tr>
        <w:trPr>
          <w:cantSplit/>
        </w:trPr>
        <w:tc>
          <w:tcPr>
            <w:tcW w:type="dxa" w:w="1152"/>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DEC-020</w:t>
            </w:r>
          </w:p>
        </w:tc>
        <w:tc>
          <w:tcPr>
            <w:tcW w:type="dxa" w:w="252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My Research 是个人科研指挥中心</w:t>
            </w:r>
          </w:p>
        </w:tc>
        <w:tc>
          <w:tcPr>
            <w:tcW w:type="dxa" w:w="568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由 Inbox、Portfolio、Brief、AI 组成</w:t>
            </w:r>
          </w:p>
        </w:tc>
        <w:tc>
          <w:tcPr>
            <w:tcW w:type="dxa" w:w="720"/>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W12</w:t>
            </w:r>
          </w:p>
        </w:tc>
      </w:tr>
      <w:tr>
        <w:trPr>
          <w:cantSplit/>
        </w:trPr>
        <w:tc>
          <w:tcPr>
            <w:tcW w:type="dxa" w:w="1152"/>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DEC-021</w:t>
            </w:r>
          </w:p>
        </w:tc>
        <w:tc>
          <w:tcPr>
            <w:tcW w:type="dxa" w:w="252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采用 Job Adaptive Experience</w:t>
            </w:r>
          </w:p>
        </w:tc>
        <w:tc>
          <w:tcPr>
            <w:tcW w:type="dxa" w:w="568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PI 与研究员按任务适配，不按账号类型硬切首页</w:t>
            </w:r>
          </w:p>
        </w:tc>
        <w:tc>
          <w:tcPr>
            <w:tcW w:type="dxa" w:w="720"/>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W12</w:t>
            </w:r>
          </w:p>
        </w:tc>
      </w:tr>
      <w:tr>
        <w:trPr>
          <w:cantSplit/>
        </w:trPr>
        <w:tc>
          <w:tcPr>
            <w:tcW w:type="dxa" w:w="1152"/>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DEC-022</w:t>
            </w:r>
          </w:p>
        </w:tc>
        <w:tc>
          <w:tcPr>
            <w:tcW w:type="dxa" w:w="252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功能属于 Study 工作属于 User</w:t>
            </w:r>
          </w:p>
        </w:tc>
        <w:tc>
          <w:tcPr>
            <w:tcW w:type="dxa" w:w="568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Study 保持完整结构，My Research 聚合工作</w:t>
            </w:r>
          </w:p>
        </w:tc>
        <w:tc>
          <w:tcPr>
            <w:tcW w:type="dxa" w:w="720"/>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W12</w:t>
            </w:r>
          </w:p>
        </w:tc>
      </w:tr>
      <w:tr>
        <w:trPr>
          <w:cantSplit/>
        </w:trPr>
        <w:tc>
          <w:tcPr>
            <w:tcW w:type="dxa" w:w="1152"/>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DEC-023</w:t>
            </w:r>
          </w:p>
        </w:tc>
        <w:tc>
          <w:tcPr>
            <w:tcW w:type="dxa" w:w="252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Artifact 与 Asset 分离</w:t>
            </w:r>
          </w:p>
        </w:tc>
        <w:tc>
          <w:tcPr>
            <w:tcW w:type="dxa" w:w="568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资产需要识别、整理、责任确认和治理</w:t>
            </w:r>
          </w:p>
        </w:tc>
        <w:tc>
          <w:tcPr>
            <w:tcW w:type="dxa" w:w="720"/>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W13</w:t>
            </w:r>
          </w:p>
        </w:tc>
      </w:tr>
      <w:tr>
        <w:trPr>
          <w:cantSplit/>
        </w:trPr>
        <w:tc>
          <w:tcPr>
            <w:tcW w:type="dxa" w:w="1152"/>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DEC-024</w:t>
            </w:r>
          </w:p>
        </w:tc>
        <w:tc>
          <w:tcPr>
            <w:tcW w:type="dxa" w:w="252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资产分级生命周期</w:t>
            </w:r>
          </w:p>
        </w:tc>
        <w:tc>
          <w:tcPr>
            <w:tcW w:type="dxa" w:w="568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Artifact 到 Domain Asset 分级升级</w:t>
            </w:r>
          </w:p>
        </w:tc>
        <w:tc>
          <w:tcPr>
            <w:tcW w:type="dxa" w:w="720"/>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W13</w:t>
            </w:r>
          </w:p>
        </w:tc>
      </w:tr>
      <w:tr>
        <w:trPr>
          <w:cantSplit/>
        </w:trPr>
        <w:tc>
          <w:tcPr>
            <w:tcW w:type="dxa" w:w="1152"/>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DEC-025</w:t>
            </w:r>
          </w:p>
        </w:tc>
        <w:tc>
          <w:tcPr>
            <w:tcW w:type="dxa" w:w="252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资产必须有 Provenance</w:t>
            </w:r>
          </w:p>
        </w:tc>
        <w:tc>
          <w:tcPr>
            <w:tcW w:type="dxa" w:w="568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同时记录 Version、Governance Context 和 Access Scope</w:t>
            </w:r>
          </w:p>
        </w:tc>
        <w:tc>
          <w:tcPr>
            <w:tcW w:type="dxa" w:w="720"/>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W13</w:t>
            </w:r>
          </w:p>
        </w:tc>
      </w:tr>
      <w:tr>
        <w:trPr>
          <w:cantSplit/>
        </w:trPr>
        <w:tc>
          <w:tcPr>
            <w:tcW w:type="dxa" w:w="1152"/>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DEC-026</w:t>
            </w:r>
          </w:p>
        </w:tc>
        <w:tc>
          <w:tcPr>
            <w:tcW w:type="dxa" w:w="252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知识与数据不同治理</w:t>
            </w:r>
          </w:p>
        </w:tc>
        <w:tc>
          <w:tcPr>
            <w:tcW w:type="dxa" w:w="568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原始受试者数据不能普通共享到 Hub</w:t>
            </w:r>
          </w:p>
        </w:tc>
        <w:tc>
          <w:tcPr>
            <w:tcW w:type="dxa" w:w="720"/>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W13</w:t>
            </w:r>
          </w:p>
        </w:tc>
      </w:tr>
      <w:tr>
        <w:trPr>
          <w:cantSplit/>
        </w:trPr>
        <w:tc>
          <w:tcPr>
            <w:tcW w:type="dxa" w:w="1152"/>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DEC-027</w:t>
            </w:r>
          </w:p>
        </w:tc>
        <w:tc>
          <w:tcPr>
            <w:tcW w:type="dxa" w:w="252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Discoverability 不等于 Accessibility</w:t>
            </w:r>
          </w:p>
        </w:tc>
        <w:tc>
          <w:tcPr>
            <w:tcW w:type="dxa" w:w="568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数据集可发现不等于获得患者级访问</w:t>
            </w:r>
          </w:p>
        </w:tc>
        <w:tc>
          <w:tcPr>
            <w:tcW w:type="dxa" w:w="720"/>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W13</w:t>
            </w:r>
          </w:p>
        </w:tc>
      </w:tr>
      <w:tr>
        <w:trPr>
          <w:cantSplit/>
        </w:trPr>
        <w:tc>
          <w:tcPr>
            <w:tcW w:type="dxa" w:w="1152"/>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DEC-028</w:t>
            </w:r>
          </w:p>
        </w:tc>
        <w:tc>
          <w:tcPr>
            <w:tcW w:type="dxa" w:w="252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支持引用派生和 Lineage</w:t>
            </w:r>
          </w:p>
        </w:tc>
        <w:tc>
          <w:tcPr>
            <w:tcW w:type="dxa" w:w="568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复用保留 Derived From</w:t>
            </w:r>
          </w:p>
        </w:tc>
        <w:tc>
          <w:tcPr>
            <w:tcW w:type="dxa" w:w="720"/>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W13</w:t>
            </w:r>
          </w:p>
        </w:tc>
      </w:tr>
      <w:tr>
        <w:trPr>
          <w:cantSplit/>
        </w:trPr>
        <w:tc>
          <w:tcPr>
            <w:tcW w:type="dxa" w:w="1152"/>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DEC-029</w:t>
            </w:r>
          </w:p>
        </w:tc>
        <w:tc>
          <w:tcPr>
            <w:tcW w:type="dxa" w:w="252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Knowledge 与 Asset 分工</w:t>
            </w:r>
          </w:p>
        </w:tc>
        <w:tc>
          <w:tcPr>
            <w:tcW w:type="dxa" w:w="568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Knowledge 是工作空间，Asset 是受治理价值对象</w:t>
            </w:r>
          </w:p>
        </w:tc>
        <w:tc>
          <w:tcPr>
            <w:tcW w:type="dxa" w:w="720"/>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W13</w:t>
            </w:r>
          </w:p>
        </w:tc>
      </w:tr>
      <w:tr>
        <w:trPr>
          <w:cantSplit/>
        </w:trPr>
        <w:tc>
          <w:tcPr>
            <w:tcW w:type="dxa" w:w="1152"/>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DEC-030</w:t>
            </w:r>
          </w:p>
        </w:tc>
        <w:tc>
          <w:tcPr>
            <w:tcW w:type="dxa" w:w="252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以 Golden Journey 驱动原型</w:t>
            </w:r>
          </w:p>
        </w:tc>
        <w:tc>
          <w:tcPr>
            <w:tcW w:type="dxa" w:w="568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不按功能清单逐页设计</w:t>
            </w:r>
          </w:p>
        </w:tc>
        <w:tc>
          <w:tcPr>
            <w:tcW w:type="dxa" w:w="720"/>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W14</w:t>
            </w:r>
          </w:p>
        </w:tc>
      </w:tr>
      <w:tr>
        <w:trPr>
          <w:cantSplit/>
        </w:trPr>
        <w:tc>
          <w:tcPr>
            <w:tcW w:type="dxa" w:w="1152"/>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DEC-031</w:t>
            </w:r>
          </w:p>
        </w:tc>
        <w:tc>
          <w:tcPr>
            <w:tcW w:type="dxa" w:w="252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教授与研究员分任务集</w:t>
            </w:r>
          </w:p>
        </w:tc>
        <w:tc>
          <w:tcPr>
            <w:tcW w:type="dxa" w:w="568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教授不验证大量日常执行页面</w:t>
            </w:r>
          </w:p>
        </w:tc>
        <w:tc>
          <w:tcPr>
            <w:tcW w:type="dxa" w:w="720"/>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W14</w:t>
            </w:r>
          </w:p>
        </w:tc>
      </w:tr>
      <w:tr>
        <w:trPr>
          <w:cantSplit/>
        </w:trPr>
        <w:tc>
          <w:tcPr>
            <w:tcW w:type="dxa" w:w="1152"/>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DEC-032</w:t>
            </w:r>
          </w:p>
        </w:tc>
        <w:tc>
          <w:tcPr>
            <w:tcW w:type="dxa" w:w="252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采用 Task Based Validation</w:t>
            </w:r>
          </w:p>
        </w:tc>
        <w:tc>
          <w:tcPr>
            <w:tcW w:type="dxa" w:w="568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6"/>
              </w:rPr>
              <w:t>记录 First Click、Wrong Turns、Time to Insight、Concept Understanding、AI Trust</w:t>
            </w:r>
          </w:p>
        </w:tc>
        <w:tc>
          <w:tcPr>
            <w:tcW w:type="dxa" w:w="720"/>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6"/>
              </w:rPr>
              <w:t>W14</w:t>
            </w:r>
          </w:p>
        </w:tc>
      </w:tr>
    </w:tbl>
    <w:p>
      <w:pPr>
        <w:keepNext w:val="0"/>
        <w:widowControl/>
        <w:spacing w:before="0" w:after="120" w:line="240" w:lineRule="auto"/>
      </w:pPr>
    </w:p>
    <w:p>
      <w:pPr>
        <w:pStyle w:val="Heading2"/>
        <w:keepNext/>
        <w:spacing w:line="276" w:lineRule="auto"/>
      </w:pPr>
      <w:r>
        <w:rPr>
          <w:rFonts w:ascii="Arial Unicode MS" w:hAnsi="Arial Unicode MS" w:eastAsia="Arial Unicode MS"/>
          <w:b/>
          <w:i w:val="0"/>
          <w:color w:val="000000"/>
          <w:sz w:val="26"/>
        </w:rPr>
        <w:t>16 2 Hypothesis Register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val="true"/>
          <w:tblHeader w:val="true"/>
        </w:trPr>
        <w:tc>
          <w:tcPr>
            <w:tcW w:type="dxa" w:w="1224"/>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ID</w:t>
            </w:r>
          </w:p>
        </w:tc>
        <w:tc>
          <w:tcPr>
            <w:tcW w:type="dxa" w:w="3600"/>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假设</w:t>
            </w:r>
          </w:p>
        </w:tc>
        <w:tc>
          <w:tcPr>
            <w:tcW w:type="dxa" w:w="4248"/>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验证说明</w:t>
            </w:r>
          </w:p>
        </w:tc>
        <w:tc>
          <w:tcPr>
            <w:tcW w:type="dxa" w:w="1007"/>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状态</w:t>
            </w:r>
          </w:p>
        </w:tc>
      </w:tr>
      <w:tr>
        <w:trPr>
          <w:cantSplit/>
        </w:trPr>
        <w:tc>
          <w:tcPr>
            <w:tcW w:type="dxa" w:w="1224"/>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HYP-001</w:t>
            </w:r>
          </w:p>
        </w:tc>
        <w:tc>
          <w:tcPr>
            <w:tcW w:type="dxa" w:w="360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Platform、Institution、Domain、Study 四层模型</w:t>
            </w:r>
          </w:p>
        </w:tc>
        <w:tc>
          <w:tcPr>
            <w:tcW w:type="dxa" w:w="424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已被 Platform、My Research、Hub、Study 模型重构</w:t>
            </w:r>
          </w:p>
        </w:tc>
        <w:tc>
          <w:tcPr>
            <w:tcW w:type="dxa" w:w="1007"/>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Reframed</w:t>
            </w:r>
          </w:p>
        </w:tc>
      </w:tr>
      <w:tr>
        <w:trPr>
          <w:cantSplit/>
        </w:trPr>
        <w:tc>
          <w:tcPr>
            <w:tcW w:type="dxa" w:w="1224"/>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HYP-002</w:t>
            </w:r>
          </w:p>
        </w:tc>
        <w:tc>
          <w:tcPr>
            <w:tcW w:type="dxa" w:w="360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九阶段 Research Lifecycle</w:t>
            </w:r>
          </w:p>
        </w:tc>
        <w:tc>
          <w:tcPr>
            <w:tcW w:type="dxa" w:w="424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已升级为 DEC-009，阶段命名调整为 Data and Quality、Produce、Accumulate</w:t>
            </w:r>
          </w:p>
        </w:tc>
        <w:tc>
          <w:tcPr>
            <w:tcW w:type="dxa" w:w="1007"/>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Promoted</w:t>
            </w:r>
          </w:p>
        </w:tc>
      </w:tr>
      <w:tr>
        <w:trPr>
          <w:cantSplit/>
        </w:trPr>
        <w:tc>
          <w:tcPr>
            <w:tcW w:type="dxa" w:w="1224"/>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HYP-003</w:t>
            </w:r>
          </w:p>
        </w:tc>
        <w:tc>
          <w:tcPr>
            <w:tcW w:type="dxa" w:w="360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My Research、Research Hub、Study 三个科研上下文</w:t>
            </w:r>
          </w:p>
        </w:tc>
        <w:tc>
          <w:tcPr>
            <w:tcW w:type="dxa" w:w="424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待教授原型验证</w:t>
            </w:r>
          </w:p>
        </w:tc>
        <w:tc>
          <w:tcPr>
            <w:tcW w:type="dxa" w:w="1007"/>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Active</w:t>
            </w:r>
          </w:p>
        </w:tc>
      </w:tr>
      <w:tr>
        <w:trPr>
          <w:cantSplit/>
        </w:trPr>
        <w:tc>
          <w:tcPr>
            <w:tcW w:type="dxa" w:w="1224"/>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HYP-004</w:t>
            </w:r>
          </w:p>
        </w:tc>
        <w:tc>
          <w:tcPr>
            <w:tcW w:type="dxa" w:w="360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科研前台与管理后台分离</w:t>
            </w:r>
          </w:p>
        </w:tc>
        <w:tc>
          <w:tcPr>
            <w:tcW w:type="dxa" w:w="424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待 IA 原型验证</w:t>
            </w:r>
          </w:p>
        </w:tc>
        <w:tc>
          <w:tcPr>
            <w:tcW w:type="dxa" w:w="1007"/>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Active</w:t>
            </w:r>
          </w:p>
        </w:tc>
      </w:tr>
      <w:tr>
        <w:trPr>
          <w:cantSplit/>
        </w:trPr>
        <w:tc>
          <w:tcPr>
            <w:tcW w:type="dxa" w:w="1224"/>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HYP-005</w:t>
            </w:r>
          </w:p>
        </w:tc>
        <w:tc>
          <w:tcPr>
            <w:tcW w:type="dxa" w:w="360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Hub IA v0.1</w:t>
            </w:r>
          </w:p>
        </w:tc>
        <w:tc>
          <w:tcPr>
            <w:tcW w:type="dxa" w:w="424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概览、Radar、Studies、Assets、AI；Network 后置</w:t>
            </w:r>
          </w:p>
        </w:tc>
        <w:tc>
          <w:tcPr>
            <w:tcW w:type="dxa" w:w="1007"/>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Active</w:t>
            </w:r>
          </w:p>
        </w:tc>
      </w:tr>
      <w:tr>
        <w:trPr>
          <w:cantSplit/>
        </w:trPr>
        <w:tc>
          <w:tcPr>
            <w:tcW w:type="dxa" w:w="1224"/>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HYP-006</w:t>
            </w:r>
          </w:p>
        </w:tc>
        <w:tc>
          <w:tcPr>
            <w:tcW w:type="dxa" w:w="360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Research Opportunity 是 Discover 到 Ideate 的核心对象</w:t>
            </w:r>
          </w:p>
        </w:tc>
        <w:tc>
          <w:tcPr>
            <w:tcW w:type="dxa" w:w="424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需验证教授是否采用</w:t>
            </w:r>
          </w:p>
        </w:tc>
        <w:tc>
          <w:tcPr>
            <w:tcW w:type="dxa" w:w="1007"/>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Active</w:t>
            </w:r>
          </w:p>
        </w:tc>
      </w:tr>
      <w:tr>
        <w:trPr>
          <w:cantSplit/>
        </w:trPr>
        <w:tc>
          <w:tcPr>
            <w:tcW w:type="dxa" w:w="1224"/>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HYP-007</w:t>
            </w:r>
          </w:p>
        </w:tc>
        <w:tc>
          <w:tcPr>
            <w:tcW w:type="dxa" w:w="360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Hub 价值在于连接领域变化、个体研究、机会和新 Study</w:t>
            </w:r>
          </w:p>
        </w:tc>
        <w:tc>
          <w:tcPr>
            <w:tcW w:type="dxa" w:w="424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需验证回访理由与行动转化</w:t>
            </w:r>
          </w:p>
        </w:tc>
        <w:tc>
          <w:tcPr>
            <w:tcW w:type="dxa" w:w="1007"/>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Active</w:t>
            </w:r>
          </w:p>
        </w:tc>
      </w:tr>
      <w:tr>
        <w:trPr>
          <w:cantSplit/>
        </w:trPr>
        <w:tc>
          <w:tcPr>
            <w:tcW w:type="dxa" w:w="1224"/>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HYP-008</w:t>
            </w:r>
          </w:p>
        </w:tc>
        <w:tc>
          <w:tcPr>
            <w:tcW w:type="dxa" w:w="360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Personalized Research Brief 优先于文献 Feed</w:t>
            </w:r>
          </w:p>
        </w:tc>
        <w:tc>
          <w:tcPr>
            <w:tcW w:type="dxa" w:w="424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需验证 Time to Insight</w:t>
            </w:r>
          </w:p>
        </w:tc>
        <w:tc>
          <w:tcPr>
            <w:tcW w:type="dxa" w:w="1007"/>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Active</w:t>
            </w:r>
          </w:p>
        </w:tc>
      </w:tr>
      <w:tr>
        <w:trPr>
          <w:cantSplit/>
        </w:trPr>
        <w:tc>
          <w:tcPr>
            <w:tcW w:type="dxa" w:w="1224"/>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HYP-009</w:t>
            </w:r>
          </w:p>
        </w:tc>
        <w:tc>
          <w:tcPr>
            <w:tcW w:type="dxa" w:w="360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Network 应基于 Research Graph 与协作关系</w:t>
            </w:r>
          </w:p>
        </w:tc>
        <w:tc>
          <w:tcPr>
            <w:tcW w:type="dxa" w:w="424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方向保留，MVP 后置</w:t>
            </w:r>
          </w:p>
        </w:tc>
        <w:tc>
          <w:tcPr>
            <w:tcW w:type="dxa" w:w="1007"/>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Later</w:t>
            </w:r>
          </w:p>
        </w:tc>
      </w:tr>
      <w:tr>
        <w:trPr>
          <w:cantSplit/>
        </w:trPr>
        <w:tc>
          <w:tcPr>
            <w:tcW w:type="dxa" w:w="1224"/>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HYP-010</w:t>
            </w:r>
          </w:p>
        </w:tc>
        <w:tc>
          <w:tcPr>
            <w:tcW w:type="dxa" w:w="360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长期 AI 壁垒来自上下文、资产、数据和证据积累</w:t>
            </w:r>
          </w:p>
        </w:tc>
        <w:tc>
          <w:tcPr>
            <w:tcW w:type="dxa" w:w="424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战略假设，需长期验证</w:t>
            </w:r>
          </w:p>
        </w:tc>
        <w:tc>
          <w:tcPr>
            <w:tcW w:type="dxa" w:w="1007"/>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Active</w:t>
            </w:r>
          </w:p>
        </w:tc>
      </w:tr>
      <w:tr>
        <w:trPr>
          <w:cantSplit/>
        </w:trPr>
        <w:tc>
          <w:tcPr>
            <w:tcW w:type="dxa" w:w="1224"/>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HYP-011</w:t>
            </w:r>
          </w:p>
        </w:tc>
        <w:tc>
          <w:tcPr>
            <w:tcW w:type="dxa" w:w="3600"/>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AI Research Artifact 是独立对象</w:t>
            </w:r>
          </w:p>
        </w:tc>
        <w:tc>
          <w:tcPr>
            <w:tcW w:type="dxa" w:w="424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需在分析和写作流程验证</w:t>
            </w:r>
          </w:p>
        </w:tc>
        <w:tc>
          <w:tcPr>
            <w:tcW w:type="dxa" w:w="1007"/>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Active</w:t>
            </w:r>
          </w:p>
        </w:tc>
      </w:tr>
      <w:tr>
        <w:trPr>
          <w:cantSplit/>
        </w:trPr>
        <w:tc>
          <w:tcPr>
            <w:tcW w:type="dxa" w:w="1224"/>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HYP-012</w:t>
            </w:r>
          </w:p>
        </w:tc>
        <w:tc>
          <w:tcPr>
            <w:tcW w:type="dxa" w:w="3600"/>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Research Attention 是 My Research 核心聚合对象</w:t>
            </w:r>
          </w:p>
        </w:tc>
        <w:tc>
          <w:tcPr>
            <w:tcW w:type="dxa" w:w="424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需验证优先级、噪音和用户理解</w:t>
            </w:r>
          </w:p>
        </w:tc>
        <w:tc>
          <w:tcPr>
            <w:tcW w:type="dxa" w:w="1007"/>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Active</w:t>
            </w:r>
          </w:p>
        </w:tc>
      </w:tr>
      <w:tr>
        <w:trPr>
          <w:cantSplit/>
        </w:trPr>
        <w:tc>
          <w:tcPr>
            <w:tcW w:type="dxa" w:w="2469"/>
            <w:vAlign w:val="center"/>
          </w:tcPr>
          <w:p>
            <w:pPr>
              <w:spacing w:after="0" w:before="0"/>
            </w:pPr>
            <w:r>
              <w:rPr>
                <w:rFonts w:ascii="Arial Unicode MS" w:hAnsi="Arial Unicode MS" w:eastAsia="Arial Unicode MS"/>
              </w:rPr>
            </w:r>
            <w:r>
              <w:rPr>
                <w:rFonts w:ascii="Arial Unicode MS" w:hAnsi="Arial Unicode MS" w:eastAsia="Arial Unicode MS"/>
                <w:b w:val="0"/>
                <w:color w:val="202124"/>
                <w:sz w:val="17"/>
              </w:rPr>
              <w:t>HYP-013</w:t>
            </w:r>
          </w:p>
        </w:tc>
        <w:tc>
          <w:tcPr>
            <w:tcW w:type="dxa" w:w="2469"/>
            <w:vAlign w:val="center"/>
          </w:tcPr>
          <w:p>
            <w:pPr>
              <w:spacing w:after="0" w:before="0"/>
            </w:pPr>
            <w:r>
              <w:rPr>
                <w:rFonts w:ascii="Arial Unicode MS" w:hAnsi="Arial Unicode MS" w:eastAsia="Arial Unicode MS"/>
              </w:rPr>
            </w:r>
            <w:r>
              <w:rPr>
                <w:rFonts w:ascii="Arial Unicode MS" w:hAnsi="Arial Unicode MS" w:eastAsia="Arial Unicode MS"/>
                <w:b w:val="0"/>
                <w:color w:val="202124"/>
                <w:sz w:val="17"/>
              </w:rPr>
              <w:t>Research Attention 的教授端分段可采用 Needs Action / Needs Attention / Worth Exploring</w:t>
            </w:r>
          </w:p>
        </w:tc>
        <w:tc>
          <w:tcPr>
            <w:tcW w:type="dxa" w:w="2469"/>
            <w:vAlign w:val="center"/>
          </w:tcPr>
          <w:p>
            <w:pPr>
              <w:spacing w:after="0" w:before="0"/>
            </w:pPr>
            <w:r>
              <w:rPr>
                <w:rFonts w:ascii="Arial Unicode MS" w:hAnsi="Arial Unicode MS" w:eastAsia="Arial Unicode MS"/>
              </w:rPr>
            </w:r>
            <w:r>
              <w:rPr>
                <w:rFonts w:ascii="Arial Unicode MS" w:hAnsi="Arial Unicode MS" w:eastAsia="Arial Unicode MS"/>
                <w:b w:val="0"/>
                <w:color w:val="202124"/>
                <w:sz w:val="17"/>
              </w:rPr>
              <w:t>以‘需要我处理 / 需要我关注 / 值得进一步探索’测试优先级与理解；暂不正式化为产品模块</w:t>
            </w:r>
          </w:p>
        </w:tc>
        <w:tc>
          <w:tcPr>
            <w:tcW w:type="dxa" w:w="2469"/>
            <w:vAlign w:val="center"/>
          </w:tcPr>
          <w:p>
            <w:pPr>
              <w:spacing w:after="0" w:before="0"/>
            </w:pPr>
            <w:r>
              <w:rPr>
                <w:rFonts w:ascii="Arial Unicode MS" w:hAnsi="Arial Unicode MS" w:eastAsia="Arial Unicode MS"/>
              </w:rPr>
            </w:r>
            <w:r>
              <w:rPr>
                <w:rFonts w:ascii="Arial Unicode MS" w:hAnsi="Arial Unicode MS" w:eastAsia="Arial Unicode MS"/>
                <w:b w:val="0"/>
                <w:color w:val="202124"/>
                <w:sz w:val="17"/>
              </w:rPr>
              <w:t>Active</w:t>
            </w:r>
          </w:p>
        </w:tc>
      </w:tr>
    </w:tbl>
    <w:p>
      <w:pPr>
        <w:keepNext w:val="0"/>
        <w:widowControl/>
        <w:spacing w:before="0" w:after="120" w:line="240" w:lineRule="auto"/>
      </w:pPr>
    </w:p>
    <w:p>
      <w:pPr>
        <w:pStyle w:val="Heading2"/>
        <w:keepNext/>
        <w:spacing w:line="276" w:lineRule="auto"/>
      </w:pPr>
      <w:r>
        <w:rPr>
          <w:rFonts w:ascii="Arial Unicode MS" w:hAnsi="Arial Unicode MS" w:eastAsia="Arial Unicode MS"/>
          <w:b/>
          <w:i w:val="0"/>
          <w:color w:val="000000"/>
          <w:sz w:val="26"/>
        </w:rPr>
        <w:t>16 3 Open Questions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val="true"/>
          <w:tblHeader w:val="true"/>
        </w:trPr>
        <w:tc>
          <w:tcPr>
            <w:tcW w:type="dxa" w:w="1224"/>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ID</w:t>
            </w:r>
          </w:p>
        </w:tc>
        <w:tc>
          <w:tcPr>
            <w:tcW w:type="dxa" w:w="2951"/>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问题</w:t>
            </w:r>
          </w:p>
        </w:tc>
        <w:tc>
          <w:tcPr>
            <w:tcW w:type="dxa" w:w="4824"/>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下一步需要确认</w:t>
            </w:r>
          </w:p>
        </w:tc>
        <w:tc>
          <w:tcPr>
            <w:tcW w:type="dxa" w:w="1080"/>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类型</w:t>
            </w:r>
          </w:p>
        </w:tc>
      </w:tr>
      <w:tr>
        <w:trPr>
          <w:cantSplit/>
        </w:trPr>
        <w:tc>
          <w:tcPr>
            <w:tcW w:type="dxa" w:w="1224"/>
            <w:tcMar>
              <w:top w:w="105" w:type="dxa"/>
              <w:start w:w="115" w:type="dxa"/>
              <w:bottom w:w="105" w:type="dxa"/>
              <w:end w:w="115" w:type="dxa"/>
            </w:tcMar>
            <w:vAlign w:val="center"/>
          </w:tcPr>
          <w:p>
            <w:pPr>
              <w:spacing w:after="0" w:before="0"/>
            </w:pPr>
            <w:r>
              <w:rPr>
                <w:rFonts w:ascii="Arial Unicode MS" w:hAnsi="Arial Unicode MS" w:eastAsia="Arial Unicode MS"/>
              </w:rPr>
            </w:r>
            <w:r>
              <w:rPr>
                <w:rFonts w:ascii="Arial Unicode MS" w:hAnsi="Arial Unicode MS" w:eastAsia="Arial Unicode MS"/>
                <w:b w:val="0"/>
                <w:color w:val="202124"/>
                <w:sz w:val="17"/>
              </w:rPr>
              <w:t>OQ-001</w:t>
            </w:r>
          </w:p>
        </w:tc>
        <w:tc>
          <w:tcPr>
            <w:tcW w:type="dxa" w:w="2951"/>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Data Ownership 与 Legal Governance</w:t>
            </w:r>
          </w:p>
        </w:tc>
        <w:tc>
          <w:tcPr>
            <w:tcW w:type="dxa" w:w="482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分别定义 Custody、Control、Access、Use、Share、Governance、Contribution</w:t>
            </w:r>
          </w:p>
        </w:tc>
        <w:tc>
          <w:tcPr>
            <w:tcW w:type="dxa" w:w="1080"/>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Governance</w:t>
            </w:r>
          </w:p>
        </w:tc>
      </w:tr>
      <w:tr>
        <w:trPr>
          <w:cantSplit/>
        </w:trPr>
        <w:tc>
          <w:tcPr>
            <w:tcW w:type="dxa" w:w="1224"/>
            <w:shd w:fill="F5F9FC"/>
            <w:tcMar>
              <w:top w:w="105" w:type="dxa"/>
              <w:start w:w="115" w:type="dxa"/>
              <w:bottom w:w="105" w:type="dxa"/>
              <w:end w:w="115" w:type="dxa"/>
            </w:tcMar>
            <w:vAlign w:val="center"/>
          </w:tcPr>
          <w:p>
            <w:pPr>
              <w:spacing w:after="0" w:before="0"/>
            </w:pPr>
            <w:r>
              <w:rPr>
                <w:rFonts w:ascii="Arial Unicode MS" w:hAnsi="Arial Unicode MS" w:eastAsia="Arial Unicode MS"/>
              </w:rPr>
            </w:r>
            <w:r>
              <w:rPr>
                <w:rFonts w:ascii="Arial Unicode MS" w:hAnsi="Arial Unicode MS" w:eastAsia="Arial Unicode MS"/>
                <w:b w:val="0"/>
                <w:color w:val="202124"/>
                <w:sz w:val="17"/>
              </w:rPr>
              <w:t>OQ-002</w:t>
            </w:r>
          </w:p>
        </w:tc>
        <w:tc>
          <w:tcPr>
            <w:tcW w:type="dxa" w:w="2951"/>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Diagnosis Agent 长期定位</w:t>
            </w:r>
          </w:p>
        </w:tc>
        <w:tc>
          <w:tcPr>
            <w:tcW w:type="dxa" w:w="482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临床决策支持与科研字段解释必须分开</w:t>
            </w:r>
          </w:p>
        </w:tc>
        <w:tc>
          <w:tcPr>
            <w:tcW w:type="dxa" w:w="1080"/>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Product</w:t>
            </w:r>
          </w:p>
        </w:tc>
      </w:tr>
      <w:tr>
        <w:trPr>
          <w:cantSplit/>
        </w:trPr>
        <w:tc>
          <w:tcPr>
            <w:tcW w:type="dxa" w:w="1224"/>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OQ-003</w:t>
            </w:r>
          </w:p>
        </w:tc>
        <w:tc>
          <w:tcPr>
            <w:tcW w:type="dxa" w:w="2951"/>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Research Hub 用户可见中文名称</w:t>
            </w:r>
          </w:p>
        </w:tc>
        <w:tc>
          <w:tcPr>
            <w:tcW w:type="dxa" w:w="482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领域研究中心、科研专题等术语需真实用户测试</w:t>
            </w:r>
          </w:p>
        </w:tc>
        <w:tc>
          <w:tcPr>
            <w:tcW w:type="dxa" w:w="1080"/>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UX</w:t>
            </w:r>
          </w:p>
        </w:tc>
      </w:tr>
      <w:tr>
        <w:trPr>
          <w:cantSplit/>
        </w:trPr>
        <w:tc>
          <w:tcPr>
            <w:tcW w:type="dxa" w:w="1224"/>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OQ-004</w:t>
            </w:r>
          </w:p>
        </w:tc>
        <w:tc>
          <w:tcPr>
            <w:tcW w:type="dxa" w:w="2951"/>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Hub 成员认证与 Study 创建政策</w:t>
            </w:r>
          </w:p>
        </w:tc>
        <w:tc>
          <w:tcPr>
            <w:tcW w:type="dxa" w:w="482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哪些用户可创建个人、单机构和多中心 Study</w:t>
            </w:r>
          </w:p>
        </w:tc>
        <w:tc>
          <w:tcPr>
            <w:tcW w:type="dxa" w:w="1080"/>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Governance</w:t>
            </w:r>
          </w:p>
        </w:tc>
      </w:tr>
      <w:tr>
        <w:trPr>
          <w:cantSplit/>
        </w:trPr>
        <w:tc>
          <w:tcPr>
            <w:tcW w:type="dxa" w:w="1224"/>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OQ-005</w:t>
            </w:r>
          </w:p>
        </w:tc>
        <w:tc>
          <w:tcPr>
            <w:tcW w:type="dxa" w:w="2951"/>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Hub Academic Governance</w:t>
            </w:r>
          </w:p>
        </w:tc>
        <w:tc>
          <w:tcPr>
            <w:tcW w:type="dxa" w:w="482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学术委员会、资产推荐标准和版本治理的责任边界</w:t>
            </w:r>
          </w:p>
        </w:tc>
        <w:tc>
          <w:tcPr>
            <w:tcW w:type="dxa" w:w="1080"/>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Governance</w:t>
            </w:r>
          </w:p>
        </w:tc>
      </w:tr>
      <w:tr>
        <w:trPr>
          <w:cantSplit/>
        </w:trPr>
        <w:tc>
          <w:tcPr>
            <w:tcW w:type="dxa" w:w="1224"/>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OQ-006</w:t>
            </w:r>
          </w:p>
        </w:tc>
        <w:tc>
          <w:tcPr>
            <w:tcW w:type="dxa" w:w="2951"/>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Radar 数据源与许可</w:t>
            </w:r>
          </w:p>
        </w:tc>
        <w:tc>
          <w:tcPr>
            <w:tcW w:type="dxa" w:w="482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外部数据库接入、更新频率、版权、摘要和证据链接</w:t>
            </w:r>
          </w:p>
        </w:tc>
        <w:tc>
          <w:tcPr>
            <w:tcW w:type="dxa" w:w="1080"/>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Data</w:t>
            </w:r>
          </w:p>
        </w:tc>
      </w:tr>
      <w:tr>
        <w:trPr>
          <w:cantSplit/>
        </w:trPr>
        <w:tc>
          <w:tcPr>
            <w:tcW w:type="dxa" w:w="1224"/>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OQ-007</w:t>
            </w:r>
          </w:p>
        </w:tc>
        <w:tc>
          <w:tcPr>
            <w:tcW w:type="dxa" w:w="2951"/>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Opportunity 生成标准</w:t>
            </w:r>
          </w:p>
        </w:tc>
        <w:tc>
          <w:tcPr>
            <w:tcW w:type="dxa" w:w="482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相关性、证据量、时间范围、置信度和误报反馈</w:t>
            </w:r>
          </w:p>
        </w:tc>
        <w:tc>
          <w:tcPr>
            <w:tcW w:type="dxa" w:w="1080"/>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AI</w:t>
            </w:r>
          </w:p>
        </w:tc>
      </w:tr>
      <w:tr>
        <w:trPr>
          <w:cantSplit/>
        </w:trPr>
        <w:tc>
          <w:tcPr>
            <w:tcW w:type="dxa" w:w="1224"/>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OQ-008</w:t>
            </w:r>
          </w:p>
        </w:tc>
        <w:tc>
          <w:tcPr>
            <w:tcW w:type="dxa" w:w="2951"/>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AI 运行审计</w:t>
            </w:r>
          </w:p>
        </w:tc>
        <w:tc>
          <w:tcPr>
            <w:tcW w:type="dxa" w:w="482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模型版本、Prompt、检索来源、运行记录、保留周期和可见范围</w:t>
            </w:r>
          </w:p>
        </w:tc>
        <w:tc>
          <w:tcPr>
            <w:tcW w:type="dxa" w:w="1080"/>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AI</w:t>
            </w:r>
          </w:p>
        </w:tc>
      </w:tr>
      <w:tr>
        <w:trPr>
          <w:cantSplit/>
        </w:trPr>
        <w:tc>
          <w:tcPr>
            <w:tcW w:type="dxa" w:w="1224"/>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OQ-009</w:t>
            </w:r>
          </w:p>
        </w:tc>
        <w:tc>
          <w:tcPr>
            <w:tcW w:type="dxa" w:w="2951"/>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Study 迁移策略</w:t>
            </w:r>
          </w:p>
        </w:tc>
        <w:tc>
          <w:tcPr>
            <w:tcW w:type="dxa" w:w="482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现有数据、页面、权限和工作流如何渐进迁移</w:t>
            </w:r>
          </w:p>
        </w:tc>
        <w:tc>
          <w:tcPr>
            <w:tcW w:type="dxa" w:w="1080"/>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Delivery</w:t>
            </w:r>
          </w:p>
        </w:tc>
      </w:tr>
      <w:tr>
        <w:trPr>
          <w:cantSplit/>
        </w:trPr>
        <w:tc>
          <w:tcPr>
            <w:tcW w:type="dxa" w:w="1224"/>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OQ-010</w:t>
            </w:r>
          </w:p>
        </w:tc>
        <w:tc>
          <w:tcPr>
            <w:tcW w:type="dxa" w:w="2951"/>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Research Attention 规则</w:t>
            </w:r>
          </w:p>
        </w:tc>
        <w:tc>
          <w:tcPr>
            <w:tcW w:type="dxa" w:w="482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优先级、去重、聚合、关闭和误报反馈</w:t>
            </w:r>
          </w:p>
        </w:tc>
        <w:tc>
          <w:tcPr>
            <w:tcW w:type="dxa" w:w="1080"/>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Product</w:t>
            </w:r>
          </w:p>
        </w:tc>
      </w:tr>
      <w:tr>
        <w:trPr>
          <w:cantSplit/>
        </w:trPr>
        <w:tc>
          <w:tcPr>
            <w:tcW w:type="dxa" w:w="1224"/>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OQ-011</w:t>
            </w:r>
          </w:p>
        </w:tc>
        <w:tc>
          <w:tcPr>
            <w:tcW w:type="dxa" w:w="2951"/>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随访渠道和患者关系</w:t>
            </w:r>
          </w:p>
        </w:tc>
        <w:tc>
          <w:tcPr>
            <w:tcW w:type="dxa" w:w="4824"/>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企业微信、短信、电话、链接的角色与机构边界</w:t>
            </w:r>
          </w:p>
        </w:tc>
        <w:tc>
          <w:tcPr>
            <w:tcW w:type="dxa" w:w="1080"/>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Product</w:t>
            </w:r>
          </w:p>
        </w:tc>
      </w:tr>
      <w:tr>
        <w:trPr>
          <w:cantSplit/>
        </w:trPr>
        <w:tc>
          <w:tcPr>
            <w:tcW w:type="dxa" w:w="1224"/>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OQ-012</w:t>
            </w:r>
          </w:p>
        </w:tc>
        <w:tc>
          <w:tcPr>
            <w:tcW w:type="dxa" w:w="2951"/>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Asset 访问撤回与版本责任</w:t>
            </w:r>
          </w:p>
        </w:tc>
        <w:tc>
          <w:tcPr>
            <w:tcW w:type="dxa" w:w="4824"/>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7"/>
              </w:rPr>
              <w:t>共享后撤回、弃用、替代版本和引用影响</w:t>
            </w:r>
          </w:p>
        </w:tc>
        <w:tc>
          <w:tcPr>
            <w:tcW w:type="dxa" w:w="1080"/>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Governance</w:t>
            </w:r>
          </w:p>
        </w:tc>
      </w:tr>
      <w:tr>
        <w:trPr>
          <w:cantSplit/>
        </w:trPr>
        <w:tc>
          <w:tcPr>
            <w:tcW w:type="dxa" w:w="1224"/>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OQ-013</w:t>
            </w:r>
          </w:p>
        </w:tc>
        <w:tc>
          <w:tcPr>
            <w:tcW w:type="dxa" w:w="2951"/>
            <w:tcMar>
              <w:top w:w="105" w:type="dxa"/>
              <w:start w:w="115" w:type="dxa"/>
              <w:bottom w:w="105" w:type="dxa"/>
              <w:end w:w="115" w:type="dxa"/>
            </w:tcMar>
            <w:vAlign w:val="center"/>
          </w:tcPr>
          <w:p>
            <w:pPr>
              <w:spacing w:after="0" w:before="0"/>
            </w:pPr>
            <w:r>
              <w:rPr>
                <w:rFonts w:ascii="Arial Unicode MS" w:hAnsi="Arial Unicode MS" w:eastAsia="Arial Unicode MS"/>
              </w:rPr>
            </w:r>
            <w:r>
              <w:rPr>
                <w:rFonts w:ascii="Arial Unicode MS" w:hAnsi="Arial Unicode MS" w:eastAsia="Arial Unicode MS"/>
                <w:b w:val="0"/>
                <w:color w:val="202124"/>
                <w:sz w:val="18"/>
              </w:rPr>
              <w:t>多轮可用性基线与样本结构</w:t>
            </w:r>
          </w:p>
        </w:tc>
        <w:tc>
          <w:tcPr>
            <w:tcW w:type="dxa" w:w="4824"/>
            <w:tcMar>
              <w:top w:w="105" w:type="dxa"/>
              <w:start w:w="115" w:type="dxa"/>
              <w:bottom w:w="105" w:type="dxa"/>
              <w:end w:w="115" w:type="dxa"/>
            </w:tcMar>
            <w:vAlign w:val="center"/>
          </w:tcPr>
          <w:p>
            <w:pPr>
              <w:spacing w:after="0" w:before="0"/>
            </w:pPr>
            <w:r>
              <w:rPr>
                <w:rFonts w:ascii="Arial Unicode MS" w:hAnsi="Arial Unicode MS" w:eastAsia="Arial Unicode MS"/>
              </w:rPr>
            </w:r>
            <w:r>
              <w:rPr>
                <w:rFonts w:ascii="Arial Unicode MS" w:hAnsi="Arial Unicode MS" w:eastAsia="Arial Unicode MS"/>
                <w:b w:val="0"/>
                <w:color w:val="202124"/>
                <w:sz w:val="16"/>
              </w:rPr>
              <w:t>Session #1 仅产出方向性证据；后续再定义样本、阈值、Time to Insight 与 AI Trust 评价基线</w:t>
            </w:r>
          </w:p>
        </w:tc>
        <w:tc>
          <w:tcPr>
            <w:tcW w:type="dxa" w:w="1080"/>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Research</w:t>
            </w:r>
          </w:p>
        </w:tc>
      </w:tr>
      <w:tr>
        <w:trPr>
          <w:cantSplit/>
        </w:trPr>
        <w:tc>
          <w:tcPr>
            <w:tcW w:type="dxa" w:w="1224"/>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OQ-014</w:t>
            </w:r>
          </w:p>
        </w:tc>
        <w:tc>
          <w:tcPr>
            <w:tcW w:type="dxa" w:w="2951"/>
            <w:shd w:fill="F5F9FC"/>
            <w:tcMar>
              <w:top w:w="105" w:type="dxa"/>
              <w:start w:w="115" w:type="dxa"/>
              <w:bottom w:w="105" w:type="dxa"/>
              <w:end w:w="115" w:type="dxa"/>
            </w:tcMar>
            <w:vAlign w:val="center"/>
          </w:tcPr>
          <w:p>
            <w:pPr>
              <w:spacing w:after="0" w:before="0"/>
            </w:pPr>
            <w:r>
              <w:rPr>
                <w:rFonts w:ascii="Arial Unicode MS" w:hAnsi="Arial Unicode MS" w:eastAsia="Arial Unicode MS"/>
              </w:rPr>
            </w:r>
            <w:r>
              <w:rPr>
                <w:rFonts w:ascii="Arial Unicode MS" w:hAnsi="Arial Unicode MS" w:eastAsia="Arial Unicode MS"/>
                <w:b w:val="0"/>
                <w:color w:val="202124"/>
                <w:sz w:val="18"/>
              </w:rPr>
              <w:t>成功指标框架</w:t>
            </w:r>
          </w:p>
        </w:tc>
        <w:tc>
          <w:tcPr>
            <w:tcW w:type="dxa" w:w="4824"/>
            <w:shd w:fill="F5F9FC"/>
            <w:tcMar>
              <w:top w:w="105" w:type="dxa"/>
              <w:start w:w="115" w:type="dxa"/>
              <w:bottom w:w="105" w:type="dxa"/>
              <w:end w:w="115" w:type="dxa"/>
            </w:tcMar>
            <w:vAlign w:val="center"/>
          </w:tcPr>
          <w:p>
            <w:pPr>
              <w:spacing w:after="0" w:before="0"/>
            </w:pPr>
            <w:r>
              <w:rPr>
                <w:rFonts w:ascii="Arial Unicode MS" w:hAnsi="Arial Unicode MS" w:eastAsia="Arial Unicode MS"/>
              </w:rPr>
            </w:r>
            <w:r>
              <w:rPr>
                <w:rFonts w:ascii="Arial Unicode MS" w:hAnsi="Arial Unicode MS" w:eastAsia="Arial Unicode MS"/>
                <w:b w:val="0"/>
                <w:color w:val="202124"/>
                <w:sz w:val="15"/>
              </w:rPr>
              <w:t>待建立三层框架且不设本版目标值：Product Adoption（TTI、Attention→Action、Brief→Evidence、Opportunity→Question、Question→Study）；Research Workflow Value（Protocol 设置、访视完成、数据确认、Query 关闭、分析准备）；Research Network / Asset Value（复用、派生 Study、跨团队使用、Hub 回访、领域资产积累）</w:t>
            </w:r>
          </w:p>
        </w:tc>
        <w:tc>
          <w:tcPr>
            <w:tcW w:type="dxa" w:w="1080"/>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7"/>
              </w:rPr>
              <w:t>Product</w:t>
            </w:r>
          </w:p>
        </w:tc>
      </w:tr>
      <w:tr>
        <w:trPr>
          <w:cantSplit/>
        </w:trPr>
        <w:tc>
          <w:tcPr>
            <w:tcW w:type="dxa" w:w="2469"/>
            <w:vAlign w:val="center"/>
          </w:tcPr>
          <w:p>
            <w:pPr>
              <w:spacing w:after="0" w:before="0"/>
            </w:pPr>
            <w:r>
              <w:rPr>
                <w:rFonts w:ascii="Arial Unicode MS" w:hAnsi="Arial Unicode MS" w:eastAsia="Arial Unicode MS"/>
              </w:rPr>
            </w:r>
            <w:r>
              <w:rPr>
                <w:rFonts w:ascii="Arial Unicode MS" w:hAnsi="Arial Unicode MS" w:eastAsia="Arial Unicode MS"/>
                <w:b w:val="0"/>
                <w:color w:val="202124"/>
                <w:sz w:val="17"/>
              </w:rPr>
              <w:t>OQ-015</w:t>
            </w:r>
          </w:p>
        </w:tc>
        <w:tc>
          <w:tcPr>
            <w:tcW w:type="dxa" w:w="2469"/>
            <w:vAlign w:val="center"/>
          </w:tcPr>
          <w:p>
            <w:pPr>
              <w:spacing w:after="0" w:before="0"/>
            </w:pPr>
            <w:r>
              <w:rPr>
                <w:rFonts w:ascii="Arial Unicode MS" w:hAnsi="Arial Unicode MS" w:eastAsia="Arial Unicode MS"/>
              </w:rPr>
            </w:r>
            <w:r>
              <w:rPr>
                <w:rFonts w:ascii="Arial Unicode MS" w:hAnsi="Arial Unicode MS" w:eastAsia="Arial Unicode MS"/>
                <w:b w:val="0"/>
                <w:color w:val="202124"/>
                <w:sz w:val="17"/>
              </w:rPr>
              <w:t>Study ↔ Hub Association Policy</w:t>
            </w:r>
          </w:p>
        </w:tc>
        <w:tc>
          <w:tcPr>
            <w:tcW w:type="dxa" w:w="2469"/>
            <w:vAlign w:val="center"/>
          </w:tcPr>
          <w:p>
            <w:pPr>
              <w:spacing w:after="0" w:before="0"/>
            </w:pPr>
            <w:r>
              <w:rPr>
                <w:rFonts w:ascii="Arial Unicode MS" w:hAnsi="Arial Unicode MS" w:eastAsia="Arial Unicode MS"/>
              </w:rPr>
            </w:r>
            <w:r>
              <w:rPr>
                <w:rFonts w:ascii="Arial Unicode MS" w:hAnsi="Arial Unicode MS" w:eastAsia="Arial Unicode MS"/>
                <w:b w:val="0"/>
                <w:color w:val="202124"/>
                <w:sz w:val="17"/>
              </w:rPr>
              <w:t>确认关联是否可选、一个 Study 是否可关联多个 Hub、谁可授权；对象可发现性与内容/数据访问权必须分开</w:t>
            </w:r>
          </w:p>
        </w:tc>
        <w:tc>
          <w:tcPr>
            <w:tcW w:type="dxa" w:w="2469"/>
            <w:vAlign w:val="center"/>
          </w:tcPr>
          <w:p>
            <w:pPr>
              <w:spacing w:after="0" w:before="0"/>
            </w:pPr>
            <w:r>
              <w:rPr>
                <w:rFonts w:ascii="Arial Unicode MS" w:hAnsi="Arial Unicode MS" w:eastAsia="Arial Unicode MS"/>
              </w:rPr>
            </w:r>
            <w:r>
              <w:rPr>
                <w:rFonts w:ascii="Arial Unicode MS" w:hAnsi="Arial Unicode MS" w:eastAsia="Arial Unicode MS"/>
                <w:b w:val="0"/>
                <w:color w:val="202124"/>
                <w:sz w:val="17"/>
              </w:rPr>
              <w:t>Governance</w:t>
            </w:r>
          </w:p>
        </w:tc>
      </w:tr>
      <w:tr>
        <w:trPr>
          <w:cantSplit/>
        </w:trPr>
        <w:tc>
          <w:tcPr>
            <w:tcW w:type="dxa" w:w="2469"/>
            <w:vAlign w:val="center"/>
          </w:tcPr>
          <w:p>
            <w:pPr>
              <w:spacing w:after="0" w:before="0"/>
            </w:pPr>
            <w:r>
              <w:rPr>
                <w:rFonts w:ascii="Arial Unicode MS" w:hAnsi="Arial Unicode MS" w:eastAsia="Arial Unicode MS"/>
              </w:rPr>
            </w:r>
            <w:r>
              <w:rPr>
                <w:rFonts w:ascii="Arial Unicode MS" w:hAnsi="Arial Unicode MS" w:eastAsia="Arial Unicode MS"/>
                <w:b w:val="0"/>
                <w:color w:val="202124"/>
                <w:sz w:val="17"/>
              </w:rPr>
              <w:t>OQ-016</w:t>
            </w:r>
          </w:p>
        </w:tc>
        <w:tc>
          <w:tcPr>
            <w:tcW w:type="dxa" w:w="2469"/>
            <w:vAlign w:val="center"/>
          </w:tcPr>
          <w:p>
            <w:pPr>
              <w:spacing w:after="0" w:before="0"/>
            </w:pPr>
            <w:r>
              <w:rPr>
                <w:rFonts w:ascii="Arial Unicode MS" w:hAnsi="Arial Unicode MS" w:eastAsia="Arial Unicode MS"/>
              </w:rPr>
            </w:r>
            <w:r>
              <w:rPr>
                <w:rFonts w:ascii="Arial Unicode MS" w:hAnsi="Arial Unicode MS" w:eastAsia="Arial Unicode MS"/>
                <w:b w:val="0"/>
                <w:color w:val="202124"/>
                <w:sz w:val="17"/>
              </w:rPr>
              <w:t>Research Question Production Model</w:t>
            </w:r>
          </w:p>
        </w:tc>
        <w:tc>
          <w:tcPr>
            <w:tcW w:type="dxa" w:w="2469"/>
            <w:vAlign w:val="center"/>
          </w:tcPr>
          <w:p>
            <w:pPr>
              <w:spacing w:after="0" w:before="0"/>
            </w:pPr>
            <w:r>
              <w:rPr>
                <w:rFonts w:ascii="Arial Unicode MS" w:hAnsi="Arial Unicode MS" w:eastAsia="Arial Unicode MS"/>
              </w:rPr>
            </w:r>
            <w:r>
              <w:rPr>
                <w:rFonts w:ascii="Arial Unicode MS" w:hAnsi="Arial Unicode MS" w:eastAsia="Arial Unicode MS"/>
                <w:b w:val="0"/>
                <w:color w:val="202124"/>
                <w:sz w:val="17"/>
              </w:rPr>
              <w:t>在 Detailed Spec 中确认 Question 的 Ownership、Collaboration、Version 与 Lifecycle State；本版不预设复杂状态机</w:t>
            </w:r>
          </w:p>
        </w:tc>
        <w:tc>
          <w:tcPr>
            <w:tcW w:type="dxa" w:w="2469"/>
            <w:vAlign w:val="center"/>
          </w:tcPr>
          <w:p>
            <w:pPr>
              <w:spacing w:after="0" w:before="0"/>
            </w:pPr>
            <w:r>
              <w:rPr>
                <w:rFonts w:ascii="Arial Unicode MS" w:hAnsi="Arial Unicode MS" w:eastAsia="Arial Unicode MS"/>
              </w:rPr>
            </w:r>
            <w:r>
              <w:rPr>
                <w:rFonts w:ascii="Arial Unicode MS" w:hAnsi="Arial Unicode MS" w:eastAsia="Arial Unicode MS"/>
                <w:b w:val="0"/>
                <w:color w:val="202124"/>
                <w:sz w:val="17"/>
              </w:rPr>
              <w:t>Product</w:t>
            </w:r>
          </w:p>
        </w:tc>
      </w:tr>
    </w:tbl>
    <w:p>
      <w:pPr>
        <w:keepNext w:val="0"/>
        <w:widowControl/>
        <w:spacing w:before="0" w:after="120" w:line="240" w:lineRule="auto"/>
      </w:pPr>
    </w:p>
    <w:p>
      <w:pPr>
        <w:pStyle w:val="Heading2"/>
        <w:keepNext/>
        <w:spacing w:line="276" w:lineRule="auto"/>
      </w:pPr>
      <w:r>
        <w:rPr>
          <w:rFonts w:ascii="Arial Unicode MS" w:hAnsi="Arial Unicode MS" w:eastAsia="Arial Unicode MS"/>
          <w:b/>
          <w:i w:val="0"/>
          <w:color w:val="000000"/>
          <w:sz w:val="26"/>
        </w:rPr>
        <w:t>16 4 Later Register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tblHeader w:val="true"/>
        </w:trPr>
        <w:tc>
          <w:tcPr>
            <w:tcW w:type="dxa" w:w="1728"/>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ID</w:t>
            </w:r>
          </w:p>
        </w:tc>
        <w:tc>
          <w:tcPr>
            <w:tcW w:type="dxa" w:w="8352"/>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后置能力</w:t>
            </w:r>
          </w:p>
        </w:tc>
      </w:tr>
      <w:tr>
        <w:trPr>
          <w:cantSplit/>
        </w:trPr>
        <w:tc>
          <w:tcPr>
            <w:tcW w:type="dxa" w:w="1728"/>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LATER-01</w:t>
            </w:r>
          </w:p>
        </w:tc>
        <w:tc>
          <w:tcPr>
            <w:tcW w:type="dxa" w:w="8352"/>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完整 Research Network 与社区功能</w:t>
            </w:r>
          </w:p>
        </w:tc>
      </w:tr>
      <w:tr>
        <w:trPr>
          <w:cantSplit/>
        </w:trPr>
        <w:tc>
          <w:tcPr>
            <w:tcW w:type="dxa" w:w="1728"/>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LATER-02</w:t>
            </w:r>
          </w:p>
        </w:tc>
        <w:tc>
          <w:tcPr>
            <w:tcW w:type="dxa" w:w="8352"/>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完整 Research Graph 与 Asset Lineage 可视化</w:t>
            </w:r>
          </w:p>
        </w:tc>
      </w:tr>
      <w:tr>
        <w:trPr>
          <w:cantSplit/>
        </w:trPr>
        <w:tc>
          <w:tcPr>
            <w:tcW w:type="dxa" w:w="1728"/>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LATER-03</w:t>
            </w:r>
          </w:p>
        </w:tc>
        <w:tc>
          <w:tcPr>
            <w:tcW w:type="dxa" w:w="8352"/>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完整 AI Protocol Designer</w:t>
            </w:r>
          </w:p>
        </w:tc>
      </w:tr>
      <w:tr>
        <w:trPr>
          <w:cantSplit/>
        </w:trPr>
        <w:tc>
          <w:tcPr>
            <w:tcW w:type="dxa" w:w="1728"/>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LATER-04</w:t>
            </w:r>
          </w:p>
        </w:tc>
        <w:tc>
          <w:tcPr>
            <w:tcW w:type="dxa" w:w="8352"/>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复杂趋势预测、影响力排名和科研热点大屏</w:t>
            </w:r>
          </w:p>
        </w:tc>
      </w:tr>
      <w:tr>
        <w:trPr>
          <w:cantSplit/>
        </w:trPr>
        <w:tc>
          <w:tcPr>
            <w:tcW w:type="dxa" w:w="1728"/>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LATER-05</w:t>
            </w:r>
          </w:p>
        </w:tc>
        <w:tc>
          <w:tcPr>
            <w:tcW w:type="dxa" w:w="8352"/>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跨机构 Domain Dataset 完整治理和数据使用流程</w:t>
            </w:r>
          </w:p>
        </w:tc>
      </w:tr>
      <w:tr>
        <w:trPr>
          <w:cantSplit/>
        </w:trPr>
        <w:tc>
          <w:tcPr>
            <w:tcW w:type="dxa" w:w="1728"/>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LATER-06</w:t>
            </w:r>
          </w:p>
        </w:tc>
        <w:tc>
          <w:tcPr>
            <w:tcW w:type="dxa" w:w="8352"/>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Domain Recommended Asset 专家委员会工作流</w:t>
            </w:r>
          </w:p>
        </w:tc>
      </w:tr>
      <w:tr>
        <w:trPr>
          <w:cantSplit/>
        </w:trPr>
        <w:tc>
          <w:tcPr>
            <w:tcW w:type="dxa" w:w="1728"/>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LATER-07</w:t>
            </w:r>
          </w:p>
        </w:tc>
        <w:tc>
          <w:tcPr>
            <w:tcW w:type="dxa" w:w="8352"/>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硬件设备接入</w:t>
            </w:r>
          </w:p>
        </w:tc>
      </w:tr>
      <w:tr>
        <w:trPr>
          <w:cantSplit/>
        </w:trPr>
        <w:tc>
          <w:tcPr>
            <w:tcW w:type="dxa" w:w="1728"/>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LATER-08</w:t>
            </w:r>
          </w:p>
        </w:tc>
        <w:tc>
          <w:tcPr>
            <w:tcW w:type="dxa" w:w="8352"/>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多病种或多专科同时扩张</w:t>
            </w:r>
          </w:p>
        </w:tc>
      </w:tr>
      <w:tr>
        <w:trPr>
          <w:cantSplit/>
        </w:trPr>
        <w:tc>
          <w:tcPr>
            <w:tcW w:type="dxa" w:w="4939"/>
            <w:vAlign w:val="center"/>
          </w:tcPr>
          <w:p>
            <w:pPr>
              <w:spacing w:after="0" w:before="0"/>
            </w:pPr>
            <w:r>
              <w:rPr>
                <w:rFonts w:ascii="Arial Unicode MS" w:hAnsi="Arial Unicode MS" w:eastAsia="Arial Unicode MS"/>
              </w:rPr>
            </w:r>
            <w:r>
              <w:rPr>
                <w:rFonts w:ascii="Arial Unicode MS" w:hAnsi="Arial Unicode MS" w:eastAsia="Arial Unicode MS"/>
                <w:b w:val="0"/>
                <w:color w:val="202124"/>
                <w:sz w:val="17"/>
              </w:rPr>
              <w:t>LATER-09</w:t>
            </w:r>
          </w:p>
        </w:tc>
        <w:tc>
          <w:tcPr>
            <w:tcW w:type="dxa" w:w="4939"/>
            <w:vAlign w:val="center"/>
          </w:tcPr>
          <w:p>
            <w:pPr>
              <w:spacing w:after="0" w:before="0"/>
            </w:pPr>
            <w:r>
              <w:rPr>
                <w:rFonts w:ascii="Arial Unicode MS" w:hAnsi="Arial Unicode MS" w:eastAsia="Arial Unicode MS"/>
              </w:rPr>
            </w:r>
            <w:r>
              <w:rPr>
                <w:rFonts w:ascii="Arial Unicode MS" w:hAnsi="Arial Unicode MS" w:eastAsia="Arial Unicode MS"/>
                <w:b w:val="0"/>
                <w:color w:val="202124"/>
                <w:sz w:val="17"/>
              </w:rPr>
              <w:t>Institution Knowledge 独立层及其责任、范围、继承和治理模型</w:t>
            </w:r>
          </w:p>
        </w:tc>
      </w:tr>
    </w:tbl>
    <w:p>
      <w:pPr>
        <w:keepNext w:val="0"/>
        <w:widowControl/>
        <w:spacing w:before="0" w:after="120" w:line="240" w:lineRule="auto"/>
      </w:pPr>
    </w:p>
    <w:p>
      <w:pPr>
        <w:pStyle w:val="Heading1"/>
        <w:keepNext/>
        <w:pageBreakBefore/>
        <w:spacing w:line="276" w:lineRule="auto" w:before="160" w:after="160"/>
      </w:pPr>
      <w:r>
        <w:rPr>
          <w:rFonts w:ascii="Arial Unicode MS" w:hAnsi="Arial Unicode MS" w:eastAsia="Arial Unicode MS"/>
          <w:b/>
          <w:i w:val="0"/>
          <w:color w:val="000000"/>
          <w:sz w:val="33"/>
        </w:rPr>
        <w:t>17 原型阶段下一步</w:t>
      </w:r>
    </w:p>
    <w:p>
      <w:pPr>
        <w:pStyle w:val="Heading2"/>
        <w:keepNext/>
        <w:spacing w:line="276" w:lineRule="auto"/>
      </w:pPr>
      <w:r>
        <w:rPr>
          <w:rFonts w:ascii="Arial Unicode MS" w:hAnsi="Arial Unicode MS" w:eastAsia="Arial Unicode MS"/>
          <w:b/>
          <w:i w:val="0"/>
          <w:color w:val="000000"/>
          <w:sz w:val="26"/>
        </w:rPr>
        <w:t>17 1 Prototype Workshop 01</w:t>
      </w:r>
    </w:p>
    <w:p>
      <w:pPr>
        <w:keepNext w:val="0"/>
        <w:widowControl/>
        <w:spacing w:before="0" w:after="140" w:line="317" w:lineRule="auto"/>
      </w:pPr>
      <w:r>
        <w:rPr>
          <w:rFonts w:ascii="Arial Unicode MS" w:hAnsi="Arial Unicode MS" w:eastAsia="Arial Unicode MS"/>
          <w:b w:val="0"/>
          <w:i w:val="0"/>
          <w:color w:val="000000"/>
          <w:sz w:val="22"/>
        </w:rPr>
        <w:t>下一阶段首先冻结首轮原型覆盖面和 Screen Map。建议控制在 12 至 15 个关键页面或状态，覆盖 Golden Journeys 的决策节点，不设计完整后台。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blHeader w:val="true"/>
        </w:trPr>
        <w:tc>
          <w:tcPr>
            <w:tcW w:type="dxa" w:w="936"/>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编号</w:t>
            </w:r>
          </w:p>
        </w:tc>
        <w:tc>
          <w:tcPr>
            <w:tcW w:type="dxa" w:w="3096"/>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页面或状态</w:t>
            </w:r>
          </w:p>
        </w:tc>
        <w:tc>
          <w:tcPr>
            <w:tcW w:type="dxa" w:w="6048"/>
            <w:shd w:fill="17365D"/>
            <w:tcMar>
              <w:top w:w="115" w:type="dxa"/>
              <w:start w:w="115" w:type="dxa"/>
              <w:bottom w:w="115" w:type="dxa"/>
              <w:end w:w="115" w:type="dxa"/>
            </w:tcMar>
            <w:vAlign w:val="center"/>
          </w:tcPr>
          <w:p>
            <w:pPr>
              <w:keepNext w:val="0"/>
              <w:widowControl/>
              <w:spacing w:before="0" w:after="0" w:line="269" w:lineRule="auto"/>
              <w:jc w:val="center"/>
            </w:pPr>
            <w:r>
              <w:rPr>
                <w:rFonts w:ascii="Arial Unicode MS" w:hAnsi="Arial Unicode MS" w:eastAsia="Arial Unicode MS"/>
                <w:b/>
                <w:i w:val="0"/>
                <w:color w:val="FFFFFF"/>
                <w:sz w:val="19"/>
              </w:rPr>
              <w:t>核心验证内容</w:t>
            </w:r>
          </w:p>
        </w:tc>
      </w:tr>
      <w:tr>
        <w:trPr>
          <w:cantSplit/>
        </w:trPr>
        <w:tc>
          <w:tcPr>
            <w:tcW w:type="dxa" w:w="936"/>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01</w:t>
            </w:r>
          </w:p>
        </w:tc>
        <w:tc>
          <w:tcPr>
            <w:tcW w:type="dxa" w:w="309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My Research PI</w:t>
            </w:r>
          </w:p>
        </w:tc>
        <w:tc>
          <w:tcPr>
            <w:tcW w:type="dxa" w:w="604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Research Inbox、Portfolio、Brief、AI</w:t>
            </w:r>
          </w:p>
        </w:tc>
      </w:tr>
      <w:tr>
        <w:trPr>
          <w:cantSplit/>
        </w:trPr>
        <w:tc>
          <w:tcPr>
            <w:tcW w:type="dxa" w:w="936"/>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02</w:t>
            </w:r>
          </w:p>
        </w:tc>
        <w:tc>
          <w:tcPr>
            <w:tcW w:type="dxa" w:w="3096"/>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My Research Researcher</w:t>
            </w:r>
          </w:p>
        </w:tc>
        <w:tc>
          <w:tcPr>
            <w:tcW w:type="dxa" w:w="604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Today’s Work、待确认、即将逾期</w:t>
            </w:r>
          </w:p>
        </w:tc>
      </w:tr>
      <w:tr>
        <w:trPr>
          <w:cantSplit/>
        </w:trPr>
        <w:tc>
          <w:tcPr>
            <w:tcW w:type="dxa" w:w="936"/>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03</w:t>
            </w:r>
          </w:p>
        </w:tc>
        <w:tc>
          <w:tcPr>
            <w:tcW w:type="dxa" w:w="309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Research Hub Overview</w:t>
            </w:r>
          </w:p>
        </w:tc>
        <w:tc>
          <w:tcPr>
            <w:tcW w:type="dxa" w:w="604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领域价值、个体相关性和下一步</w:t>
            </w:r>
          </w:p>
        </w:tc>
      </w:tr>
      <w:tr>
        <w:trPr>
          <w:cantSplit/>
        </w:trPr>
        <w:tc>
          <w:tcPr>
            <w:tcW w:type="dxa" w:w="936"/>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04</w:t>
            </w:r>
          </w:p>
        </w:tc>
        <w:tc>
          <w:tcPr>
            <w:tcW w:type="dxa" w:w="3096"/>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Research Radar Brief</w:t>
            </w:r>
          </w:p>
        </w:tc>
        <w:tc>
          <w:tcPr>
            <w:tcW w:type="dxa" w:w="604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本周变化、相关性和 Evidence</w:t>
            </w:r>
          </w:p>
        </w:tc>
      </w:tr>
      <w:tr>
        <w:trPr>
          <w:cantSplit/>
        </w:trPr>
        <w:tc>
          <w:tcPr>
            <w:tcW w:type="dxa" w:w="936"/>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05</w:t>
            </w:r>
          </w:p>
        </w:tc>
        <w:tc>
          <w:tcPr>
            <w:tcW w:type="dxa" w:w="309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Evidence Detail</w:t>
            </w:r>
          </w:p>
        </w:tc>
        <w:tc>
          <w:tcPr>
            <w:tcW w:type="dxa" w:w="604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来源、摘要、与研究的关系</w:t>
            </w:r>
          </w:p>
        </w:tc>
      </w:tr>
      <w:tr>
        <w:trPr>
          <w:cantSplit/>
        </w:trPr>
        <w:tc>
          <w:tcPr>
            <w:tcW w:type="dxa" w:w="936"/>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06</w:t>
            </w:r>
          </w:p>
        </w:tc>
        <w:tc>
          <w:tcPr>
            <w:tcW w:type="dxa" w:w="3096"/>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Research Opportunity</w:t>
            </w:r>
          </w:p>
        </w:tc>
        <w:tc>
          <w:tcPr>
            <w:tcW w:type="dxa" w:w="604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支持与相反证据、限制、AI 调研</w:t>
            </w:r>
          </w:p>
        </w:tc>
      </w:tr>
      <w:tr>
        <w:trPr>
          <w:cantSplit/>
        </w:trPr>
        <w:tc>
          <w:tcPr>
            <w:tcW w:type="dxa" w:w="936"/>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07</w:t>
            </w:r>
          </w:p>
        </w:tc>
        <w:tc>
          <w:tcPr>
            <w:tcW w:type="dxa" w:w="309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Research Question Draft</w:t>
            </w:r>
          </w:p>
        </w:tc>
        <w:tc>
          <w:tcPr>
            <w:tcW w:type="dxa" w:w="604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可编辑问题、假设和团队讨论</w:t>
            </w:r>
          </w:p>
        </w:tc>
      </w:tr>
      <w:tr>
        <w:trPr>
          <w:cantSplit/>
        </w:trPr>
        <w:tc>
          <w:tcPr>
            <w:tcW w:type="dxa" w:w="936"/>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08</w:t>
            </w:r>
          </w:p>
        </w:tc>
        <w:tc>
          <w:tcPr>
            <w:tcW w:type="dxa" w:w="3096"/>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Create Study Paths</w:t>
            </w:r>
          </w:p>
        </w:tc>
        <w:tc>
          <w:tcPr>
            <w:tcW w:type="dxa" w:w="604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探索型、已有方案型、已有 Study 型</w:t>
            </w:r>
          </w:p>
        </w:tc>
      </w:tr>
      <w:tr>
        <w:trPr>
          <w:cantSplit/>
        </w:trPr>
        <w:tc>
          <w:tcPr>
            <w:tcW w:type="dxa" w:w="936"/>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09</w:t>
            </w:r>
          </w:p>
        </w:tc>
        <w:tc>
          <w:tcPr>
            <w:tcW w:type="dxa" w:w="309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Protocol Upload and Structure</w:t>
            </w:r>
          </w:p>
        </w:tc>
        <w:tc>
          <w:tcPr>
            <w:tcW w:type="dxa" w:w="604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AI 识别、来源定位和缺失配置</w:t>
            </w:r>
          </w:p>
        </w:tc>
      </w:tr>
      <w:tr>
        <w:trPr>
          <w:cantSplit/>
        </w:trPr>
        <w:tc>
          <w:tcPr>
            <w:tcW w:type="dxa" w:w="936"/>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10</w:t>
            </w:r>
          </w:p>
        </w:tc>
        <w:tc>
          <w:tcPr>
            <w:tcW w:type="dxa" w:w="3096"/>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Study Overview</w:t>
            </w:r>
          </w:p>
        </w:tc>
        <w:tc>
          <w:tcPr>
            <w:tcW w:type="dxa" w:w="604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生命周期、Attention、What happened and Why</w:t>
            </w:r>
          </w:p>
        </w:tc>
      </w:tr>
      <w:tr>
        <w:trPr>
          <w:cantSplit/>
        </w:trPr>
        <w:tc>
          <w:tcPr>
            <w:tcW w:type="dxa" w:w="936"/>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11</w:t>
            </w:r>
          </w:p>
        </w:tc>
        <w:tc>
          <w:tcPr>
            <w:tcW w:type="dxa" w:w="309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Visit Workspace</w:t>
            </w:r>
          </w:p>
        </w:tc>
        <w:tc>
          <w:tcPr>
            <w:tcW w:type="dxa" w:w="604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必需 Evidence、上传、AI 确认和完成条件</w:t>
            </w:r>
          </w:p>
        </w:tc>
      </w:tr>
      <w:tr>
        <w:trPr>
          <w:cantSplit/>
        </w:trPr>
        <w:tc>
          <w:tcPr>
            <w:tcW w:type="dxa" w:w="936"/>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12</w:t>
            </w:r>
          </w:p>
        </w:tc>
        <w:tc>
          <w:tcPr>
            <w:tcW w:type="dxa" w:w="3096"/>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Research Analysis</w:t>
            </w:r>
          </w:p>
        </w:tc>
        <w:tc>
          <w:tcPr>
            <w:tcW w:type="dxa" w:w="604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Dataset、方法、Analysis Artifact 和限制</w:t>
            </w:r>
          </w:p>
        </w:tc>
      </w:tr>
      <w:tr>
        <w:trPr>
          <w:cantSplit/>
        </w:trPr>
        <w:tc>
          <w:tcPr>
            <w:tcW w:type="dxa" w:w="936"/>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13</w:t>
            </w:r>
          </w:p>
        </w:tc>
        <w:tc>
          <w:tcPr>
            <w:tcW w:type="dxa" w:w="309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Research Output</w:t>
            </w:r>
          </w:p>
        </w:tc>
        <w:tc>
          <w:tcPr>
            <w:tcW w:type="dxa" w:w="604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使用已审核 Context 生成 Draft</w:t>
            </w:r>
          </w:p>
        </w:tc>
      </w:tr>
      <w:tr>
        <w:trPr>
          <w:cantSplit/>
        </w:trPr>
        <w:tc>
          <w:tcPr>
            <w:tcW w:type="dxa" w:w="936"/>
            <w:shd w:fill="F5F9FC"/>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14</w:t>
            </w:r>
          </w:p>
        </w:tc>
        <w:tc>
          <w:tcPr>
            <w:tcW w:type="dxa" w:w="3096"/>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Asset Review</w:t>
            </w:r>
          </w:p>
        </w:tc>
        <w:tc>
          <w:tcPr>
            <w:tcW w:type="dxa" w:w="6048"/>
            <w:shd w:fill="F5F9FC"/>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Candidate Asset、Provenance、共享范围</w:t>
            </w:r>
          </w:p>
        </w:tc>
      </w:tr>
      <w:tr>
        <w:trPr>
          <w:cantSplit/>
        </w:trPr>
        <w:tc>
          <w:tcPr>
            <w:tcW w:type="dxa" w:w="936"/>
            <w:tcMar>
              <w:top w:w="105" w:type="dxa"/>
              <w:start w:w="115" w:type="dxa"/>
              <w:bottom w:w="105" w:type="dxa"/>
              <w:end w:w="115" w:type="dxa"/>
            </w:tcMar>
            <w:vAlign w:val="center"/>
          </w:tcPr>
          <w:p>
            <w:pPr>
              <w:keepNext w:val="0"/>
              <w:widowControl/>
              <w:spacing w:before="0" w:after="0" w:line="278" w:lineRule="auto"/>
              <w:jc w:val="center"/>
            </w:pPr>
            <w:r>
              <w:rPr>
                <w:rFonts w:ascii="Arial Unicode MS" w:hAnsi="Arial Unicode MS" w:eastAsia="Arial Unicode MS"/>
                <w:b w:val="0"/>
                <w:i w:val="0"/>
                <w:color w:val="000000"/>
                <w:sz w:val="19"/>
              </w:rPr>
              <w:t>15</w:t>
            </w:r>
          </w:p>
        </w:tc>
        <w:tc>
          <w:tcPr>
            <w:tcW w:type="dxa" w:w="3096"/>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Hub Asset and Reuse</w:t>
            </w:r>
          </w:p>
        </w:tc>
        <w:tc>
          <w:tcPr>
            <w:tcW w:type="dxa" w:w="6048"/>
            <w:tcMar>
              <w:top w:w="105" w:type="dxa"/>
              <w:start w:w="115" w:type="dxa"/>
              <w:bottom w:w="105" w:type="dxa"/>
              <w:end w:w="115" w:type="dxa"/>
            </w:tcMar>
            <w:vAlign w:val="center"/>
          </w:tcPr>
          <w:p>
            <w:pPr>
              <w:keepNext w:val="0"/>
              <w:widowControl/>
              <w:spacing w:before="0" w:after="0" w:line="278" w:lineRule="auto"/>
              <w:jc w:val="left"/>
            </w:pPr>
            <w:r>
              <w:rPr>
                <w:rFonts w:ascii="Arial Unicode MS" w:hAnsi="Arial Unicode MS" w:eastAsia="Arial Unicode MS"/>
                <w:b w:val="0"/>
                <w:i w:val="0"/>
                <w:color w:val="000000"/>
                <w:sz w:val="19"/>
              </w:rPr>
              <w:t>查看、引用到 Study、Derived From</w:t>
            </w:r>
          </w:p>
        </w:tc>
      </w:tr>
    </w:tbl>
    <w:p>
      <w:pPr>
        <w:keepNext w:val="0"/>
        <w:widowControl/>
        <w:spacing w:before="0" w:after="120" w:line="240" w:lineRule="auto"/>
      </w:pPr>
    </w:p>
    <w:p>
      <w:pPr>
        <w:pStyle w:val="Heading2"/>
        <w:keepNext/>
        <w:spacing w:line="276" w:lineRule="auto"/>
      </w:pPr>
      <w:r>
        <w:rPr>
          <w:rFonts w:ascii="Arial Unicode MS" w:hAnsi="Arial Unicode MS" w:eastAsia="Arial Unicode MS"/>
          <w:b/>
          <w:i w:val="0"/>
          <w:color w:val="000000"/>
          <w:sz w:val="26"/>
        </w:rPr>
        <w:t>17 2 原型顺序</w:t>
      </w:r>
    </w:p>
    <w:p>
      <w:pPr>
        <w:pStyle w:val="ListNumber"/>
        <w:keepNext w:val="0"/>
        <w:widowControl/>
        <w:spacing w:before="0" w:after="100" w:line="302" w:lineRule="auto"/>
        <w:ind w:left="403" w:hanging="259"/>
      </w:pPr>
      <w:r>
        <w:rPr>
          <w:rFonts w:ascii="Arial Unicode MS" w:hAnsi="Arial Unicode MS" w:eastAsia="Arial Unicode MS"/>
          <w:b w:val="0"/>
          <w:i w:val="0"/>
          <w:color w:val="000000"/>
          <w:sz w:val="21"/>
        </w:rPr>
        <w:t>Prototype Scope：确定 12 至 15 个页面或状态、测试数据和每个 Journey 的起止点。</w:t>
      </w:r>
    </w:p>
    <w:p>
      <w:pPr>
        <w:pStyle w:val="ListNumber"/>
        <w:keepNext w:val="0"/>
        <w:widowControl/>
        <w:spacing w:before="0" w:after="100" w:line="302" w:lineRule="auto"/>
        <w:ind w:left="403" w:hanging="259"/>
      </w:pPr>
      <w:r>
        <w:rPr>
          <w:rFonts w:ascii="Arial Unicode MS" w:hAnsi="Arial Unicode MS" w:eastAsia="Arial Unicode MS"/>
          <w:b w:val="0"/>
          <w:i w:val="0"/>
          <w:color w:val="000000"/>
          <w:sz w:val="21"/>
        </w:rPr>
        <w:t>Low Fidelity UX：先验证信息架构、上下文切换、流程和术语，不讨论颜色和装饰。</w:t>
      </w:r>
    </w:p>
    <w:p>
      <w:pPr>
        <w:pStyle w:val="ListNumber"/>
        <w:keepNext w:val="0"/>
        <w:widowControl/>
        <w:spacing w:before="0" w:after="100" w:line="302" w:lineRule="auto"/>
        <w:ind w:left="403" w:hanging="259"/>
      </w:pPr>
      <w:r>
        <w:rPr>
          <w:rFonts w:ascii="Arial Unicode MS" w:hAnsi="Arial Unicode MS" w:eastAsia="Arial Unicode MS"/>
          <w:b w:val="0"/>
          <w:i w:val="0"/>
          <w:color w:val="000000"/>
          <w:sz w:val="21"/>
        </w:rPr>
        <w:t>Professor Validation：按本文件任务卡测试 5 至 6 个场景，并完整记录行为。</w:t>
      </w:r>
    </w:p>
    <w:p>
      <w:pPr>
        <w:pStyle w:val="ListNumber"/>
        <w:keepNext w:val="0"/>
        <w:widowControl/>
        <w:spacing w:before="0" w:after="100" w:line="302" w:lineRule="auto"/>
        <w:ind w:left="403" w:hanging="259"/>
      </w:pPr>
      <w:r>
        <w:rPr>
          <w:rFonts w:ascii="Arial Unicode MS" w:hAnsi="Arial Unicode MS" w:eastAsia="Arial Unicode MS"/>
          <w:b w:val="0"/>
          <w:i w:val="0"/>
          <w:color w:val="000000"/>
          <w:sz w:val="21"/>
        </w:rPr>
        <w:t>UX Revision：将获得证据的假设升级为 Decision，推翻或改写失败假设。</w:t>
      </w:r>
    </w:p>
    <w:p>
      <w:pPr>
        <w:pStyle w:val="ListNumber"/>
        <w:keepNext w:val="0"/>
        <w:widowControl/>
        <w:spacing w:before="0" w:after="100" w:line="302" w:lineRule="auto"/>
        <w:ind w:left="403" w:hanging="259"/>
      </w:pPr>
      <w:r>
        <w:rPr>
          <w:rFonts w:ascii="Arial Unicode MS" w:hAnsi="Arial Unicode MS" w:eastAsia="Arial Unicode MS"/>
          <w:b w:val="0"/>
          <w:i w:val="0"/>
          <w:color w:val="000000"/>
          <w:sz w:val="21"/>
        </w:rPr>
        <w:t>Visual Direction：在 IA 稳定后定义视觉方向、设计系统和高保真 UI。</w:t>
      </w:r>
    </w:p>
    <w:p>
      <w:pPr>
        <w:pStyle w:val="ListNumber"/>
        <w:keepNext w:val="0"/>
        <w:widowControl/>
        <w:spacing w:before="0" w:after="100" w:line="302" w:lineRule="auto"/>
        <w:ind w:left="403" w:hanging="259"/>
      </w:pPr>
      <w:r>
        <w:rPr>
          <w:rFonts w:ascii="Arial Unicode MS" w:hAnsi="Arial Unicode MS" w:eastAsia="Arial Unicode MS"/>
          <w:b w:val="0"/>
          <w:i w:val="0"/>
          <w:color w:val="000000"/>
          <w:sz w:val="21"/>
        </w:rPr>
        <w:t>Interactive Prototype：补齐关键状态和真实业务反馈，不只做页面跳转。</w:t>
      </w:r>
    </w:p>
    <w:p>
      <w:pPr>
        <w:pStyle w:val="ListNumber"/>
        <w:keepNext w:val="0"/>
        <w:widowControl/>
        <w:spacing w:before="0" w:after="100" w:line="302" w:lineRule="auto"/>
        <w:ind w:left="403" w:hanging="259"/>
      </w:pPr>
      <w:r>
        <w:rPr>
          <w:rFonts w:ascii="Arial Unicode MS" w:hAnsi="Arial Unicode MS" w:eastAsia="Arial Unicode MS"/>
          <w:b w:val="0"/>
          <w:i w:val="0"/>
          <w:color w:val="000000"/>
          <w:sz w:val="21"/>
        </w:rPr>
        <w:t>Codex Handoff：以本基线、原型、设计系统、交互规范和更新后的 Decision Log 为实现输入。</w:t>
      </w:r>
    </w:p>
    <w:p>
      <w:pPr>
        <w:pStyle w:val="Heading2"/>
        <w:keepNext/>
        <w:spacing w:line="276" w:lineRule="auto"/>
      </w:pPr>
      <w:r>
        <w:rPr>
          <w:rFonts w:ascii="Arial Unicode MS" w:hAnsi="Arial Unicode MS" w:eastAsia="Arial Unicode MS"/>
          <w:b/>
          <w:i w:val="0"/>
          <w:color w:val="000000"/>
          <w:sz w:val="26"/>
        </w:rPr>
        <w:t>17 3 进入高保真前的 Gate</w:t>
      </w:r>
    </w:p>
    <w:p>
      <w:pPr>
        <w:pStyle w:val="ListBullet"/>
        <w:keepNext w:val="0"/>
        <w:widowControl/>
        <w:spacing w:before="0" w:after="100" w:line="298" w:lineRule="auto"/>
        <w:ind w:left="360" w:hanging="230"/>
      </w:pPr>
      <w:r>
        <w:rPr>
          <w:rFonts w:ascii="Arial Unicode MS" w:hAnsi="Arial Unicode MS" w:eastAsia="Arial Unicode MS"/>
          <w:b w:val="0"/>
          <w:i w:val="0"/>
          <w:color w:val="000000"/>
          <w:sz w:val="21"/>
        </w:rPr>
        <w:t>教授能在不解释术语的情况下区分 My Research、Research Hub 和 Study。</w:t>
      </w:r>
    </w:p>
    <w:p>
      <w:pPr>
        <w:pStyle w:val="ListBullet"/>
        <w:keepNext w:val="0"/>
        <w:widowControl/>
        <w:spacing w:before="0" w:after="100" w:line="298" w:lineRule="auto"/>
        <w:ind w:left="360" w:hanging="230"/>
      </w:pPr>
      <w:r>
        <w:rPr>
          <w:rFonts w:ascii="Arial Unicode MS" w:hAnsi="Arial Unicode MS" w:eastAsia="Arial Unicode MS"/>
          <w:b w:val="0"/>
          <w:i w:val="0"/>
          <w:color w:val="000000"/>
          <w:sz w:val="21"/>
        </w:rPr>
        <w:t>核心任务的 First Click 与 Actual Path 达到可接受水平，主要 Wrong Turns 已有改进方案。</w:t>
      </w:r>
    </w:p>
    <w:p>
      <w:pPr>
        <w:pStyle w:val="ListBullet"/>
        <w:keepNext w:val="0"/>
        <w:widowControl/>
        <w:spacing w:before="0" w:after="100" w:line="298" w:lineRule="auto"/>
        <w:ind w:left="360" w:hanging="230"/>
      </w:pPr>
      <w:r>
        <w:rPr>
          <w:rFonts w:ascii="Arial Unicode MS" w:hAnsi="Arial Unicode MS" w:eastAsia="Arial Unicode MS"/>
          <w:b w:val="0"/>
          <w:i w:val="0"/>
          <w:color w:val="000000"/>
          <w:sz w:val="21"/>
        </w:rPr>
        <w:t>Time to Insight 能体现比传统指标 Dashboard 更直接的决策价值。</w:t>
      </w:r>
    </w:p>
    <w:p>
      <w:pPr>
        <w:pStyle w:val="ListBullet"/>
        <w:keepNext w:val="0"/>
        <w:widowControl/>
        <w:spacing w:before="0" w:after="100" w:line="298" w:lineRule="auto"/>
        <w:ind w:left="360" w:hanging="230"/>
      </w:pPr>
      <w:r>
        <w:rPr>
          <w:rFonts w:ascii="Arial Unicode MS" w:hAnsi="Arial Unicode MS" w:eastAsia="Arial Unicode MS"/>
          <w:b w:val="0"/>
          <w:i w:val="0"/>
          <w:color w:val="000000"/>
          <w:sz w:val="21"/>
        </w:rPr>
        <w:t>用户理解 AI 的 Context、Evidence 和 Human Approval 边界。</w:t>
      </w:r>
    </w:p>
    <w:p>
      <w:pPr>
        <w:pStyle w:val="ListBullet"/>
        <w:keepNext w:val="0"/>
        <w:widowControl/>
        <w:spacing w:before="0" w:after="100" w:line="298" w:lineRule="auto"/>
        <w:ind w:left="360" w:hanging="230"/>
      </w:pPr>
      <w:r>
        <w:rPr>
          <w:rFonts w:ascii="Arial Unicode MS" w:hAnsi="Arial Unicode MS" w:eastAsia="Arial Unicode MS"/>
          <w:b w:val="0"/>
          <w:i w:val="0"/>
          <w:color w:val="000000"/>
          <w:sz w:val="21"/>
        </w:rPr>
        <w:t>现有 Study Execution 的关键日常任务没有因新 IA 增加步骤。</w:t>
      </w:r>
    </w:p>
    <w:p>
      <w:pPr>
        <w:pStyle w:val="ListBullet"/>
        <w:keepNext w:val="0"/>
        <w:widowControl/>
        <w:spacing w:before="0" w:after="100" w:line="298" w:lineRule="auto"/>
        <w:ind w:left="360" w:hanging="230"/>
      </w:pPr>
      <w:r>
        <w:rPr>
          <w:rFonts w:ascii="Arial Unicode MS" w:hAnsi="Arial Unicode MS" w:eastAsia="Arial Unicode MS"/>
          <w:b w:val="0"/>
          <w:i w:val="0"/>
          <w:color w:val="000000"/>
          <w:sz w:val="21"/>
        </w:rPr>
        <w:t>所有未解决的重大治理问题仍明确标为 OPEN QUESTION，没有被 UI 悄悄决定。</w:t>
      </w:r>
    </w:p>
    <w:p>
      <w:pPr>
        <w:pStyle w:val="Heading2"/>
        <w:keepNext/>
        <w:spacing w:line="276" w:lineRule="auto"/>
      </w:pPr>
      <w:r>
        <w:rPr>
          <w:rFonts w:ascii="Arial Unicode MS" w:hAnsi="Arial Unicode MS" w:eastAsia="Arial Unicode MS"/>
          <w:b/>
          <w:i w:val="0"/>
          <w:color w:val="000000"/>
          <w:sz w:val="26"/>
        </w:rPr>
        <w:t>17 4 基线维护规则</w:t>
      </w:r>
    </w:p>
    <w:p>
      <w:pPr>
        <w:keepNext w:val="0"/>
        <w:widowControl/>
        <w:spacing w:before="0" w:after="140" w:line="317" w:lineRule="auto"/>
      </w:pPr>
      <w:r>
        <w:rPr>
          <w:rFonts w:ascii="Arial Unicode MS" w:hAnsi="Arial Unicode MS" w:eastAsia="Arial Unicode MS"/>
          <w:b w:val="0"/>
          <w:i w:val="0"/>
          <w:color w:val="000000"/>
          <w:sz w:val="22"/>
        </w:rPr>
        <w:t>从本版本开始，产品变化通过 Decision Log 管理。原型测试发现不成立的 HYPOTHESIS，应记录证据和修订决定；OPEN QUESTION 只有在明确责任人和依据后才能关闭；LATER 能力只有在 MVP 证据支持且完成重新排期后才能进入 BUILD NOW。</w:t>
      </w:r>
    </w:p>
    <w:p>
      <w:pPr>
        <w:keepNext w:val="0"/>
        <w:widowControl/>
        <w:spacing w:before="60" w:after="180" w:line="307" w:lineRule="auto"/>
        <w:ind w:left="504" w:right="360"/>
      </w:pPr>
      <w:r>
        <w:rPr>
          <w:rFonts w:ascii="Arial Unicode MS" w:hAnsi="Arial Unicode MS" w:eastAsia="Arial Unicode MS"/>
          <w:b/>
          <w:i w:val="0"/>
          <w:color w:val="17365D"/>
          <w:sz w:val="21"/>
        </w:rPr>
        <w:t>Product Discovery 阶段性完成。下一阶段的目标不是证明这份基线正确，而是用原型尽快发现其中哪些假设错误。</w:t>
      </w:r>
    </w:p>
    <w:p>
      <w:pPr>
        <w:pStyle w:val="Heading1"/>
        <w:keepNext/>
        <w:pageBreakBefore/>
        <w:spacing w:line="276" w:lineRule="auto" w:before="160" w:after="160"/>
      </w:pPr>
      <w:r>
        <w:rPr>
          <w:rFonts w:ascii="Arial Unicode MS" w:hAnsi="Arial Unicode MS" w:eastAsia="Arial Unicode MS"/>
        </w:rPr>
        <w:t>18 Product Concept Glossary</w:t>
      </w:r>
    </w:p>
    <w:p>
      <w:r>
        <w:rPr>
          <w:rFonts w:ascii="Arial Unicode MS" w:hAnsi="Arial Unicode MS" w:eastAsia="Arial Unicode MS"/>
        </w:rPr>
        <w:t>内部 Domain Name 用于 Product、A1、A2、A3、A4 与 Codex 的一致建模；教授端界面优先使用自然中文科研语言，不要求教授学习英文术语。Validation Status 只描述当前证据状态，不代表统计验证。</w:t>
      </w:r>
    </w:p>
    <w:tbl>
      <w:tblPr>
        <w:tblStyle w:val="TableGrid"/>
        <w:tblW w:type="auto" w:w="0"/>
        <w:tblLayout w:type="autofit"/>
        <w:tblLook w:firstColumn="1" w:firstRow="1" w:lastColumn="0" w:lastRow="0" w:noHBand="0" w:noVBand="1" w:val="04A0"/>
      </w:tblPr>
      <w:tblGrid>
        <w:gridCol w:w="1976"/>
        <w:gridCol w:w="1976"/>
        <w:gridCol w:w="1976"/>
        <w:gridCol w:w="1976"/>
        <w:gridCol w:w="1976"/>
      </w:tblGrid>
      <w:tr>
        <w:trPr>
          <w:cantSplit/>
          <w:tblHeader w:val="true"/>
          <w:tblHeader w:val="true"/>
        </w:trPr>
        <w:tc>
          <w:tcPr>
            <w:tcW w:type="dxa" w:w="1976"/>
            <w:vAlign w:val="center"/>
            <w:shd w:fill="17365D"/>
          </w:tcPr>
          <w:p>
            <w:pPr>
              <w:spacing w:after="0" w:before="0" w:line="252" w:lineRule="auto"/>
            </w:pPr>
            <w:r>
              <w:rPr>
                <w:rFonts w:ascii="Arial Unicode MS" w:hAnsi="Arial Unicode MS" w:eastAsia="Arial Unicode MS"/>
                <w:b/>
                <w:color w:val="FFFFFF"/>
                <w:sz w:val="17"/>
              </w:rPr>
            </w:r>
            <w:r>
              <w:rPr>
                <w:rFonts w:ascii="Arial Unicode MS" w:hAnsi="Arial Unicode MS" w:eastAsia="Arial Unicode MS"/>
                <w:b/>
                <w:color w:val="FFFFFF"/>
                <w:sz w:val="17"/>
              </w:rPr>
              <w:t>Internal Domain Term</w:t>
            </w:r>
          </w:p>
        </w:tc>
        <w:tc>
          <w:tcPr>
            <w:tcW w:type="dxa" w:w="1976"/>
            <w:vAlign w:val="center"/>
            <w:shd w:fill="17365D"/>
          </w:tcPr>
          <w:p>
            <w:pPr>
              <w:spacing w:after="0" w:before="0" w:line="252" w:lineRule="auto"/>
            </w:pPr>
            <w:r>
              <w:rPr>
                <w:rFonts w:ascii="Arial Unicode MS" w:hAnsi="Arial Unicode MS" w:eastAsia="Arial Unicode MS"/>
                <w:b/>
                <w:color w:val="FFFFFF"/>
                <w:sz w:val="17"/>
              </w:rPr>
            </w:r>
            <w:r>
              <w:rPr>
                <w:rFonts w:ascii="Arial Unicode MS" w:hAnsi="Arial Unicode MS" w:eastAsia="Arial Unicode MS"/>
                <w:b/>
                <w:color w:val="FFFFFF"/>
                <w:sz w:val="17"/>
              </w:rPr>
              <w:t>教授端中文候选</w:t>
            </w:r>
          </w:p>
        </w:tc>
        <w:tc>
          <w:tcPr>
            <w:tcW w:type="dxa" w:w="1976"/>
            <w:vAlign w:val="center"/>
            <w:shd w:fill="17365D"/>
          </w:tcPr>
          <w:p>
            <w:pPr>
              <w:spacing w:after="0" w:before="0" w:line="252" w:lineRule="auto"/>
            </w:pPr>
            <w:r>
              <w:rPr>
                <w:rFonts w:ascii="Arial Unicode MS" w:hAnsi="Arial Unicode MS" w:eastAsia="Arial Unicode MS"/>
                <w:b/>
                <w:color w:val="FFFFFF"/>
                <w:sz w:val="17"/>
              </w:rPr>
            </w:r>
            <w:r>
              <w:rPr>
                <w:rFonts w:ascii="Arial Unicode MS" w:hAnsi="Arial Unicode MS" w:eastAsia="Arial Unicode MS"/>
                <w:b/>
                <w:color w:val="FFFFFF"/>
                <w:sz w:val="17"/>
              </w:rPr>
              <w:t>Definition</w:t>
            </w:r>
          </w:p>
        </w:tc>
        <w:tc>
          <w:tcPr>
            <w:tcW w:type="dxa" w:w="1976"/>
            <w:vAlign w:val="center"/>
            <w:shd w:fill="17365D"/>
          </w:tcPr>
          <w:p>
            <w:pPr>
              <w:spacing w:after="0" w:before="0" w:line="252" w:lineRule="auto"/>
            </w:pPr>
            <w:r>
              <w:rPr>
                <w:rFonts w:ascii="Arial Unicode MS" w:hAnsi="Arial Unicode MS" w:eastAsia="Arial Unicode MS"/>
                <w:b/>
                <w:color w:val="FFFFFF"/>
                <w:sz w:val="17"/>
              </w:rPr>
            </w:r>
            <w:r>
              <w:rPr>
                <w:rFonts w:ascii="Arial Unicode MS" w:hAnsi="Arial Unicode MS" w:eastAsia="Arial Unicode MS"/>
                <w:b/>
                <w:color w:val="FFFFFF"/>
                <w:sz w:val="17"/>
              </w:rPr>
              <w:t>Not This</w:t>
            </w:r>
          </w:p>
        </w:tc>
        <w:tc>
          <w:tcPr>
            <w:tcW w:type="dxa" w:w="1976"/>
            <w:vAlign w:val="center"/>
            <w:shd w:fill="17365D"/>
          </w:tcPr>
          <w:p>
            <w:pPr>
              <w:spacing w:after="0" w:before="0" w:line="252" w:lineRule="auto"/>
            </w:pPr>
            <w:r>
              <w:rPr>
                <w:rFonts w:ascii="Arial Unicode MS" w:hAnsi="Arial Unicode MS" w:eastAsia="Arial Unicode MS"/>
                <w:b/>
                <w:color w:val="FFFFFF"/>
                <w:sz w:val="17"/>
              </w:rPr>
            </w:r>
            <w:r>
              <w:rPr>
                <w:rFonts w:ascii="Arial Unicode MS" w:hAnsi="Arial Unicode MS" w:eastAsia="Arial Unicode MS"/>
                <w:b/>
                <w:color w:val="FFFFFF"/>
                <w:sz w:val="17"/>
              </w:rPr>
              <w:t>Validation Status</w:t>
            </w:r>
          </w:p>
        </w:tc>
      </w:tr>
      <w:tr>
        <w:trPr>
          <w:cantSplit/>
        </w:trPr>
        <w:tc>
          <w:tcPr>
            <w:tcW w:type="dxa" w:w="197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Research Hub</w:t>
            </w:r>
          </w:p>
        </w:tc>
        <w:tc>
          <w:tcPr>
            <w:tcW w:type="dxa" w:w="197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领域研究中心</w:t>
            </w:r>
          </w:p>
        </w:tc>
        <w:tc>
          <w:tcPr>
            <w:tcW w:type="dxa" w:w="197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围绕一个研究领域聚合动态、研究、资产与 AI 上下文的协作空间</w:t>
            </w:r>
          </w:p>
        </w:tc>
        <w:tc>
          <w:tcPr>
            <w:tcW w:type="dxa" w:w="197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不是所有课题的管理后台，也不自动拥有其数据</w:t>
            </w:r>
          </w:p>
        </w:tc>
        <w:tc>
          <w:tcPr>
            <w:tcW w:type="dxa" w:w="197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HYP-003 / HYP-005；Session #1 待验证</w:t>
            </w:r>
          </w:p>
        </w:tc>
      </w:tr>
      <w:tr>
        <w:trPr>
          <w:cantSplit/>
        </w:trPr>
        <w:tc>
          <w:tcPr>
            <w:tcW w:type="dxa" w:w="197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Study</w:t>
            </w:r>
          </w:p>
        </w:tc>
        <w:tc>
          <w:tcPr>
            <w:tcW w:type="dxa" w:w="197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课题 / 研究</w:t>
            </w:r>
          </w:p>
        </w:tc>
        <w:tc>
          <w:tcPr>
            <w:tcW w:type="dxa" w:w="197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具体研究的自治执行与责任单元</w:t>
            </w:r>
          </w:p>
        </w:tc>
        <w:tc>
          <w:tcPr>
            <w:tcW w:type="dxa" w:w="197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不是 Hub，也不是一个研究问题草稿</w:t>
            </w:r>
          </w:p>
        </w:tc>
        <w:tc>
          <w:tcPr>
            <w:tcW w:type="dxa" w:w="197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DEC-003；既有执行能力为 FACT</w:t>
            </w:r>
          </w:p>
        </w:tc>
      </w:tr>
      <w:tr>
        <w:trPr>
          <w:cantSplit/>
        </w:trPr>
        <w:tc>
          <w:tcPr>
            <w:tcW w:type="dxa" w:w="197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My Research</w:t>
            </w:r>
          </w:p>
        </w:tc>
        <w:tc>
          <w:tcPr>
            <w:tcW w:type="dxa" w:w="197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我的科研</w:t>
            </w:r>
          </w:p>
        </w:tc>
        <w:tc>
          <w:tcPr>
            <w:tcW w:type="dxa" w:w="197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聚合个人跨课题的优先事项、组合、简报与工作</w:t>
            </w:r>
          </w:p>
        </w:tc>
        <w:tc>
          <w:tcPr>
            <w:tcW w:type="dxa" w:w="197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不是复制全部 Study 导航的首页</w:t>
            </w:r>
          </w:p>
        </w:tc>
        <w:tc>
          <w:tcPr>
            <w:tcW w:type="dxa" w:w="197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HYP-003；Session #1 待验证</w:t>
            </w:r>
          </w:p>
        </w:tc>
      </w:tr>
      <w:tr>
        <w:trPr>
          <w:cantSplit/>
        </w:trPr>
        <w:tc>
          <w:tcPr>
            <w:tcW w:type="dxa" w:w="197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Research Brief</w:t>
            </w:r>
          </w:p>
        </w:tc>
        <w:tc>
          <w:tcPr>
            <w:tcW w:type="dxa" w:w="197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科研简报</w:t>
            </w:r>
          </w:p>
        </w:tc>
        <w:tc>
          <w:tcPr>
            <w:tcW w:type="dxa" w:w="197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把相关领域变化、依据、影响与下一步压缩为可判断内容</w:t>
            </w:r>
          </w:p>
        </w:tc>
        <w:tc>
          <w:tcPr>
            <w:tcW w:type="dxa" w:w="197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不是论文信息流或 AI 无依据摘要</w:t>
            </w:r>
          </w:p>
        </w:tc>
        <w:tc>
          <w:tcPr>
            <w:tcW w:type="dxa" w:w="197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HYP-008；Session #1 待验证</w:t>
            </w:r>
          </w:p>
        </w:tc>
      </w:tr>
      <w:tr>
        <w:trPr>
          <w:cantSplit/>
        </w:trPr>
        <w:tc>
          <w:tcPr>
            <w:tcW w:type="dxa" w:w="197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External Evidence</w:t>
            </w:r>
          </w:p>
        </w:tc>
        <w:tc>
          <w:tcPr>
            <w:tcW w:type="dxa" w:w="197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外部证据</w:t>
            </w:r>
          </w:p>
        </w:tc>
        <w:tc>
          <w:tcPr>
            <w:tcW w:type="dxa" w:w="197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来自外部论文、试验、指南和研究来源的可追溯材料</w:t>
            </w:r>
          </w:p>
        </w:tc>
        <w:tc>
          <w:tcPr>
            <w:tcW w:type="dxa" w:w="197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不是岐研自动拥有的 Asset</w:t>
            </w:r>
          </w:p>
        </w:tc>
        <w:tc>
          <w:tcPr>
            <w:tcW w:type="dxa" w:w="197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Domain clarification v1.0.1</w:t>
            </w:r>
          </w:p>
        </w:tc>
      </w:tr>
      <w:tr>
        <w:trPr>
          <w:cantSplit/>
        </w:trPr>
        <w:tc>
          <w:tcPr>
            <w:tcW w:type="dxa" w:w="197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Research Opportunity</w:t>
            </w:r>
          </w:p>
        </w:tc>
        <w:tc>
          <w:tcPr>
            <w:tcW w:type="dxa" w:w="197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研究机会 / 值得继续探索的方向</w:t>
            </w:r>
          </w:p>
        </w:tc>
        <w:tc>
          <w:tcPr>
            <w:tcW w:type="dxa" w:w="197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由证据支持的空白、矛盾、趋势或方向</w:t>
            </w:r>
          </w:p>
        </w:tc>
        <w:tc>
          <w:tcPr>
            <w:tcW w:type="dxa" w:w="197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不是 Question、结论或正式 Study</w:t>
            </w:r>
          </w:p>
        </w:tc>
        <w:tc>
          <w:tcPr>
            <w:tcW w:type="dxa" w:w="197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HYP-006；Session #1 待验证</w:t>
            </w:r>
          </w:p>
        </w:tc>
      </w:tr>
      <w:tr>
        <w:trPr>
          <w:cantSplit/>
        </w:trPr>
        <w:tc>
          <w:tcPr>
            <w:tcW w:type="dxa" w:w="197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Research Question</w:t>
            </w:r>
          </w:p>
        </w:tc>
        <w:tc>
          <w:tcPr>
            <w:tcW w:type="dxa" w:w="197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研究问题</w:t>
            </w:r>
          </w:p>
        </w:tc>
        <w:tc>
          <w:tcPr>
            <w:tcW w:type="dxa" w:w="197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可独立保存、编辑、讨论、引用证据并经人工确认进入研究设计的问题</w:t>
            </w:r>
          </w:p>
        </w:tc>
        <w:tc>
          <w:tcPr>
            <w:tcW w:type="dxa" w:w="197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不是 Opportunity、Hypothesis、Protocol 或 Study</w:t>
            </w:r>
          </w:p>
        </w:tc>
        <w:tc>
          <w:tcPr>
            <w:tcW w:type="dxa" w:w="197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Domain clarification；OQ-016 open</w:t>
            </w:r>
          </w:p>
        </w:tc>
      </w:tr>
      <w:tr>
        <w:trPr>
          <w:cantSplit/>
        </w:trPr>
        <w:tc>
          <w:tcPr>
            <w:tcW w:type="dxa" w:w="197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Hypothesis</w:t>
            </w:r>
          </w:p>
        </w:tc>
        <w:tc>
          <w:tcPr>
            <w:tcW w:type="dxa" w:w="197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研究假设</w:t>
            </w:r>
          </w:p>
        </w:tc>
        <w:tc>
          <w:tcPr>
            <w:tcW w:type="dxa" w:w="197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在 Design 中由 Question 推进形成的可检验陈述</w:t>
            </w:r>
          </w:p>
        </w:tc>
        <w:tc>
          <w:tcPr>
            <w:tcW w:type="dxa" w:w="197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不是产品假设 HYP，也不是 AI 建议</w:t>
            </w:r>
          </w:p>
        </w:tc>
        <w:tc>
          <w:tcPr>
            <w:tcW w:type="dxa" w:w="197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Established model；具体形成方式待 Detailed Spec</w:t>
            </w:r>
          </w:p>
        </w:tc>
      </w:tr>
      <w:tr>
        <w:trPr>
          <w:cantSplit/>
        </w:trPr>
        <w:tc>
          <w:tcPr>
            <w:tcW w:type="dxa" w:w="197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Research Attention</w:t>
            </w:r>
          </w:p>
        </w:tc>
        <w:tc>
          <w:tcPr>
            <w:tcW w:type="dxa" w:w="197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科研优先事项</w:t>
            </w:r>
          </w:p>
        </w:tc>
        <w:tc>
          <w:tcPr>
            <w:tcW w:type="dxa" w:w="197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某位研究者此刻需要处理、关注或探索的科研事项</w:t>
            </w:r>
          </w:p>
        </w:tc>
        <w:tc>
          <w:tcPr>
            <w:tcW w:type="dxa" w:w="197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不是普通通知或固定模块集合</w:t>
            </w:r>
          </w:p>
        </w:tc>
        <w:tc>
          <w:tcPr>
            <w:tcW w:type="dxa" w:w="197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HYP-012 / HYP-013；Session #1 待验证</w:t>
            </w:r>
          </w:p>
        </w:tc>
      </w:tr>
      <w:tr>
        <w:trPr>
          <w:cantSplit/>
        </w:trPr>
        <w:tc>
          <w:tcPr>
            <w:tcW w:type="dxa" w:w="197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Knowledge</w:t>
            </w:r>
          </w:p>
        </w:tc>
        <w:tc>
          <w:tcPr>
            <w:tcW w:type="dxa" w:w="197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科研知识 / 研究笔记</w:t>
            </w:r>
          </w:p>
        </w:tc>
        <w:tc>
          <w:tcPr>
            <w:tcW w:type="dxa" w:w="197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对证据进行保存、注释、组织、讨论和 Study 使用的活跃知识工作对象</w:t>
            </w:r>
          </w:p>
        </w:tc>
        <w:tc>
          <w:tcPr>
            <w:tcW w:type="dxa" w:w="197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不是上传文件本身，也不是自动发布的 Asset</w:t>
            </w:r>
          </w:p>
        </w:tc>
        <w:tc>
          <w:tcPr>
            <w:tcW w:type="dxa" w:w="197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DEC-029；clarified v1.0.1</w:t>
            </w:r>
          </w:p>
        </w:tc>
      </w:tr>
      <w:tr>
        <w:trPr>
          <w:cantSplit/>
        </w:trPr>
        <w:tc>
          <w:tcPr>
            <w:tcW w:type="dxa" w:w="197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Research Artifact</w:t>
            </w:r>
          </w:p>
        </w:tc>
        <w:tc>
          <w:tcPr>
            <w:tcW w:type="dxa" w:w="197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科研产物</w:t>
            </w:r>
          </w:p>
        </w:tc>
        <w:tc>
          <w:tcPr>
            <w:tcW w:type="dxa" w:w="197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研究过程中生成或使用的内容对象</w:t>
            </w:r>
          </w:p>
        </w:tc>
        <w:tc>
          <w:tcPr>
            <w:tcW w:type="dxa" w:w="197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不自动等于可复用资产</w:t>
            </w:r>
          </w:p>
        </w:tc>
        <w:tc>
          <w:tcPr>
            <w:tcW w:type="dxa" w:w="197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DEC-023</w:t>
            </w:r>
          </w:p>
        </w:tc>
      </w:tr>
      <w:tr>
        <w:trPr>
          <w:cantSplit/>
        </w:trPr>
        <w:tc>
          <w:tcPr>
            <w:tcW w:type="dxa" w:w="197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Research Asset</w:t>
            </w:r>
          </w:p>
        </w:tc>
        <w:tc>
          <w:tcPr>
            <w:tcW w:type="dxa" w:w="197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科研资产</w:t>
            </w:r>
          </w:p>
        </w:tc>
        <w:tc>
          <w:tcPr>
            <w:tcW w:type="dxa" w:w="197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经整理、来源确认、责任确认、Human Review 与治理的长期可复用价值对象</w:t>
            </w:r>
          </w:p>
        </w:tc>
        <w:tc>
          <w:tcPr>
            <w:tcW w:type="dxa" w:w="197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不是收藏、普通文件或未经审阅的 AI Draft</w:t>
            </w:r>
          </w:p>
        </w:tc>
        <w:tc>
          <w:tcPr>
            <w:tcW w:type="dxa" w:w="197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DEC-023–029；Session #1 待验证</w:t>
            </w:r>
          </w:p>
        </w:tc>
      </w:tr>
      <w:tr>
        <w:trPr>
          <w:cantSplit/>
        </w:trPr>
        <w:tc>
          <w:tcPr>
            <w:tcW w:type="dxa" w:w="197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Research Output</w:t>
            </w:r>
          </w:p>
        </w:tc>
        <w:tc>
          <w:tcPr>
            <w:tcW w:type="dxa" w:w="197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科研产出</w:t>
            </w:r>
          </w:p>
        </w:tc>
        <w:tc>
          <w:tcPr>
            <w:tcW w:type="dxa" w:w="197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绑定 Study 上下文、数据版本与审核分析的报告、汇报或论文工作</w:t>
            </w:r>
          </w:p>
        </w:tc>
        <w:tc>
          <w:tcPr>
            <w:tcW w:type="dxa" w:w="197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不是无来源的 AI 成稿</w:t>
            </w:r>
          </w:p>
        </w:tc>
        <w:tc>
          <w:tcPr>
            <w:tcW w:type="dxa" w:w="197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Golden Journey 5 / 7；待后续验证</w:t>
            </w:r>
          </w:p>
        </w:tc>
      </w:tr>
      <w:tr>
        <w:trPr>
          <w:cantSplit/>
        </w:trPr>
        <w:tc>
          <w:tcPr>
            <w:tcW w:type="dxa" w:w="197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Dataset</w:t>
            </w:r>
          </w:p>
        </w:tc>
        <w:tc>
          <w:tcPr>
            <w:tcW w:type="dxa" w:w="197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分析数据集 / 数据版本</w:t>
            </w:r>
          </w:p>
        </w:tc>
        <w:tc>
          <w:tcPr>
            <w:tcW w:type="dxa" w:w="197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可管理、可分析、可追溯的数据版本</w:t>
            </w:r>
          </w:p>
        </w:tc>
        <w:tc>
          <w:tcPr>
            <w:tcW w:type="dxa" w:w="197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不是原始数据的随意复制，也不因可发现就可访问</w:t>
            </w:r>
          </w:p>
        </w:tc>
        <w:tc>
          <w:tcPr>
            <w:tcW w:type="dxa" w:w="1976"/>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DEC-026 / DEC-027</w:t>
            </w:r>
          </w:p>
        </w:tc>
      </w:tr>
      <w:tr>
        <w:trPr>
          <w:cantSplit/>
        </w:trPr>
        <w:tc>
          <w:tcPr>
            <w:tcW w:type="dxa" w:w="197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Research Copilot</w:t>
            </w:r>
          </w:p>
        </w:tc>
        <w:tc>
          <w:tcPr>
            <w:tcW w:type="dxa" w:w="197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岐研 AI / 科研助手</w:t>
            </w:r>
          </w:p>
        </w:tc>
        <w:tc>
          <w:tcPr>
            <w:tcW w:type="dxa" w:w="197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理解当前 User、Hub、Study 与对象上下文的统一协作体验，后台由多 Agent 提供能力</w:t>
            </w:r>
          </w:p>
        </w:tc>
        <w:tc>
          <w:tcPr>
            <w:tcW w:type="dxa" w:w="197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不是独立聊天孤岛，也不替人承担正式科研责任</w:t>
            </w:r>
          </w:p>
        </w:tc>
        <w:tc>
          <w:tcPr>
            <w:tcW w:type="dxa" w:w="1976"/>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DEC-010 / 014–018；AI Trust 横向验证</w:t>
            </w:r>
          </w:p>
        </w:tc>
      </w:tr>
    </w:tbl>
    <w:p>
      <w:pPr>
        <w:pStyle w:val="Heading1"/>
        <w:keepNext/>
        <w:pageBreakBefore/>
        <w:spacing w:line="276" w:lineRule="auto" w:before="160" w:after="160"/>
      </w:pPr>
      <w:r>
        <w:rPr>
          <w:rFonts w:ascii="Arial Unicode MS" w:hAnsi="Arial Unicode MS" w:eastAsia="Arial Unicode MS"/>
        </w:rPr>
        <w:t>19 v1.0.1 受控修订说明</w:t>
      </w:r>
    </w:p>
    <w:p>
      <w:r>
        <w:rPr>
          <w:rFonts w:ascii="Arial Unicode MS" w:hAnsi="Arial Unicode MS" w:eastAsia="Arial Unicode MS"/>
        </w:rPr>
        <w:t>Change Type：Controlled Baseline Clarification。Purpose：Professor Validation Readiness。该版本从 v1.0 派生，不重新开启 Product Discovery，不改变既定产品方向、Production MVP 范围或现有 Study Execution 逻辑。</w:t>
      </w:r>
    </w:p>
    <w:tbl>
      <w:tblPr>
        <w:tblStyle w:val="TableGrid"/>
        <w:tblW w:type="auto" w:w="0"/>
        <w:tblLayout w:type="autofit"/>
        <w:tblLook w:firstColumn="1" w:firstRow="1" w:lastColumn="0" w:lastRow="0" w:noHBand="0" w:noVBand="1" w:val="04A0"/>
      </w:tblPr>
      <w:tblGrid>
        <w:gridCol w:w="4939"/>
        <w:gridCol w:w="4939"/>
      </w:tblGrid>
      <w:tr>
        <w:trPr>
          <w:cantSplit/>
          <w:tblHeader w:val="true"/>
          <w:tblHeader w:val="true"/>
        </w:trPr>
        <w:tc>
          <w:tcPr>
            <w:tcW w:type="dxa" w:w="4939"/>
            <w:vAlign w:val="center"/>
            <w:shd w:fill="17365D"/>
          </w:tcPr>
          <w:p>
            <w:pPr>
              <w:spacing w:after="0" w:before="0" w:line="252" w:lineRule="auto"/>
            </w:pPr>
            <w:r>
              <w:rPr>
                <w:rFonts w:ascii="Arial Unicode MS" w:hAnsi="Arial Unicode MS" w:eastAsia="Arial Unicode MS"/>
                <w:b/>
                <w:color w:val="FFFFFF"/>
                <w:sz w:val="17"/>
              </w:rPr>
            </w:r>
            <w:r>
              <w:rPr>
                <w:rFonts w:ascii="Arial Unicode MS" w:hAnsi="Arial Unicode MS" w:eastAsia="Arial Unicode MS"/>
                <w:b/>
                <w:color w:val="FFFFFF"/>
                <w:sz w:val="17"/>
              </w:rPr>
              <w:t>受控修订项</w:t>
            </w:r>
          </w:p>
        </w:tc>
        <w:tc>
          <w:tcPr>
            <w:tcW w:type="dxa" w:w="4939"/>
            <w:vAlign w:val="center"/>
            <w:shd w:fill="17365D"/>
          </w:tcPr>
          <w:p>
            <w:pPr>
              <w:spacing w:after="0" w:before="0" w:line="252" w:lineRule="auto"/>
            </w:pPr>
            <w:r>
              <w:rPr>
                <w:rFonts w:ascii="Arial Unicode MS" w:hAnsi="Arial Unicode MS" w:eastAsia="Arial Unicode MS"/>
                <w:b/>
                <w:color w:val="FFFFFF"/>
                <w:sz w:val="17"/>
              </w:rPr>
            </w:r>
            <w:r>
              <w:rPr>
                <w:rFonts w:ascii="Arial Unicode MS" w:hAnsi="Arial Unicode MS" w:eastAsia="Arial Unicode MS"/>
                <w:b/>
                <w:color w:val="FFFFFF"/>
                <w:sz w:val="17"/>
              </w:rPr>
              <w:t>v1.0.1 处理</w:t>
            </w:r>
          </w:p>
        </w:tc>
      </w:tr>
      <w:tr>
        <w:trPr>
          <w:cantSplit/>
        </w:trPr>
        <w:tc>
          <w:tcPr>
            <w:tcW w:type="dxa" w:w="4939"/>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Research Question</w:t>
            </w:r>
          </w:p>
        </w:tc>
        <w:tc>
          <w:tcPr>
            <w:tcW w:type="dxa" w:w="4939"/>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正式化为 Study 前可独立存在的领域对象，并补全 Question → Hypothesis → Study / Protocol 关系</w:t>
            </w:r>
          </w:p>
        </w:tc>
      </w:tr>
      <w:tr>
        <w:trPr>
          <w:cantSplit/>
        </w:trPr>
        <w:tc>
          <w:tcPr>
            <w:tcW w:type="dxa" w:w="4939"/>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Evidence / Knowledge / Asset</w:t>
            </w:r>
          </w:p>
        </w:tc>
        <w:tc>
          <w:tcPr>
            <w:tcW w:type="dxa" w:w="4939"/>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明确外部来源、活跃知识工作和受治理长期资产的差异与转换链</w:t>
            </w:r>
          </w:p>
        </w:tc>
      </w:tr>
      <w:tr>
        <w:trPr>
          <w:cantSplit/>
        </w:trPr>
        <w:tc>
          <w:tcPr>
            <w:tcW w:type="dxa" w:w="4939"/>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Professor Demo</w:t>
            </w:r>
          </w:p>
        </w:tc>
        <w:tc>
          <w:tcPr>
            <w:tcW w:type="dxa" w:w="4939"/>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增加 Demo Scope、Fidelity Matrix、Mock 约束与 Production MVP 边界</w:t>
            </w:r>
          </w:p>
        </w:tc>
      </w:tr>
      <w:tr>
        <w:trPr>
          <w:cantSplit/>
        </w:trPr>
        <w:tc>
          <w:tcPr>
            <w:tcW w:type="dxa" w:w="4939"/>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Professor Validation</w:t>
            </w:r>
          </w:p>
        </w:tc>
        <w:tc>
          <w:tcPr>
            <w:tcW w:type="dxa" w:w="4939"/>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保留八任务库，新增 Session #1 五任务、AI Trust 横向维度和单样本证据规则</w:t>
            </w:r>
          </w:p>
        </w:tc>
      </w:tr>
      <w:tr>
        <w:trPr>
          <w:cantSplit/>
        </w:trPr>
        <w:tc>
          <w:tcPr>
            <w:tcW w:type="dxa" w:w="4939"/>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Glossary</w:t>
            </w:r>
          </w:p>
        </w:tc>
        <w:tc>
          <w:tcPr>
            <w:tcW w:type="dxa" w:w="4939"/>
            <w:vAlign w:val="center"/>
            <w:shd w:fill="FFFFFF"/>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为 Product、A1、A2、A3、A4 与 Codex 建立统一概念表；教授端使用自然中文</w:t>
            </w:r>
          </w:p>
        </w:tc>
      </w:tr>
      <w:tr>
        <w:trPr>
          <w:cantSplit/>
        </w:trPr>
        <w:tc>
          <w:tcPr>
            <w:tcW w:type="dxa" w:w="4939"/>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Registers</w:t>
            </w:r>
          </w:p>
        </w:tc>
        <w:tc>
          <w:tcPr>
            <w:tcW w:type="dxa" w:w="4939"/>
            <w:vAlign w:val="center"/>
            <w:shd w:fill="EEF4FA"/>
          </w:tcPr>
          <w:p>
            <w:pPr>
              <w:spacing w:after="0" w:before="0" w:line="252" w:lineRule="auto"/>
            </w:pPr>
            <w:r>
              <w:rPr>
                <w:rFonts w:ascii="Arial Unicode MS" w:hAnsi="Arial Unicode MS" w:eastAsia="Arial Unicode MS"/>
                <w:color w:val="202124"/>
                <w:sz w:val="17"/>
              </w:rPr>
            </w:r>
            <w:r>
              <w:rPr>
                <w:rFonts w:ascii="Arial Unicode MS" w:hAnsi="Arial Unicode MS" w:eastAsia="Arial Unicode MS"/>
                <w:b w:val="0"/>
                <w:color w:val="202124"/>
                <w:sz w:val="17"/>
              </w:rPr>
              <w:t>首两项 Open Question 编号规范为 OQ-001/002；新增 HYP-013、OQ-015、OQ-016、LATER-09；澄清 OQ-013/014；未新增或修改 DEC 语义</w:t>
            </w:r>
          </w:p>
        </w:tc>
      </w:tr>
    </w:tbl>
    <w:p>
      <w:r>
        <w:rPr>
          <w:rFonts w:ascii="Arial Unicode MS" w:hAnsi="Arial Unicode MS" w:eastAsia="Arial Unicode MS"/>
        </w:rPr>
        <w:t>阶段影响：A1 更新对象与关系标注；A2 对现有中文原型补充 Question、Evidence/Knowledge/Asset 与 Demo 真实性边界，不要求扩大页面范围；A3 以 Session #1、横向 AI Trust 和方向性证据规则为准；A4 仅在 Product Owner 批准后使用本基线作为输入，本修订不启动 A4。</w:t>
      </w:r>
    </w:p>
    <w:sectPr w:rsidR="00FC693F" w:rsidRPr="0006063C" w:rsidSect="00034616">
      <w:footerReference w:type="default" r:id="rId9"/>
      <w:headerReference w:type="default" r:id="rId10"/>
      <w:pgSz w:w="12240" w:h="15840"/>
      <w:pgMar w:top="1181" w:right="1181" w:bottom="1800" w:left="1181" w:header="720" w:footer="17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b w:val="0"/>
        <w:i w:val="0"/>
        <w:color w:val="666666"/>
        <w:sz w:val="16"/>
      </w:rPr>
      <w:t xml:space="preserve">岐研 Product Baseline v1.0.1   </w:t>
    </w:r>
    <w:r>
      <w:rPr>
        <w:rFonts w:ascii="Arial Unicode MS" w:hAnsi="Arial Unicode MS" w:eastAsia="Arial Unicode MS"/>
        <w:b w:val="0"/>
        <w:i w:val="0"/>
        <w:color w:val="666666"/>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17" w:lineRule="auto"/>
    </w:pPr>
    <w:rPr>
      <w:rFonts w:ascii="Arial Unicode MS" w:hAnsi="Arial Unicode MS" w:eastAsia="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Unicode MS" w:hAnsi="Arial Unicode MS" w:eastAsia="Arial Unicode MS"/>
    </w:rPr>
  </w:style>
  <w:style w:type="character" w:customStyle="1" w:styleId="HeaderChar">
    <w:name w:val="Header Char"/>
    <w:basedOn w:val="DefaultParagraphFont"/>
    <w:link w:val="Header"/>
    <w:uiPriority w:val="99"/>
    <w:rsid w:val="00E618BF"/>
    <w:rPr>
      <w:rFonts w:ascii="Arial Unicode MS" w:hAnsi="Arial Unicode MS" w:eastAsia="Arial Unicode M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Unicode MS" w:hAnsi="Arial Unicode MS" w:eastAsia="Arial Unicode MS"/>
    </w:rPr>
  </w:style>
  <w:style w:type="character" w:customStyle="1" w:styleId="FooterChar">
    <w:name w:val="Footer Char"/>
    <w:basedOn w:val="DefaultParagraphFont"/>
    <w:link w:val="Footer"/>
    <w:uiPriority w:val="99"/>
    <w:rsid w:val="00E618BF"/>
    <w:rPr>
      <w:rFonts w:ascii="Arial Unicode MS" w:hAnsi="Arial Unicode MS" w:eastAsia="Arial Unicode MS"/>
    </w:rPr>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Unicode MS" w:hAnsi="Arial Unicode MS" w:eastAsia="Arial Unicode MS"/>
      <w:b/>
      <w:bCs/>
      <w:color w:val="000000"/>
      <w:sz w:val="33"/>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Unicode MS" w:hAnsi="Arial Unicode MS" w:eastAsia="Arial Unicode M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Unicode MS" w:hAnsi="Arial Unicode MS" w:eastAsia="Arial Unicode M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Unicode MS" w:hAnsi="Arial Unicode MS" w:eastAsia="Arial Unicode M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Unicode MS" w:hAnsi="Arial Unicode MS" w:eastAsia="Arial Unicode M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Unicode MS" w:hAnsi="Arial Unicode MS" w:eastAsia="Arial Unicode M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Unicode MS" w:hAnsi="Arial Unicode MS" w:eastAsia="Arial Unicode M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Unicode MS" w:hAnsi="Arial Unicode MS" w:eastAsia="Arial Unicode M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Unicode MS" w:hAnsi="Arial Unicode MS" w:eastAsia="Arial Unicode MS"/>
      <w:i/>
      <w:iCs/>
      <w:color w:val="404040" w:themeColor="text1" w:themeTint="BF"/>
      <w:sz w:val="20"/>
      <w:szCs w:val="20"/>
    </w:rPr>
  </w:style>
  <w:style w:type="character" w:default="1" w:styleId="DefaultParagraphFont">
    <w:name w:val="Default Paragraph Font"/>
    <w:uiPriority w:val="1"/>
    <w:semiHidden/>
    <w:unhideWhenUsed/>
    <w:rPr>
      <w:rFonts w:ascii="Arial Unicode MS" w:hAnsi="Arial Unicode MS" w:eastAsia="Arial Unicode MS"/>
    </w:rPr>
  </w:style>
  <w:style w:type="table" w:default="1" w:styleId="TableNormal">
    <w:name w:val="Normal Table"/>
    <w:uiPriority w:val="99"/>
    <w:semiHidden/>
    <w:unhideWhenUsed/>
    <w:rPr>
      <w:rFonts w:ascii="Arial Unicode MS" w:hAnsi="Arial Unicode MS" w:eastAsia="Arial Unicode MS"/>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Unicode MS" w:hAnsi="Arial Unicode MS" w:eastAsia="Arial Unicode M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Unicode MS" w:hAnsi="Arial Unicode MS" w:eastAsia="Arial Unicode M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Unicode MS" w:hAnsi="Arial Unicode MS" w:eastAsia="Arial Unicode MS"/>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Unicode MS" w:hAnsi="Arial Unicode MS" w:eastAsia="Arial Unicode M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Unicode MS" w:hAnsi="Arial Unicode MS" w:eastAsia="Arial Unicode M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Unicode MS" w:hAnsi="Arial Unicode MS" w:eastAsia="Arial Unicode M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Unicode MS" w:hAnsi="Arial Unicode MS" w:eastAsia="Arial Unicode M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Unicode MS" w:hAnsi="Arial Unicode MS" w:eastAsia="Arial Unicode MS"/>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Unicode MS" w:hAnsi="Arial Unicode MS" w:eastAsia="Arial Unicode MS"/>
    </w:rPr>
  </w:style>
  <w:style w:type="paragraph" w:styleId="BodyText">
    <w:name w:val="Body Text"/>
    <w:basedOn w:val="Normal"/>
    <w:link w:val="BodyTextChar"/>
    <w:uiPriority w:val="99"/>
    <w:unhideWhenUsed/>
    <w:rsid w:val="00AA1D8D"/>
    <w:pPr>
      <w:spacing w:after="120"/>
    </w:pPr>
    <w:rPr>
      <w:rFonts w:ascii="Arial Unicode MS" w:hAnsi="Arial Unicode MS" w:eastAsia="Arial Unicode MS"/>
    </w:rPr>
  </w:style>
  <w:style w:type="character" w:customStyle="1" w:styleId="BodyTextChar">
    <w:name w:val="Body Text Char"/>
    <w:basedOn w:val="DefaultParagraphFont"/>
    <w:link w:val="BodyText"/>
    <w:uiPriority w:val="99"/>
    <w:rsid w:val="00AA1D8D"/>
    <w:rPr>
      <w:rFonts w:ascii="Arial Unicode MS" w:hAnsi="Arial Unicode MS" w:eastAsia="Arial Unicode MS"/>
    </w:rPr>
  </w:style>
  <w:style w:type="paragraph" w:styleId="BodyText2">
    <w:name w:val="Body Text 2"/>
    <w:basedOn w:val="Normal"/>
    <w:link w:val="BodyText2Char"/>
    <w:uiPriority w:val="99"/>
    <w:unhideWhenUsed/>
    <w:rsid w:val="00AA1D8D"/>
    <w:pPr>
      <w:spacing w:after="120" w:line="480" w:lineRule="auto"/>
    </w:pPr>
    <w:rPr>
      <w:rFonts w:ascii="Arial Unicode MS" w:hAnsi="Arial Unicode MS" w:eastAsia="Arial Unicode MS"/>
    </w:rPr>
  </w:style>
  <w:style w:type="character" w:customStyle="1" w:styleId="BodyText2Char">
    <w:name w:val="Body Text 2 Char"/>
    <w:basedOn w:val="DefaultParagraphFont"/>
    <w:link w:val="BodyText2"/>
    <w:uiPriority w:val="99"/>
    <w:rsid w:val="00AA1D8D"/>
    <w:rPr>
      <w:rFonts w:ascii="Arial Unicode MS" w:hAnsi="Arial Unicode MS" w:eastAsia="Arial Unicode MS"/>
    </w:rPr>
  </w:style>
  <w:style w:type="paragraph" w:styleId="BodyText3">
    <w:name w:val="Body Text 3"/>
    <w:basedOn w:val="Normal"/>
    <w:link w:val="BodyText3Char"/>
    <w:uiPriority w:val="99"/>
    <w:unhideWhenUsed/>
    <w:rsid w:val="00AA1D8D"/>
    <w:pPr>
      <w:spacing w:after="120"/>
    </w:pPr>
    <w:rPr>
      <w:rFonts w:ascii="Arial Unicode MS" w:hAnsi="Arial Unicode MS" w:eastAsia="Arial Unicode MS"/>
      <w:sz w:val="16"/>
      <w:szCs w:val="16"/>
    </w:rPr>
  </w:style>
  <w:style w:type="character" w:customStyle="1" w:styleId="BodyText3Char">
    <w:name w:val="Body Text 3 Char"/>
    <w:basedOn w:val="DefaultParagraphFont"/>
    <w:link w:val="BodyText3"/>
    <w:uiPriority w:val="99"/>
    <w:rsid w:val="00AA1D8D"/>
    <w:rPr>
      <w:rFonts w:ascii="Arial Unicode MS" w:hAnsi="Arial Unicode MS" w:eastAsia="Arial Unicode MS"/>
      <w:sz w:val="16"/>
      <w:szCs w:val="16"/>
    </w:rPr>
  </w:style>
  <w:style w:type="paragraph" w:styleId="List">
    <w:name w:val="List"/>
    <w:basedOn w:val="Normal"/>
    <w:uiPriority w:val="99"/>
    <w:unhideWhenUsed/>
    <w:rsid w:val="00AA1D8D"/>
    <w:pPr>
      <w:ind w:left="360" w:hanging="360"/>
      <w:contextualSpacing/>
    </w:pPr>
    <w:rPr>
      <w:rFonts w:ascii="Arial Unicode MS" w:hAnsi="Arial Unicode MS" w:eastAsia="Arial Unicode MS"/>
    </w:rPr>
  </w:style>
  <w:style w:type="paragraph" w:styleId="List2">
    <w:name w:val="List 2"/>
    <w:basedOn w:val="Normal"/>
    <w:uiPriority w:val="99"/>
    <w:unhideWhenUsed/>
    <w:rsid w:val="00326F90"/>
    <w:pPr>
      <w:ind w:left="720" w:hanging="360"/>
      <w:contextualSpacing/>
    </w:pPr>
    <w:rPr>
      <w:rFonts w:ascii="Arial Unicode MS" w:hAnsi="Arial Unicode MS" w:eastAsia="Arial Unicode MS"/>
    </w:rPr>
  </w:style>
  <w:style w:type="paragraph" w:styleId="List3">
    <w:name w:val="List 3"/>
    <w:basedOn w:val="Normal"/>
    <w:uiPriority w:val="99"/>
    <w:unhideWhenUsed/>
    <w:rsid w:val="00326F90"/>
    <w:pPr>
      <w:ind w:left="1080" w:hanging="360"/>
      <w:contextualSpacing/>
    </w:pPr>
    <w:rPr>
      <w:rFonts w:ascii="Arial Unicode MS" w:hAnsi="Arial Unicode MS" w:eastAsia="Arial Unicode MS"/>
    </w:rPr>
  </w:style>
  <w:style w:type="paragraph" w:styleId="ListBullet">
    <w:name w:val="List Bullet"/>
    <w:basedOn w:val="Normal"/>
    <w:uiPriority w:val="99"/>
    <w:unhideWhenUsed/>
    <w:rsid w:val="00326F90"/>
    <w:pPr>
      <w:numPr>
        <w:numId w:val="1"/>
      </w:numPr>
      <w:contextualSpacing/>
    </w:pPr>
    <w:rPr>
      <w:rFonts w:ascii="Arial Unicode MS" w:hAnsi="Arial Unicode MS" w:eastAsia="Arial Unicode MS"/>
      <w:sz w:val="21"/>
    </w:rPr>
  </w:style>
  <w:style w:type="paragraph" w:styleId="ListBullet2">
    <w:name w:val="List Bullet 2"/>
    <w:basedOn w:val="Normal"/>
    <w:uiPriority w:val="99"/>
    <w:unhideWhenUsed/>
    <w:rsid w:val="00326F90"/>
    <w:pPr>
      <w:numPr>
        <w:numId w:val="2"/>
      </w:numPr>
      <w:contextualSpacing/>
    </w:pPr>
    <w:rPr>
      <w:rFonts w:ascii="Arial Unicode MS" w:hAnsi="Arial Unicode MS" w:eastAsia="Arial Unicode MS"/>
      <w:sz w:val="21"/>
    </w:rPr>
  </w:style>
  <w:style w:type="paragraph" w:styleId="ListBullet3">
    <w:name w:val="List Bullet 3"/>
    <w:basedOn w:val="Normal"/>
    <w:uiPriority w:val="99"/>
    <w:unhideWhenUsed/>
    <w:rsid w:val="00326F90"/>
    <w:pPr>
      <w:numPr>
        <w:numId w:val="3"/>
      </w:numPr>
      <w:contextualSpacing/>
    </w:pPr>
    <w:rPr>
      <w:rFonts w:ascii="Arial Unicode MS" w:hAnsi="Arial Unicode MS" w:eastAsia="Arial Unicode MS"/>
    </w:rPr>
  </w:style>
  <w:style w:type="paragraph" w:styleId="ListNumber">
    <w:name w:val="List Number"/>
    <w:basedOn w:val="Normal"/>
    <w:uiPriority w:val="99"/>
    <w:unhideWhenUsed/>
    <w:rsid w:val="00326F90"/>
    <w:pPr>
      <w:numPr>
        <w:numId w:val="5"/>
      </w:numPr>
      <w:contextualSpacing/>
    </w:pPr>
    <w:rPr>
      <w:rFonts w:ascii="Arial Unicode MS" w:hAnsi="Arial Unicode MS" w:eastAsia="Arial Unicode MS"/>
      <w:sz w:val="21"/>
    </w:rPr>
  </w:style>
  <w:style w:type="paragraph" w:styleId="ListNumber2">
    <w:name w:val="List Number 2"/>
    <w:basedOn w:val="Normal"/>
    <w:uiPriority w:val="99"/>
    <w:unhideWhenUsed/>
    <w:rsid w:val="0029639D"/>
    <w:pPr>
      <w:numPr>
        <w:numId w:val="6"/>
      </w:numPr>
      <w:contextualSpacing/>
    </w:pPr>
    <w:rPr>
      <w:rFonts w:ascii="Arial Unicode MS" w:hAnsi="Arial Unicode MS" w:eastAsia="Arial Unicode MS"/>
    </w:rPr>
  </w:style>
  <w:style w:type="paragraph" w:styleId="ListNumber3">
    <w:name w:val="List Number 3"/>
    <w:basedOn w:val="Normal"/>
    <w:uiPriority w:val="99"/>
    <w:unhideWhenUsed/>
    <w:rsid w:val="0029639D"/>
    <w:pPr>
      <w:numPr>
        <w:numId w:val="7"/>
      </w:numPr>
      <w:contextualSpacing/>
    </w:pPr>
    <w:rPr>
      <w:rFonts w:ascii="Arial Unicode MS" w:hAnsi="Arial Unicode MS" w:eastAsia="Arial Unicode MS"/>
    </w:rPr>
  </w:style>
  <w:style w:type="paragraph" w:styleId="ListContinue">
    <w:name w:val="List Continue"/>
    <w:basedOn w:val="Normal"/>
    <w:uiPriority w:val="99"/>
    <w:unhideWhenUsed/>
    <w:rsid w:val="0029639D"/>
    <w:pPr>
      <w:spacing w:after="120"/>
      <w:ind w:left="360"/>
      <w:contextualSpacing/>
    </w:pPr>
    <w:rPr>
      <w:rFonts w:ascii="Arial Unicode MS" w:hAnsi="Arial Unicode MS" w:eastAsia="Arial Unicode MS"/>
    </w:rPr>
  </w:style>
  <w:style w:type="paragraph" w:styleId="ListContinue2">
    <w:name w:val="List Continue 2"/>
    <w:basedOn w:val="Normal"/>
    <w:uiPriority w:val="99"/>
    <w:unhideWhenUsed/>
    <w:rsid w:val="0029639D"/>
    <w:pPr>
      <w:spacing w:after="120"/>
      <w:ind w:left="720"/>
      <w:contextualSpacing/>
    </w:pPr>
    <w:rPr>
      <w:rFonts w:ascii="Arial Unicode MS" w:hAnsi="Arial Unicode MS" w:eastAsia="Arial Unicode MS"/>
    </w:rPr>
  </w:style>
  <w:style w:type="paragraph" w:styleId="ListContinue3">
    <w:name w:val="List Continue 3"/>
    <w:basedOn w:val="Normal"/>
    <w:uiPriority w:val="99"/>
    <w:unhideWhenUsed/>
    <w:rsid w:val="0029639D"/>
    <w:pPr>
      <w:spacing w:after="120"/>
      <w:ind w:left="1080"/>
      <w:contextualSpacing/>
    </w:pPr>
    <w:rPr>
      <w:rFonts w:ascii="Arial Unicode MS" w:hAnsi="Arial Unicode MS" w:eastAsia="Arial Unicode M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Unicode MS" w:hAnsi="Arial Unicode MS" w:eastAsia="Arial Unicode MS"/>
      <w:sz w:val="20"/>
      <w:szCs w:val="20"/>
    </w:rPr>
  </w:style>
  <w:style w:type="character" w:customStyle="1" w:styleId="MacroTextChar">
    <w:name w:val="Macro Text Char"/>
    <w:basedOn w:val="DefaultParagraphFont"/>
    <w:link w:val="MacroText"/>
    <w:uiPriority w:val="99"/>
    <w:rsid w:val="0029639D"/>
    <w:rPr>
      <w:rFonts w:ascii="Arial Unicode MS" w:hAnsi="Arial Unicode MS" w:eastAsia="Arial Unicode MS"/>
      <w:sz w:val="20"/>
      <w:szCs w:val="20"/>
    </w:rPr>
  </w:style>
  <w:style w:type="paragraph" w:styleId="Quote">
    <w:name w:val="Quote"/>
    <w:basedOn w:val="Normal"/>
    <w:next w:val="Normal"/>
    <w:link w:val="QuoteChar"/>
    <w:uiPriority w:val="29"/>
    <w:qFormat/>
    <w:rsid w:val="00FC693F"/>
    <w:rPr>
      <w:rFonts w:ascii="Arial Unicode MS" w:hAnsi="Arial Unicode MS" w:eastAsia="Arial Unicode MS"/>
      <w:i/>
      <w:iCs/>
      <w:color w:val="000000" w:themeColor="text1"/>
    </w:rPr>
  </w:style>
  <w:style w:type="character" w:customStyle="1" w:styleId="QuoteChar">
    <w:name w:val="Quote Char"/>
    <w:basedOn w:val="DefaultParagraphFont"/>
    <w:link w:val="Quote"/>
    <w:uiPriority w:val="29"/>
    <w:rsid w:val="00FC693F"/>
    <w:rPr>
      <w:rFonts w:ascii="Arial Unicode MS" w:hAnsi="Arial Unicode MS" w:eastAsia="Arial Unicode MS"/>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Unicode MS" w:hAnsi="Arial Unicode MS" w:eastAsia="Arial Unicode MS"/>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Unicode MS" w:hAnsi="Arial Unicode MS" w:eastAsia="Arial Unicode MS"/>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Unicode MS" w:hAnsi="Arial Unicode MS" w:eastAsia="Arial Unicode MS"/>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Unicode MS" w:hAnsi="Arial Unicode MS" w:eastAsia="Arial Unicode MS"/>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Unicode MS" w:hAnsi="Arial Unicode MS" w:eastAsia="Arial Unicode MS"/>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Unicode MS" w:hAnsi="Arial Unicode MS" w:eastAsia="Arial Unicode M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Unicode MS" w:hAnsi="Arial Unicode MS" w:eastAsia="Arial Unicode MS"/>
      <w:b/>
      <w:bCs/>
      <w:color w:val="4F81BD" w:themeColor="accent1"/>
      <w:sz w:val="18"/>
      <w:szCs w:val="18"/>
    </w:rPr>
  </w:style>
  <w:style w:type="character" w:styleId="Strong">
    <w:name w:val="Strong"/>
    <w:basedOn w:val="DefaultParagraphFont"/>
    <w:uiPriority w:val="22"/>
    <w:qFormat/>
    <w:rsid w:val="00FC693F"/>
    <w:rPr>
      <w:rFonts w:ascii="Arial Unicode MS" w:hAnsi="Arial Unicode MS" w:eastAsia="Arial Unicode MS"/>
      <w:b/>
      <w:bCs/>
    </w:rPr>
  </w:style>
  <w:style w:type="character" w:styleId="Emphasis">
    <w:name w:val="Emphasis"/>
    <w:basedOn w:val="DefaultParagraphFont"/>
    <w:uiPriority w:val="20"/>
    <w:qFormat/>
    <w:rsid w:val="00FC693F"/>
    <w:rPr>
      <w:rFonts w:ascii="Arial Unicode MS" w:hAnsi="Arial Unicode MS" w:eastAsia="Arial Unicode MS"/>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Unicode MS" w:hAnsi="Arial Unicode MS" w:eastAsia="Arial Unicode MS"/>
      <w:b/>
      <w:bCs/>
      <w:i/>
      <w:iCs/>
      <w:color w:val="4F81BD" w:themeColor="accent1"/>
    </w:rPr>
  </w:style>
  <w:style w:type="character" w:customStyle="1" w:styleId="IntenseQuoteChar">
    <w:name w:val="Intense Quote Char"/>
    <w:basedOn w:val="DefaultParagraphFont"/>
    <w:link w:val="IntenseQuote"/>
    <w:uiPriority w:val="30"/>
    <w:rsid w:val="00FC693F"/>
    <w:rPr>
      <w:rFonts w:ascii="Arial Unicode MS" w:hAnsi="Arial Unicode MS" w:eastAsia="Arial Unicode MS"/>
      <w:b/>
      <w:bCs/>
      <w:i/>
      <w:iCs/>
      <w:color w:val="4F81BD" w:themeColor="accent1"/>
    </w:rPr>
  </w:style>
  <w:style w:type="character" w:styleId="SubtleEmphasis">
    <w:name w:val="Subtle Emphasis"/>
    <w:basedOn w:val="DefaultParagraphFont"/>
    <w:uiPriority w:val="19"/>
    <w:qFormat/>
    <w:rsid w:val="00FC693F"/>
    <w:rPr>
      <w:rFonts w:ascii="Arial Unicode MS" w:hAnsi="Arial Unicode MS" w:eastAsia="Arial Unicode MS"/>
      <w:i/>
      <w:iCs/>
      <w:color w:val="808080" w:themeColor="text1" w:themeTint="7F"/>
    </w:rPr>
  </w:style>
  <w:style w:type="character" w:styleId="IntenseEmphasis">
    <w:name w:val="Intense Emphasis"/>
    <w:basedOn w:val="DefaultParagraphFont"/>
    <w:uiPriority w:val="21"/>
    <w:qFormat/>
    <w:rsid w:val="00FC693F"/>
    <w:rPr>
      <w:rFonts w:ascii="Arial Unicode MS" w:hAnsi="Arial Unicode MS" w:eastAsia="Arial Unicode MS"/>
      <w:b/>
      <w:bCs/>
      <w:i/>
      <w:iCs/>
      <w:color w:val="4F81BD" w:themeColor="accent1"/>
    </w:rPr>
  </w:style>
  <w:style w:type="character" w:styleId="SubtleReference">
    <w:name w:val="Subtle Reference"/>
    <w:basedOn w:val="DefaultParagraphFont"/>
    <w:uiPriority w:val="31"/>
    <w:qFormat/>
    <w:rsid w:val="00FC693F"/>
    <w:rPr>
      <w:rFonts w:ascii="Arial Unicode MS" w:hAnsi="Arial Unicode MS" w:eastAsia="Arial Unicode MS"/>
      <w:smallCaps/>
      <w:color w:val="C0504D" w:themeColor="accent2"/>
      <w:u w:val="single"/>
    </w:rPr>
  </w:style>
  <w:style w:type="character" w:styleId="IntenseReference">
    <w:name w:val="Intense Reference"/>
    <w:basedOn w:val="DefaultParagraphFont"/>
    <w:uiPriority w:val="32"/>
    <w:qFormat/>
    <w:rsid w:val="00FC693F"/>
    <w:rPr>
      <w:rFonts w:ascii="Arial Unicode MS" w:hAnsi="Arial Unicode MS" w:eastAsia="Arial Unicode MS"/>
      <w:b/>
      <w:bCs/>
      <w:smallCaps/>
      <w:color w:val="C0504D" w:themeColor="accent2"/>
      <w:spacing w:val="5"/>
      <w:u w:val="single"/>
    </w:rPr>
  </w:style>
  <w:style w:type="character" w:styleId="BookTitle">
    <w:name w:val="Book Title"/>
    <w:basedOn w:val="DefaultParagraphFont"/>
    <w:uiPriority w:val="33"/>
    <w:qFormat/>
    <w:rsid w:val="00FC693F"/>
    <w:rPr>
      <w:rFonts w:ascii="Arial Unicode MS" w:hAnsi="Arial Unicode MS" w:eastAsia="Arial Unicode MS"/>
      <w:b/>
      <w:bCs/>
      <w:smallCaps/>
      <w:spacing w:val="5"/>
    </w:rPr>
  </w:style>
  <w:style w:type="paragraph" w:styleId="TOCHeading">
    <w:name w:val="TOC Heading"/>
    <w:basedOn w:val="Heading1"/>
    <w:next w:val="Normal"/>
    <w:uiPriority w:val="39"/>
    <w:semiHidden/>
    <w:unhideWhenUsed/>
    <w:qFormat/>
    <w:rsid w:val="00FC693F"/>
    <w:pPr>
      <w:outlineLvl w:val="9"/>
    </w:pPr>
    <w:rPr>
      <w:rFonts w:ascii="Arial Unicode MS" w:hAnsi="Arial Unicode MS" w:eastAsia="Arial Unicode MS"/>
    </w:rPr>
  </w:style>
  <w:style w:type="table" w:styleId="TableGrid">
    <w:name w:val="Table Grid"/>
    <w:basedOn w:val="TableNormal"/>
    <w:uiPriority w:val="59"/>
    <w:rsid w:val="00FC693F"/>
    <w:pPr>
      <w:spacing w:after="0" w:line="240" w:lineRule="auto"/>
    </w:pPr>
    <w:rPr>
      <w:rFonts w:ascii="Arial Unicode MS" w:hAnsi="Arial Unicode MS" w:eastAsia="Arial Unicode M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Unicode MS" w:hAnsi="Arial Unicode MS" w:eastAsia="Arial Unicode MS"/>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Unicode MS" w:hAnsi="Arial Unicode MS" w:eastAsia="Arial Unicode MS"/>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Unicode MS" w:hAnsi="Arial Unicode MS" w:eastAsia="Arial Unicode MS"/>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Unicode MS" w:hAnsi="Arial Unicode MS" w:eastAsia="Arial Unicode MS"/>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Unicode MS" w:hAnsi="Arial Unicode MS" w:eastAsia="Arial Unicode MS"/>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Unicode MS" w:hAnsi="Arial Unicode MS" w:eastAsia="Arial Unicode MS"/>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Unicode MS" w:hAnsi="Arial Unicode MS" w:eastAsia="Arial Unicode MS"/>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Unicode MS" w:hAnsi="Arial Unicode MS" w:eastAsia="Arial Unicode M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Unicode MS" w:hAnsi="Arial Unicode MS" w:eastAsia="Arial Unicode M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Unicode MS" w:hAnsi="Arial Unicode MS" w:eastAsia="Arial Unicode M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Unicode MS" w:hAnsi="Arial Unicode MS" w:eastAsia="Arial Unicode M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Unicode MS" w:hAnsi="Arial Unicode MS" w:eastAsia="Arial Unicode M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Unicode MS" w:hAnsi="Arial Unicode MS" w:eastAsia="Arial Unicode M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Unicode MS" w:hAnsi="Arial Unicode MS" w:eastAsia="Arial Unicode M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Unicode MS" w:hAnsi="Arial Unicode MS" w:eastAsia="Arial Unicode M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Unicode MS" w:hAnsi="Arial Unicode MS" w:eastAsia="Arial Unicode M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Unicode MS" w:hAnsi="Arial Unicode MS" w:eastAsia="Arial Unicode M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Unicode MS" w:hAnsi="Arial Unicode MS" w:eastAsia="Arial Unicode M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Unicode MS" w:hAnsi="Arial Unicode MS" w:eastAsia="Arial Unicode M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Unicode MS" w:hAnsi="Arial Unicode MS" w:eastAsia="Arial Unicode M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Unicode MS" w:hAnsi="Arial Unicode MS" w:eastAsia="Arial Unicode M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Unicode MS" w:hAnsi="Arial Unicode MS" w:eastAsia="Arial Unicode M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Unicode MS" w:hAnsi="Arial Unicode MS" w:eastAsia="Arial Unicode M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Unicode MS" w:hAnsi="Arial Unicode MS" w:eastAsia="Arial Unicode M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Unicode MS" w:hAnsi="Arial Unicode MS" w:eastAsia="Arial Unicode M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Unicode MS" w:hAnsi="Arial Unicode MS" w:eastAsia="Arial Unicode M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Unicode MS" w:hAnsi="Arial Unicode MS" w:eastAsia="Arial Unicode M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Unicode MS" w:hAnsi="Arial Unicode MS" w:eastAsia="Arial Unicode M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Unicode MS" w:hAnsi="Arial Unicode MS" w:eastAsia="Arial Unicode M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Unicode MS" w:hAnsi="Arial Unicode MS" w:eastAsia="Arial Unicode M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Unicode MS" w:hAnsi="Arial Unicode MS" w:eastAsia="Arial Unicode M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Unicode MS" w:hAnsi="Arial Unicode MS" w:eastAsia="Arial Unicode M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Unicode MS" w:hAnsi="Arial Unicode MS" w:eastAsia="Arial Unicode M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Unicode MS" w:hAnsi="Arial Unicode MS" w:eastAsia="Arial Unicode M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Unicode MS" w:hAnsi="Arial Unicode MS" w:eastAsia="Arial Unicode M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Unicode MS" w:hAnsi="Arial Unicode MS" w:eastAsia="Arial Unicode MS"/>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Unicode MS" w:hAnsi="Arial Unicode MS" w:eastAsia="Arial Unicode MS"/>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Unicode MS" w:hAnsi="Arial Unicode MS" w:eastAsia="Arial Unicode MS"/>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Unicode MS" w:hAnsi="Arial Unicode MS" w:eastAsia="Arial Unicode MS"/>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Unicode MS" w:hAnsi="Arial Unicode MS" w:eastAsia="Arial Unicode MS"/>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Unicode MS" w:hAnsi="Arial Unicode MS" w:eastAsia="Arial Unicode MS"/>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Unicode MS" w:hAnsi="Arial Unicode MS" w:eastAsia="Arial Unicode MS"/>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Unicode MS" w:hAnsi="Arial Unicode MS" w:eastAsia="Arial Unicode M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Unicode MS" w:hAnsi="Arial Unicode MS" w:eastAsia="Arial Unicode M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Unicode MS" w:hAnsi="Arial Unicode MS" w:eastAsia="Arial Unicode M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Unicode MS" w:hAnsi="Arial Unicode MS" w:eastAsia="Arial Unicode M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Unicode MS" w:hAnsi="Arial Unicode MS" w:eastAsia="Arial Unicode M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Unicode MS" w:hAnsi="Arial Unicode MS" w:eastAsia="Arial Unicode M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Unicode MS" w:hAnsi="Arial Unicode MS" w:eastAsia="Arial Unicode M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Unicode MS" w:hAnsi="Arial Unicode MS" w:eastAsia="Arial Unicode M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Unicode MS" w:hAnsi="Arial Unicode MS" w:eastAsia="Arial Unicode M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Unicode MS" w:hAnsi="Arial Unicode MS" w:eastAsia="Arial Unicode M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Unicode MS" w:hAnsi="Arial Unicode MS" w:eastAsia="Arial Unicode M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Unicode MS" w:hAnsi="Arial Unicode MS" w:eastAsia="Arial Unicode M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Unicode MS" w:hAnsi="Arial Unicode MS" w:eastAsia="Arial Unicode M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Unicode MS" w:hAnsi="Arial Unicode MS" w:eastAsia="Arial Unicode M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Unicode MS" w:hAnsi="Arial Unicode MS" w:eastAsia="Arial Unicode M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Unicode MS" w:hAnsi="Arial Unicode MS" w:eastAsia="Arial Unicode M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Unicode MS" w:hAnsi="Arial Unicode MS" w:eastAsia="Arial Unicode M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Unicode MS" w:hAnsi="Arial Unicode MS" w:eastAsia="Arial Unicode M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Unicode MS" w:hAnsi="Arial Unicode MS" w:eastAsia="Arial Unicode M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Unicode MS" w:hAnsi="Arial Unicode MS" w:eastAsia="Arial Unicode M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Unicode MS" w:hAnsi="Arial Unicode MS" w:eastAsia="Arial Unicode M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Unicode MS" w:hAnsi="Arial Unicode MS" w:eastAsia="Arial Unicode M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Unicode MS" w:hAnsi="Arial Unicode MS" w:eastAsia="Arial Unicode M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Unicode MS" w:hAnsi="Arial Unicode MS" w:eastAsia="Arial Unicode M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Unicode MS" w:hAnsi="Arial Unicode MS" w:eastAsia="Arial Unicode M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Unicode MS" w:hAnsi="Arial Unicode MS" w:eastAsia="Arial Unicode M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Unicode MS" w:hAnsi="Arial Unicode MS" w:eastAsia="Arial Unicode M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Unicode MS" w:hAnsi="Arial Unicode MS" w:eastAsia="Arial Unicode M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Unicode MS" w:hAnsi="Arial Unicode MS" w:eastAsia="Arial Unicode M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Unicode MS" w:hAnsi="Arial Unicode MS" w:eastAsia="Arial Unicode M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Unicode MS" w:hAnsi="Arial Unicode MS" w:eastAsia="Arial Unicode M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Unicode MS" w:hAnsi="Arial Unicode MS" w:eastAsia="Arial Unicode M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Unicode MS" w:hAnsi="Arial Unicode MS" w:eastAsia="Arial Unicode M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Unicode MS" w:hAnsi="Arial Unicode MS" w:eastAsia="Arial Unicode M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Unicode MS" w:hAnsi="Arial Unicode MS" w:eastAsia="Arial Unicode M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Unicode MS" w:hAnsi="Arial Unicode MS" w:eastAsia="Arial Unicode MS"/>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Unicode MS" w:hAnsi="Arial Unicode MS" w:eastAsia="Arial Unicode MS"/>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Unicode MS" w:hAnsi="Arial Unicode MS" w:eastAsia="Arial Unicode MS"/>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Unicode MS" w:hAnsi="Arial Unicode MS" w:eastAsia="Arial Unicode MS"/>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Unicode MS" w:hAnsi="Arial Unicode MS" w:eastAsia="Arial Unicode MS"/>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Unicode MS" w:hAnsi="Arial Unicode MS" w:eastAsia="Arial Unicode MS"/>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Unicode MS" w:hAnsi="Arial Unicode MS" w:eastAsia="Arial Unicode MS"/>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Unicode MS" w:hAnsi="Arial Unicode MS" w:eastAsia="Arial Unicode MS"/>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Unicode MS" w:hAnsi="Arial Unicode MS" w:eastAsia="Arial Unicode MS"/>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Unicode MS" w:hAnsi="Arial Unicode MS" w:eastAsia="Arial Unicode MS"/>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Unicode MS" w:hAnsi="Arial Unicode MS" w:eastAsia="Arial Unicode MS"/>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Unicode MS" w:hAnsi="Arial Unicode MS" w:eastAsia="Arial Unicode MS"/>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Unicode MS" w:hAnsi="Arial Unicode MS" w:eastAsia="Arial Unicode MS"/>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Unicode MS" w:hAnsi="Arial Unicode MS" w:eastAsia="Arial Unicode MS"/>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Unicode MS" w:hAnsi="Arial Unicode MS" w:eastAsia="Arial Unicode M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Unicode MS" w:hAnsi="Arial Unicode MS" w:eastAsia="Arial Unicode M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Unicode MS" w:hAnsi="Arial Unicode MS" w:eastAsia="Arial Unicode M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Unicode MS" w:hAnsi="Arial Unicode MS" w:eastAsia="Arial Unicode M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Unicode MS" w:hAnsi="Arial Unicode MS" w:eastAsia="Arial Unicode M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Unicode MS" w:hAnsi="Arial Unicode MS" w:eastAsia="Arial Unicode M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Unicode MS" w:hAnsi="Arial Unicode MS" w:eastAsia="Arial Unicode M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岐研｜中医临床研究智能平台——Product Baseline v1.0.1</dc:title>
  <dc:subject>Controlled Baseline Clarification｜Professor Validation Readiness</dc:subject>
  <dc:creator>python-docx</dc:creator>
  <cp:keywords>岐研, Product Baseline, Research Hub, Study Workspace, Research Copilot</cp:keywords>
  <dc:description>Derived from Product Baseline v1.0; DEC semantics and Production MVP scope preserved.</dc:description>
  <cp:lastModifiedBy/>
  <cp:revision>1</cp:revision>
  <dcterms:created xsi:type="dcterms:W3CDTF">2013-12-23T23:15:00Z</dcterms:created>
  <dcterms:modified xsi:type="dcterms:W3CDTF">2013-12-23T23:15:00Z</dcterms:modified>
  <cp:category/>
</cp:coreProperties>
</file>